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Mar>
          <w:left w:w="0" w:type="dxa"/>
          <w:right w:w="0" w:type="dxa"/>
        </w:tblCellMar>
        <w:tblLook w:val="04A0" w:firstRow="1" w:lastRow="0" w:firstColumn="1" w:lastColumn="0" w:noHBand="0" w:noVBand="1"/>
      </w:tblPr>
      <w:tblGrid>
        <w:gridCol w:w="9300"/>
      </w:tblGrid>
      <w:tr w:rsidR="002B68D3" w:rsidRPr="002B68D3">
        <w:trPr>
          <w:trHeight w:val="1908"/>
        </w:trPr>
        <w:tc>
          <w:tcPr>
            <w:tcW w:w="9300" w:type="dxa"/>
            <w:vAlign w:val="center"/>
            <w:hideMark/>
          </w:tcPr>
          <w:p w:rsidR="002B68D3" w:rsidRPr="002B68D3" w:rsidRDefault="002B68D3" w:rsidP="002B68D3">
            <w:pPr>
              <w:widowControl/>
              <w:jc w:val="center"/>
              <w:rPr>
                <w:rFonts w:ascii="方正姚体" w:eastAsia="方正姚体" w:hAnsi="宋体" w:cs="Microsoft Sans Serif"/>
                <w:b/>
                <w:bCs/>
                <w:color w:val="000000"/>
                <w:kern w:val="52"/>
                <w:sz w:val="84"/>
                <w:szCs w:val="84"/>
              </w:rPr>
            </w:pPr>
            <w:r w:rsidRPr="002B68D3">
              <w:rPr>
                <w:rFonts w:ascii="方正姚体" w:eastAsia="方正姚体" w:hAnsi="宋体" w:cs="Microsoft Sans Serif" w:hint="eastAsia"/>
                <w:b/>
                <w:bCs/>
                <w:color w:val="FF0000"/>
                <w:kern w:val="52"/>
                <w:sz w:val="84"/>
                <w:szCs w:val="84"/>
              </w:rPr>
              <w:t>最高人民法院文件</w:t>
            </w:r>
          </w:p>
        </w:tc>
      </w:tr>
      <w:tr w:rsidR="002B68D3" w:rsidRPr="002B68D3">
        <w:trPr>
          <w:trHeight w:val="565"/>
        </w:trPr>
        <w:tc>
          <w:tcPr>
            <w:tcW w:w="9300" w:type="dxa"/>
            <w:vAlign w:val="center"/>
            <w:hideMark/>
          </w:tcPr>
          <w:p w:rsidR="002B68D3" w:rsidRPr="002B68D3" w:rsidRDefault="002B68D3" w:rsidP="002B68D3">
            <w:pPr>
              <w:spacing w:after="280"/>
              <w:jc w:val="center"/>
              <w:rPr>
                <w:rFonts w:ascii="黑体" w:eastAsia="黑体" w:hAnsi="Times New Roman" w:cs="Times New Roman"/>
                <w:color w:val="000000"/>
                <w:kern w:val="28"/>
                <w:sz w:val="28"/>
                <w:szCs w:val="28"/>
                <w:lang w:val="zh-Hans" w:eastAsia="zh-Hans"/>
              </w:rPr>
            </w:pPr>
            <w:r w:rsidRPr="002B68D3">
              <w:rPr>
                <w:rFonts w:ascii="黑体" w:eastAsia="黑体" w:hAnsi="Times New Roman" w:cs="Times New Roman" w:hint="eastAsia"/>
                <w:color w:val="000000"/>
                <w:kern w:val="28"/>
                <w:sz w:val="32"/>
                <w:szCs w:val="32"/>
              </w:rPr>
              <w:t>法发〔2016〕19号</w:t>
            </w:r>
          </w:p>
        </w:tc>
      </w:tr>
      <w:tr w:rsidR="002B68D3" w:rsidRPr="002B68D3">
        <w:trPr>
          <w:trHeight w:val="958"/>
        </w:trPr>
        <w:tc>
          <w:tcPr>
            <w:tcW w:w="9300" w:type="dxa"/>
            <w:vAlign w:val="center"/>
          </w:tcPr>
          <w:p w:rsidR="002B68D3" w:rsidRPr="002B68D3" w:rsidRDefault="002B68D3" w:rsidP="002B68D3">
            <w:pPr>
              <w:widowControl/>
              <w:jc w:val="center"/>
              <w:rPr>
                <w:rFonts w:ascii="宋体" w:eastAsia="宋体" w:hAnsi="宋体" w:cs="宋体"/>
                <w:kern w:val="0"/>
                <w:sz w:val="24"/>
                <w:szCs w:val="24"/>
              </w:rPr>
            </w:pPr>
            <w:r w:rsidRPr="002B68D3">
              <w:rPr>
                <w:rFonts w:ascii="宋体" w:eastAsia="宋体" w:hAnsi="宋体" w:cs="宋体" w:hint="eastAsia"/>
                <w:kern w:val="0"/>
                <w:sz w:val="24"/>
                <w:szCs w:val="24"/>
              </w:rPr>
              <w:pict>
                <v:rect id="_x0000_i1025" style="width:415.3pt;height:1.5pt" o:hralign="center" o:hrstd="t" o:hrnoshade="t" o:hr="t" fillcolor="red" stroked="f"/>
              </w:pict>
            </w:r>
          </w:p>
          <w:p w:rsidR="002B68D3" w:rsidRPr="002B68D3" w:rsidRDefault="002B68D3" w:rsidP="002B68D3">
            <w:pPr>
              <w:spacing w:after="280"/>
              <w:rPr>
                <w:rFonts w:ascii="宋体" w:eastAsia="宋体" w:hAnsi="宋体" w:cs="Times New Roman"/>
                <w:color w:val="000000"/>
                <w:kern w:val="28"/>
                <w:sz w:val="20"/>
                <w:szCs w:val="20"/>
                <w:lang w:val="zh-Hans" w:eastAsia="zh-Hans"/>
              </w:rPr>
            </w:pPr>
          </w:p>
        </w:tc>
      </w:tr>
      <w:tr w:rsidR="002B68D3" w:rsidRPr="002B68D3">
        <w:trPr>
          <w:trHeight w:val="3953"/>
        </w:trPr>
        <w:tc>
          <w:tcPr>
            <w:tcW w:w="9300" w:type="dxa"/>
          </w:tcPr>
          <w:p w:rsidR="002B68D3" w:rsidRPr="002B68D3" w:rsidRDefault="002B68D3" w:rsidP="002B68D3">
            <w:pPr>
              <w:widowControl/>
              <w:rPr>
                <w:rFonts w:ascii="Times New Roman" w:eastAsia="宋体" w:hAnsi="Times New Roman" w:cs="Times New Roman"/>
                <w:color w:val="000000"/>
                <w:kern w:val="28"/>
                <w:szCs w:val="21"/>
              </w:rPr>
            </w:pPr>
          </w:p>
          <w:p w:rsidR="002B68D3" w:rsidRPr="002B68D3" w:rsidRDefault="002B68D3" w:rsidP="002B68D3">
            <w:pPr>
              <w:spacing w:line="600" w:lineRule="exact"/>
              <w:jc w:val="center"/>
              <w:rPr>
                <w:rFonts w:ascii="华文中宋" w:eastAsia="华文中宋" w:hAnsi="华文中宋" w:cs="宋体"/>
                <w:sz w:val="36"/>
                <w:szCs w:val="36"/>
              </w:rPr>
            </w:pPr>
            <w:r w:rsidRPr="002B68D3">
              <w:rPr>
                <w:rFonts w:ascii="华文中宋" w:eastAsia="华文中宋" w:hAnsi="华文中宋" w:cs="宋体" w:hint="eastAsia"/>
                <w:sz w:val="36"/>
                <w:szCs w:val="36"/>
              </w:rPr>
              <w:t>最高人民法院印发</w:t>
            </w:r>
            <w:proofErr w:type="gramStart"/>
            <w:r w:rsidRPr="002B68D3">
              <w:rPr>
                <w:rFonts w:ascii="华文中宋" w:eastAsia="华文中宋" w:hAnsi="华文中宋" w:cs="宋体" w:hint="eastAsia"/>
                <w:sz w:val="36"/>
                <w:szCs w:val="36"/>
              </w:rPr>
              <w:t>《</w:t>
            </w:r>
            <w:proofErr w:type="gramEnd"/>
            <w:r w:rsidRPr="002B68D3">
              <w:rPr>
                <w:rFonts w:ascii="华文中宋" w:eastAsia="华文中宋" w:hAnsi="华文中宋" w:cs="宋体" w:hint="eastAsia"/>
                <w:sz w:val="36"/>
                <w:szCs w:val="36"/>
              </w:rPr>
              <w:t>关于</w:t>
            </w:r>
          </w:p>
          <w:p w:rsidR="002B68D3" w:rsidRPr="002B68D3" w:rsidRDefault="002B68D3" w:rsidP="002B68D3">
            <w:pPr>
              <w:spacing w:line="600" w:lineRule="exact"/>
              <w:jc w:val="center"/>
              <w:rPr>
                <w:rFonts w:ascii="华文中宋" w:eastAsia="华文中宋" w:hAnsi="华文中宋" w:cs="宋体" w:hint="eastAsia"/>
                <w:sz w:val="36"/>
                <w:szCs w:val="36"/>
              </w:rPr>
            </w:pPr>
            <w:r w:rsidRPr="002B68D3">
              <w:rPr>
                <w:rFonts w:ascii="华文中宋" w:eastAsia="华文中宋" w:hAnsi="华文中宋" w:cs="宋体" w:hint="eastAsia"/>
                <w:sz w:val="36"/>
                <w:szCs w:val="36"/>
              </w:rPr>
              <w:t>企业破产案件信息公开的规定（试行）</w:t>
            </w:r>
            <w:proofErr w:type="gramStart"/>
            <w:r w:rsidRPr="002B68D3">
              <w:rPr>
                <w:rFonts w:ascii="华文中宋" w:eastAsia="华文中宋" w:hAnsi="华文中宋" w:cs="宋体" w:hint="eastAsia"/>
                <w:sz w:val="36"/>
                <w:szCs w:val="36"/>
              </w:rPr>
              <w:t>》</w:t>
            </w:r>
            <w:proofErr w:type="gramEnd"/>
            <w:r w:rsidRPr="002B68D3">
              <w:rPr>
                <w:rFonts w:ascii="华文中宋" w:eastAsia="华文中宋" w:hAnsi="华文中宋" w:cs="宋体" w:hint="eastAsia"/>
                <w:sz w:val="36"/>
                <w:szCs w:val="36"/>
              </w:rPr>
              <w:t>的通知</w:t>
            </w:r>
          </w:p>
          <w:p w:rsidR="002B68D3" w:rsidRPr="002B68D3" w:rsidRDefault="002B68D3" w:rsidP="002B68D3">
            <w:pPr>
              <w:spacing w:line="600" w:lineRule="exact"/>
              <w:jc w:val="center"/>
              <w:rPr>
                <w:rFonts w:ascii="华文中宋" w:eastAsia="华文中宋" w:hAnsi="华文中宋" w:cs="宋体" w:hint="eastAsia"/>
                <w:sz w:val="36"/>
                <w:szCs w:val="36"/>
              </w:rPr>
            </w:pP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各省、自治区、直辖市高级人民法院，解放军军事法院，新疆维吾尔自治区高级人民法院生产建设兵团分院：</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现将《最高人民法院关于企业破产案件信息公开的规定（试行）》予以印发，请各地结合实际，认真贯彻执行。</w:t>
            </w: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最高人民法院</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2016年7月26日</w:t>
            </w: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jc w:val="center"/>
              <w:rPr>
                <w:rFonts w:ascii="华文中宋" w:eastAsia="华文中宋" w:hAnsi="华文中宋" w:cs="宋体" w:hint="eastAsia"/>
                <w:sz w:val="36"/>
                <w:szCs w:val="36"/>
              </w:rPr>
            </w:pPr>
            <w:r w:rsidRPr="002B68D3">
              <w:rPr>
                <w:rFonts w:ascii="华文中宋" w:eastAsia="华文中宋" w:hAnsi="华文中宋" w:cs="宋体" w:hint="eastAsia"/>
                <w:sz w:val="36"/>
                <w:szCs w:val="36"/>
              </w:rPr>
              <w:lastRenderedPageBreak/>
              <w:t>最高人民法院关于</w:t>
            </w:r>
          </w:p>
          <w:p w:rsidR="002B68D3" w:rsidRPr="002B68D3" w:rsidRDefault="002B68D3" w:rsidP="002B68D3">
            <w:pPr>
              <w:spacing w:line="600" w:lineRule="exact"/>
              <w:jc w:val="center"/>
              <w:rPr>
                <w:rFonts w:ascii="华文中宋" w:eastAsia="华文中宋" w:hAnsi="华文中宋" w:cs="宋体" w:hint="eastAsia"/>
                <w:sz w:val="36"/>
                <w:szCs w:val="36"/>
              </w:rPr>
            </w:pPr>
            <w:r w:rsidRPr="002B68D3">
              <w:rPr>
                <w:rFonts w:ascii="华文中宋" w:eastAsia="华文中宋" w:hAnsi="华文中宋" w:cs="宋体" w:hint="eastAsia"/>
                <w:sz w:val="36"/>
                <w:szCs w:val="36"/>
              </w:rPr>
              <w:t>企业破产案件信息公开的规定（试行）</w:t>
            </w:r>
          </w:p>
          <w:p w:rsidR="002B68D3" w:rsidRPr="002B68D3" w:rsidRDefault="002B68D3" w:rsidP="002B68D3">
            <w:pPr>
              <w:spacing w:line="600" w:lineRule="exact"/>
              <w:rPr>
                <w:rFonts w:ascii="仿宋_GB2312" w:eastAsia="仿宋_GB2312" w:hAnsi="宋体" w:cs="宋体" w:hint="eastAsia"/>
                <w:sz w:val="30"/>
                <w:szCs w:val="30"/>
              </w:rPr>
            </w:pPr>
          </w:p>
          <w:p w:rsidR="002B68D3" w:rsidRPr="002B68D3" w:rsidRDefault="002B68D3" w:rsidP="002B68D3">
            <w:pPr>
              <w:spacing w:line="600" w:lineRule="exact"/>
              <w:ind w:firstLineChars="200" w:firstLine="600"/>
              <w:rPr>
                <w:rFonts w:ascii="仿宋_GB2312" w:eastAsia="仿宋_GB2312" w:hAnsi="宋体" w:cs="宋体" w:hint="eastAsia"/>
                <w:sz w:val="30"/>
                <w:szCs w:val="30"/>
              </w:rPr>
            </w:pPr>
            <w:r w:rsidRPr="002B68D3">
              <w:rPr>
                <w:rFonts w:ascii="仿宋_GB2312" w:eastAsia="仿宋_GB2312" w:hAnsi="宋体" w:cs="宋体" w:hint="eastAsia"/>
                <w:sz w:val="30"/>
                <w:szCs w:val="30"/>
              </w:rPr>
              <w:t>为提升破产案件审理的透明度和公信力，根据《中华人民共和国企业破产法》《中华人民共和国民事诉讼法》，结合人民法院工作实际，就破产案件信息公开问题，制定本规定。</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第一条</w:t>
            </w:r>
            <w:r w:rsidRPr="002B68D3">
              <w:rPr>
                <w:rFonts w:ascii="仿宋_GB2312" w:eastAsia="仿宋_GB2312" w:hAnsi="宋体" w:cs="宋体" w:hint="eastAsia"/>
                <w:sz w:val="30"/>
                <w:szCs w:val="30"/>
              </w:rPr>
              <w:t xml:space="preserve"> 最高人民法院设立全国企业破产重整案件信息网（以下简称破产重整案件信息网），破产案件（包括破产重整、破产清算、破产和解案件）审判流程信息以及公告、法律文书、债务人信息等与破产程序有关的信息统一在破产重整案件信息网公布。</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人民法院以及人民法院指定的破产管理人应当使用破产重整案件信息网及时披露破产程序有关信息。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 xml:space="preserve">第二条 </w:t>
            </w:r>
            <w:r w:rsidRPr="002B68D3">
              <w:rPr>
                <w:rFonts w:ascii="仿宋_GB2312" w:eastAsia="仿宋_GB2312" w:hAnsi="宋体" w:cs="宋体" w:hint="eastAsia"/>
                <w:sz w:val="30"/>
                <w:szCs w:val="30"/>
              </w:rPr>
              <w:t>破产案件信息公开以公开为原则，以不公开为例外。凡是不涉及国家秘密、个人隐私的信息均应依法公开。涉及商业秘密的债务人信息，在不损害债权人和债务人合法权益的情况下，破产管理人可以通过与重整投资人的协议向重整投资人公开。</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第三条</w:t>
            </w:r>
            <w:r w:rsidRPr="002B68D3">
              <w:rPr>
                <w:rFonts w:ascii="仿宋_GB2312" w:eastAsia="仿宋_GB2312" w:hAnsi="宋体" w:cs="宋体" w:hint="eastAsia"/>
                <w:sz w:val="30"/>
                <w:szCs w:val="30"/>
              </w:rPr>
              <w:t xml:space="preserve"> 人民法院依法公开破产案件的以下信息：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（一）审判流程节点信息；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（二）破产程序中人民法院发布的各类公告；</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（三）人民法院制作的破产程序法律文书；</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（四）人民法院认为应当公开的其他信息。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第四条</w:t>
            </w:r>
            <w:r w:rsidRPr="002B68D3">
              <w:rPr>
                <w:rFonts w:ascii="仿宋_GB2312" w:eastAsia="仿宋_GB2312" w:hAnsi="宋体" w:cs="宋体" w:hint="eastAsia"/>
                <w:sz w:val="30"/>
                <w:szCs w:val="30"/>
              </w:rPr>
              <w:t xml:space="preserve"> 破产管理人依法公开破产案件的以下信息：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（一）债务人信息；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lastRenderedPageBreak/>
              <w:t xml:space="preserve">　　（二）征集、招募重整投资人的公告；</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（三）破产管理人工作节点信息；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（四）破产程序中破产管理人发布的其他公告；</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（五）破产管理</w:t>
            </w:r>
            <w:proofErr w:type="gramStart"/>
            <w:r w:rsidRPr="002B68D3">
              <w:rPr>
                <w:rFonts w:ascii="仿宋_GB2312" w:eastAsia="仿宋_GB2312" w:hAnsi="宋体" w:cs="宋体" w:hint="eastAsia"/>
                <w:sz w:val="30"/>
                <w:szCs w:val="30"/>
              </w:rPr>
              <w:t>人制</w:t>
            </w:r>
            <w:proofErr w:type="gramEnd"/>
            <w:r w:rsidRPr="002B68D3">
              <w:rPr>
                <w:rFonts w:ascii="仿宋_GB2312" w:eastAsia="仿宋_GB2312" w:hAnsi="宋体" w:cs="宋体" w:hint="eastAsia"/>
                <w:sz w:val="30"/>
                <w:szCs w:val="30"/>
              </w:rPr>
              <w:t>作的破产程序法律文书；</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（六）人民法院裁定批准的重整计划、认可的破产财产分配方案、和解协议。</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破产管理人认为应当公开的其他信息，经人民法院批准可以公开。</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第五条</w:t>
            </w:r>
            <w:r w:rsidRPr="002B68D3">
              <w:rPr>
                <w:rFonts w:ascii="仿宋_GB2312" w:eastAsia="仿宋_GB2312" w:hAnsi="宋体" w:cs="宋体" w:hint="eastAsia"/>
                <w:sz w:val="30"/>
                <w:szCs w:val="30"/>
              </w:rPr>
              <w:t xml:space="preserve"> 破产管理人应当通过破产重整案件信息网及时公开下列债务人信息：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（一）工商登记信息；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（二）最近一年的年度报告；</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（三）最近一年的资产负债表；</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（四）涉及的诉讼、仲裁案件的基本信息。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 xml:space="preserve">　第六条</w:t>
            </w:r>
            <w:r w:rsidRPr="002B68D3">
              <w:rPr>
                <w:rFonts w:ascii="仿宋_GB2312" w:eastAsia="仿宋_GB2312" w:hAnsi="宋体" w:cs="宋体" w:hint="eastAsia"/>
                <w:sz w:val="30"/>
                <w:szCs w:val="30"/>
              </w:rPr>
              <w:t xml:space="preserve"> 重整投资人可以通过破产重整案件信息网与破产管理人互动交流。破产管理人可以根据与重整投资人的协议向重整投资人公开下列债务人信息：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（一）资产、经营状况信息；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（二）涉及的诉讼、仲裁案件的详细信息；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（三）重整投资人需要的其他信息。</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 xml:space="preserve">　第七条</w:t>
            </w:r>
            <w:r w:rsidRPr="002B68D3">
              <w:rPr>
                <w:rFonts w:ascii="仿宋_GB2312" w:eastAsia="仿宋_GB2312" w:hAnsi="宋体" w:cs="宋体" w:hint="eastAsia"/>
                <w:sz w:val="30"/>
                <w:szCs w:val="30"/>
              </w:rPr>
              <w:t xml:space="preserve"> 人民法院、破产管理人可以在破产重整案件信息网发布破产程序有关公告。</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人民法院、破产管理人在其他媒体发布公告的，同时要在破产重整案件信息网发布公告。人民法院、破产管理人在破产重整案件信息网发</w:t>
            </w:r>
            <w:r w:rsidRPr="002B68D3">
              <w:rPr>
                <w:rFonts w:ascii="仿宋_GB2312" w:eastAsia="仿宋_GB2312" w:hAnsi="宋体" w:cs="宋体" w:hint="eastAsia"/>
                <w:sz w:val="30"/>
                <w:szCs w:val="30"/>
              </w:rPr>
              <w:lastRenderedPageBreak/>
              <w:t>布的公告具有法律效力。</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 xml:space="preserve">　第八条</w:t>
            </w:r>
            <w:r w:rsidRPr="002B68D3">
              <w:rPr>
                <w:rFonts w:ascii="仿宋_GB2312" w:eastAsia="仿宋_GB2312" w:hAnsi="宋体" w:cs="宋体" w:hint="eastAsia"/>
                <w:sz w:val="30"/>
                <w:szCs w:val="30"/>
              </w:rPr>
              <w:t xml:space="preserve"> 经受送达人同意，人民法院可以通过破产重整案件信息网以电子邮件、移动通信等能够确认其收悉的方式送达破产程序有关法律文书，但裁定书除外。</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采用前款方式送达的，以电子邮件、移动通信等到达受送达人特定系统的日期为送达日期。</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第九条</w:t>
            </w:r>
            <w:r w:rsidRPr="002B68D3">
              <w:rPr>
                <w:rFonts w:ascii="仿宋_GB2312" w:eastAsia="仿宋_GB2312" w:hAnsi="宋体" w:cs="宋体" w:hint="eastAsia"/>
                <w:sz w:val="30"/>
                <w:szCs w:val="30"/>
              </w:rPr>
              <w:t xml:space="preserve"> 申请人可以在破产重整案件信息网实名注册后申请预约立案并提交有关材料的电子文档。人民法院审查通过后，应当通知申请人到人民法院立案窗口办理立案登记。</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 xml:space="preserve">　第十条</w:t>
            </w:r>
            <w:r w:rsidRPr="002B68D3">
              <w:rPr>
                <w:rFonts w:ascii="仿宋_GB2312" w:eastAsia="仿宋_GB2312" w:hAnsi="宋体" w:cs="宋体" w:hint="eastAsia"/>
                <w:sz w:val="30"/>
                <w:szCs w:val="30"/>
              </w:rPr>
              <w:t xml:space="preserve"> 债权人可以在破产重整案件信息网实名注册后申报债权并提交有关证据的电子文档，网上申报债权与其他方式申报债权具有同等法律效力。</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债权人向破产管理人书面申报债权的，破产管理人应当将债权申报书及有关证据的电子文档上传破产重整案件信息网。</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第十一条</w:t>
            </w:r>
            <w:r w:rsidRPr="002B68D3">
              <w:rPr>
                <w:rFonts w:ascii="仿宋_GB2312" w:eastAsia="仿宋_GB2312" w:hAnsi="宋体" w:cs="宋体" w:hint="eastAsia"/>
                <w:sz w:val="30"/>
                <w:szCs w:val="30"/>
              </w:rPr>
              <w:t xml:space="preserve"> 人民法院、破产管理人可以在破产重整案件信息网召集债权人会议并表决有关事项。网上投票形成的表决结果与现场投票形成的表决结果具有同等法律效力。</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债权人可以选择现场投票或者网上投票，但选择后不能再采用其他方式进行投票，采用其他方式进行投票的，此次投票无效。</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第十二条</w:t>
            </w:r>
            <w:r w:rsidRPr="002B68D3">
              <w:rPr>
                <w:rFonts w:ascii="仿宋_GB2312" w:eastAsia="仿宋_GB2312" w:hAnsi="宋体" w:cs="宋体" w:hint="eastAsia"/>
                <w:sz w:val="30"/>
                <w:szCs w:val="30"/>
              </w:rPr>
              <w:t xml:space="preserve"> 人民法院审理的公司强制清算案件应当参照适用本规定。</w:t>
            </w:r>
          </w:p>
          <w:p w:rsidR="002B68D3" w:rsidRPr="002B68D3" w:rsidRDefault="002B68D3" w:rsidP="002B68D3">
            <w:pPr>
              <w:spacing w:line="600" w:lineRule="exact"/>
              <w:rPr>
                <w:rFonts w:ascii="仿宋_GB2312" w:eastAsia="仿宋_GB2312" w:hAnsi="宋体" w:cs="宋体" w:hint="eastAsia"/>
                <w:sz w:val="30"/>
                <w:szCs w:val="30"/>
              </w:rPr>
            </w:pPr>
            <w:r w:rsidRPr="002B68D3">
              <w:rPr>
                <w:rFonts w:ascii="仿宋_GB2312" w:eastAsia="仿宋_GB2312" w:hAnsi="宋体" w:cs="宋体" w:hint="eastAsia"/>
                <w:sz w:val="30"/>
                <w:szCs w:val="30"/>
              </w:rPr>
              <w:t xml:space="preserve">　　</w:t>
            </w:r>
            <w:r w:rsidRPr="002B68D3">
              <w:rPr>
                <w:rFonts w:ascii="黑体" w:eastAsia="黑体" w:hAnsi="Courier New" w:cs="宋体" w:hint="eastAsia"/>
                <w:sz w:val="30"/>
                <w:szCs w:val="30"/>
              </w:rPr>
              <w:t xml:space="preserve">第十三条 </w:t>
            </w:r>
            <w:r w:rsidRPr="002B68D3">
              <w:rPr>
                <w:rFonts w:ascii="仿宋_GB2312" w:eastAsia="仿宋_GB2312" w:hAnsi="宋体" w:cs="宋体" w:hint="eastAsia"/>
                <w:sz w:val="30"/>
                <w:szCs w:val="30"/>
              </w:rPr>
              <w:t>本规定自2016年8月1日起施行。本规定施行后受理的破产案件以及施行前尚未审结的破产案件应当适用本规定。</w:t>
            </w:r>
          </w:p>
          <w:p w:rsidR="002B68D3" w:rsidRPr="002B68D3" w:rsidRDefault="002B68D3" w:rsidP="002B68D3">
            <w:pPr>
              <w:spacing w:line="600" w:lineRule="exact"/>
              <w:rPr>
                <w:rFonts w:ascii="宋体" w:eastAsia="宋体" w:hAnsi="宋体" w:cs="宋体" w:hint="eastAsia"/>
                <w:szCs w:val="21"/>
              </w:rPr>
            </w:pPr>
          </w:p>
          <w:p w:rsidR="002B68D3" w:rsidRPr="002B68D3" w:rsidRDefault="002B68D3" w:rsidP="002B68D3">
            <w:pPr>
              <w:spacing w:line="560" w:lineRule="exact"/>
              <w:rPr>
                <w:rFonts w:ascii="宋体" w:eastAsia="宋体" w:hAnsi="Courier New" w:cs="Courier New"/>
                <w:color w:val="000000"/>
                <w:szCs w:val="21"/>
              </w:rPr>
            </w:pPr>
          </w:p>
        </w:tc>
      </w:tr>
      <w:tr w:rsidR="002B68D3" w:rsidRPr="002B68D3">
        <w:trPr>
          <w:trHeight w:val="1039"/>
        </w:trPr>
        <w:tc>
          <w:tcPr>
            <w:tcW w:w="9300" w:type="dxa"/>
          </w:tcPr>
          <w:p w:rsidR="002B68D3" w:rsidRPr="002B68D3" w:rsidRDefault="002B68D3" w:rsidP="002B68D3">
            <w:pPr>
              <w:spacing w:after="280" w:line="450" w:lineRule="exact"/>
              <w:rPr>
                <w:rFonts w:ascii="宋体" w:eastAsia="宋体" w:hAnsi="宋体" w:cs="Times New Roman"/>
                <w:color w:val="000000"/>
                <w:kern w:val="28"/>
                <w:szCs w:val="21"/>
                <w:lang w:val="zh-Hans" w:eastAsia="zh-Hans"/>
              </w:rPr>
            </w:pPr>
          </w:p>
          <w:p w:rsidR="002B68D3" w:rsidRPr="002B68D3" w:rsidRDefault="002B68D3" w:rsidP="002B68D3">
            <w:pPr>
              <w:spacing w:after="280" w:line="450" w:lineRule="exact"/>
              <w:rPr>
                <w:rFonts w:ascii="宋体" w:eastAsia="宋体" w:hAnsi="宋体" w:cs="Times New Roman" w:hint="eastAsia"/>
                <w:color w:val="000000"/>
                <w:kern w:val="28"/>
                <w:szCs w:val="21"/>
                <w:lang w:val="zh-Hans" w:eastAsia="zh-Hans"/>
              </w:rPr>
            </w:pPr>
          </w:p>
          <w:p w:rsidR="002B68D3" w:rsidRPr="002B68D3" w:rsidRDefault="002B68D3" w:rsidP="002B68D3">
            <w:pPr>
              <w:spacing w:after="280" w:line="450" w:lineRule="exact"/>
              <w:rPr>
                <w:rFonts w:ascii="宋体" w:eastAsia="宋体" w:hAnsi="宋体" w:cs="Times New Roman" w:hint="eastAsia"/>
                <w:color w:val="000000"/>
                <w:kern w:val="28"/>
                <w:szCs w:val="21"/>
                <w:lang w:val="zh-Hans" w:eastAsia="zh-Hans"/>
              </w:rPr>
            </w:pPr>
            <w:bookmarkStart w:id="0" w:name="_GoBack"/>
            <w:bookmarkEnd w:id="0"/>
          </w:p>
          <w:p w:rsidR="002B68D3" w:rsidRPr="002B68D3" w:rsidRDefault="002B68D3" w:rsidP="002B68D3">
            <w:pPr>
              <w:spacing w:after="280" w:line="450" w:lineRule="exact"/>
              <w:rPr>
                <w:rFonts w:ascii="宋体" w:eastAsia="宋体" w:hAnsi="宋体" w:cs="Times New Roman" w:hint="eastAsia"/>
                <w:color w:val="000000"/>
                <w:kern w:val="28"/>
                <w:szCs w:val="21"/>
                <w:lang w:val="zh-Hans" w:eastAsia="zh-Hans"/>
              </w:rPr>
            </w:pPr>
          </w:p>
          <w:p w:rsidR="002B68D3" w:rsidRPr="002B68D3" w:rsidRDefault="002B68D3" w:rsidP="002B68D3">
            <w:pPr>
              <w:spacing w:after="280" w:line="450" w:lineRule="exact"/>
              <w:rPr>
                <w:rFonts w:ascii="宋体" w:eastAsia="宋体" w:hAnsi="宋体" w:cs="Times New Roman" w:hint="eastAsia"/>
                <w:color w:val="000000"/>
                <w:kern w:val="28"/>
                <w:szCs w:val="21"/>
                <w:lang w:val="zh-Hans" w:eastAsia="zh-Hans"/>
              </w:rPr>
            </w:pPr>
          </w:p>
          <w:p w:rsidR="002B68D3" w:rsidRPr="002B68D3" w:rsidRDefault="002B68D3" w:rsidP="002B68D3">
            <w:pPr>
              <w:spacing w:after="280" w:line="450" w:lineRule="exact"/>
              <w:rPr>
                <w:rFonts w:ascii="宋体" w:eastAsia="宋体" w:hAnsi="宋体" w:cs="Times New Roman"/>
                <w:color w:val="000000"/>
                <w:kern w:val="28"/>
                <w:szCs w:val="21"/>
                <w:lang w:val="zh-Hans" w:eastAsia="zh-Hans"/>
              </w:rPr>
            </w:pPr>
          </w:p>
        </w:tc>
      </w:tr>
      <w:tr w:rsidR="002B68D3" w:rsidRPr="002B68D3">
        <w:trPr>
          <w:trHeight w:val="556"/>
        </w:trPr>
        <w:tc>
          <w:tcPr>
            <w:tcW w:w="9300" w:type="dxa"/>
          </w:tcPr>
          <w:p w:rsidR="002B68D3" w:rsidRPr="002B68D3" w:rsidRDefault="002B68D3" w:rsidP="002B68D3">
            <w:pPr>
              <w:widowControl/>
              <w:jc w:val="center"/>
              <w:rPr>
                <w:rFonts w:ascii="宋体" w:eastAsia="宋体" w:hAnsi="宋体" w:cs="宋体"/>
                <w:kern w:val="0"/>
                <w:sz w:val="24"/>
                <w:szCs w:val="24"/>
              </w:rPr>
            </w:pPr>
            <w:r w:rsidRPr="002B68D3">
              <w:rPr>
                <w:rFonts w:ascii="宋体" w:eastAsia="宋体" w:hAnsi="宋体" w:cs="宋体" w:hint="eastAsia"/>
                <w:kern w:val="0"/>
                <w:sz w:val="24"/>
                <w:szCs w:val="24"/>
              </w:rPr>
              <w:pict>
                <v:rect id="_x0000_i1026" style="width:415.3pt;height:1.5pt" o:hralign="center" o:hrstd="t" o:hrnoshade="t" o:hr="t" fillcolor="black" stroked="f"/>
              </w:pict>
            </w:r>
          </w:p>
          <w:p w:rsidR="002B68D3" w:rsidRPr="002B68D3" w:rsidRDefault="002B68D3" w:rsidP="002B68D3">
            <w:pPr>
              <w:widowControl/>
              <w:jc w:val="center"/>
              <w:rPr>
                <w:rFonts w:ascii="宋体" w:eastAsia="宋体" w:hAnsi="宋体" w:cs="宋体"/>
                <w:kern w:val="0"/>
                <w:sz w:val="24"/>
                <w:szCs w:val="24"/>
              </w:rPr>
            </w:pPr>
          </w:p>
        </w:tc>
      </w:tr>
      <w:tr w:rsidR="002B68D3" w:rsidRPr="002B68D3">
        <w:trPr>
          <w:trHeight w:val="864"/>
        </w:trPr>
        <w:tc>
          <w:tcPr>
            <w:tcW w:w="9300" w:type="dxa"/>
            <w:vAlign w:val="bottom"/>
            <w:hideMark/>
          </w:tcPr>
          <w:p w:rsidR="002B68D3" w:rsidRPr="002B68D3" w:rsidRDefault="002B68D3" w:rsidP="002B68D3">
            <w:pPr>
              <w:rPr>
                <w:rFonts w:ascii="宋体" w:eastAsia="宋体" w:hAnsi="宋体" w:cs="宋体"/>
                <w:szCs w:val="21"/>
              </w:rPr>
            </w:pPr>
            <w:r w:rsidRPr="002B68D3">
              <w:rPr>
                <w:rFonts w:ascii="宋体" w:eastAsia="宋体" w:hAnsi="宋体" w:cs="宋体" w:hint="eastAsia"/>
                <w:szCs w:val="21"/>
              </w:rPr>
              <w:t>抄送：中央政治局常委，政治局委员，书记处书记</w:t>
            </w:r>
          </w:p>
          <w:p w:rsidR="002B68D3" w:rsidRPr="002B68D3" w:rsidRDefault="002B68D3" w:rsidP="002B68D3">
            <w:pPr>
              <w:ind w:leftChars="300" w:left="630"/>
              <w:rPr>
                <w:rFonts w:ascii="宋体" w:eastAsia="宋体" w:hAnsi="宋体" w:cs="宋体" w:hint="eastAsia"/>
                <w:szCs w:val="21"/>
              </w:rPr>
            </w:pPr>
            <w:r w:rsidRPr="002B68D3">
              <w:rPr>
                <w:rFonts w:ascii="宋体" w:eastAsia="宋体" w:hAnsi="宋体" w:cs="宋体" w:hint="eastAsia"/>
                <w:szCs w:val="21"/>
              </w:rPr>
              <w:t>中央办公厅，全国人大常委会办公厅，国务院公厅，全国政协办公厅，中央军委办公厅</w:t>
            </w:r>
          </w:p>
          <w:p w:rsidR="002B68D3" w:rsidRPr="002B68D3" w:rsidRDefault="002B68D3" w:rsidP="002B68D3">
            <w:pPr>
              <w:ind w:firstLineChars="300" w:firstLine="630"/>
              <w:rPr>
                <w:rFonts w:ascii="宋体" w:eastAsia="宋体" w:hAnsi="宋体" w:cs="宋体" w:hint="eastAsia"/>
                <w:szCs w:val="21"/>
              </w:rPr>
            </w:pPr>
            <w:r w:rsidRPr="002B68D3">
              <w:rPr>
                <w:rFonts w:ascii="宋体" w:eastAsia="宋体" w:hAnsi="宋体" w:cs="宋体" w:hint="eastAsia"/>
                <w:szCs w:val="21"/>
              </w:rPr>
              <w:t>中央纪委，中央组织部，中央宣传部，中央政法委</w:t>
            </w:r>
          </w:p>
          <w:p w:rsidR="002B68D3" w:rsidRPr="002B68D3" w:rsidRDefault="002B68D3" w:rsidP="002B68D3">
            <w:pPr>
              <w:ind w:firstLineChars="300" w:firstLine="630"/>
              <w:rPr>
                <w:rFonts w:ascii="宋体" w:eastAsia="宋体" w:hAnsi="宋体" w:cs="宋体" w:hint="eastAsia"/>
                <w:szCs w:val="21"/>
              </w:rPr>
            </w:pPr>
            <w:r w:rsidRPr="002B68D3">
              <w:rPr>
                <w:rFonts w:ascii="宋体" w:eastAsia="宋体" w:hAnsi="宋体" w:cs="宋体" w:hint="eastAsia"/>
                <w:szCs w:val="21"/>
              </w:rPr>
              <w:t>全国人大法律委员会、内务司法委员会，全国人大常委会法工委，最高人民检察院</w:t>
            </w:r>
          </w:p>
          <w:p w:rsidR="002B68D3" w:rsidRPr="002B68D3" w:rsidRDefault="002B68D3" w:rsidP="002B68D3">
            <w:pPr>
              <w:ind w:leftChars="300" w:left="630"/>
              <w:rPr>
                <w:rFonts w:ascii="宋体" w:eastAsia="宋体" w:hAnsi="宋体" w:cs="宋体" w:hint="eastAsia"/>
                <w:szCs w:val="21"/>
              </w:rPr>
            </w:pPr>
            <w:r w:rsidRPr="002B68D3">
              <w:rPr>
                <w:rFonts w:ascii="宋体" w:eastAsia="宋体" w:hAnsi="宋体" w:cs="宋体" w:hint="eastAsia"/>
                <w:szCs w:val="21"/>
              </w:rPr>
              <w:t>公安部，安全部，司法部，监察部，发展改革委，财政部，国务院法制办</w:t>
            </w:r>
          </w:p>
          <w:p w:rsidR="002B68D3" w:rsidRPr="002B68D3" w:rsidRDefault="002B68D3" w:rsidP="002B68D3">
            <w:pPr>
              <w:ind w:leftChars="300" w:left="630"/>
              <w:rPr>
                <w:rFonts w:ascii="宋体" w:eastAsia="宋体" w:hAnsi="宋体" w:cs="宋体" w:hint="eastAsia"/>
                <w:szCs w:val="21"/>
              </w:rPr>
            </w:pPr>
            <w:r w:rsidRPr="002B68D3">
              <w:rPr>
                <w:rFonts w:ascii="宋体" w:eastAsia="宋体" w:hAnsi="宋体" w:cs="宋体" w:hint="eastAsia"/>
                <w:szCs w:val="21"/>
              </w:rPr>
              <w:t>中央军委政治工作部，中央军委政法委员会</w:t>
            </w:r>
          </w:p>
          <w:p w:rsidR="002B68D3" w:rsidRPr="002B68D3" w:rsidRDefault="002B68D3" w:rsidP="002B68D3">
            <w:pPr>
              <w:ind w:firstLineChars="300" w:firstLine="630"/>
              <w:rPr>
                <w:rFonts w:ascii="宋体" w:eastAsia="宋体" w:hAnsi="宋体" w:cs="宋体" w:hint="eastAsia"/>
                <w:szCs w:val="21"/>
              </w:rPr>
            </w:pPr>
            <w:r w:rsidRPr="002B68D3">
              <w:rPr>
                <w:rFonts w:ascii="宋体" w:eastAsia="宋体" w:hAnsi="宋体" w:cs="宋体" w:hint="eastAsia"/>
                <w:szCs w:val="21"/>
              </w:rPr>
              <w:t>全国总工会，全国妇联，团中央，中国法学会</w:t>
            </w:r>
          </w:p>
          <w:p w:rsidR="002B68D3" w:rsidRPr="002B68D3" w:rsidRDefault="002B68D3" w:rsidP="002B68D3">
            <w:pPr>
              <w:ind w:firstLineChars="300" w:firstLine="630"/>
              <w:rPr>
                <w:rFonts w:ascii="宋体" w:eastAsia="宋体" w:hAnsi="宋体" w:cs="宋体" w:hint="eastAsia"/>
                <w:szCs w:val="21"/>
              </w:rPr>
            </w:pPr>
            <w:r w:rsidRPr="002B68D3">
              <w:rPr>
                <w:rFonts w:ascii="宋体" w:eastAsia="宋体" w:hAnsi="宋体" w:cs="宋体" w:hint="eastAsia"/>
                <w:szCs w:val="21"/>
              </w:rPr>
              <w:t>新华社，人民日报社，法制日报</w:t>
            </w:r>
          </w:p>
          <w:p w:rsidR="002B68D3" w:rsidRPr="002B68D3" w:rsidRDefault="002B68D3" w:rsidP="002B68D3">
            <w:pPr>
              <w:widowControl/>
              <w:spacing w:line="400" w:lineRule="exact"/>
              <w:ind w:left="477" w:hangingChars="198" w:hanging="477"/>
              <w:rPr>
                <w:rFonts w:ascii="宋体" w:eastAsia="宋体" w:hAnsi="宋体" w:cs="Times New Roman"/>
                <w:color w:val="000000"/>
                <w:kern w:val="28"/>
                <w:szCs w:val="21"/>
              </w:rPr>
            </w:pPr>
            <w:r w:rsidRPr="002B68D3">
              <w:rPr>
                <w:rFonts w:ascii="宋体" w:eastAsia="宋体" w:hAnsi="宋体" w:cs="Times New Roman" w:hint="eastAsia"/>
                <w:b/>
                <w:color w:val="000000"/>
                <w:kern w:val="28"/>
                <w:sz w:val="24"/>
                <w:szCs w:val="21"/>
              </w:rPr>
              <w:t xml:space="preserve">                                                  </w:t>
            </w:r>
          </w:p>
        </w:tc>
      </w:tr>
      <w:tr w:rsidR="002B68D3" w:rsidRPr="002B68D3">
        <w:trPr>
          <w:trHeight w:val="1323"/>
        </w:trPr>
        <w:tc>
          <w:tcPr>
            <w:tcW w:w="9300" w:type="dxa"/>
            <w:vAlign w:val="center"/>
            <w:hideMark/>
          </w:tcPr>
          <w:p w:rsidR="002B68D3" w:rsidRPr="002B68D3" w:rsidRDefault="002B68D3" w:rsidP="002B68D3">
            <w:pPr>
              <w:jc w:val="center"/>
              <w:rPr>
                <w:rFonts w:ascii="宋体" w:eastAsia="宋体" w:hAnsi="宋体" w:cs="宋体"/>
                <w:kern w:val="0"/>
                <w:sz w:val="24"/>
                <w:szCs w:val="24"/>
              </w:rPr>
            </w:pPr>
            <w:r w:rsidRPr="002B68D3">
              <w:rPr>
                <w:rFonts w:ascii="宋体" w:eastAsia="宋体" w:hAnsi="宋体" w:cs="宋体" w:hint="eastAsia"/>
                <w:kern w:val="0"/>
                <w:sz w:val="24"/>
                <w:szCs w:val="24"/>
              </w:rPr>
              <w:pict>
                <v:rect id="_x0000_i1027" style="width:415.3pt;height:.75pt" o:hralign="center" o:hrstd="t" o:hrnoshade="t" o:hr="t" fillcolor="black" stroked="f"/>
              </w:pict>
            </w:r>
          </w:p>
          <w:p w:rsidR="002B68D3" w:rsidRPr="002B68D3" w:rsidRDefault="002B68D3" w:rsidP="002B68D3">
            <w:pPr>
              <w:widowControl/>
              <w:spacing w:line="400" w:lineRule="exact"/>
              <w:ind w:left="475" w:hangingChars="198" w:hanging="475"/>
              <w:rPr>
                <w:rFonts w:ascii="宋体" w:eastAsia="宋体" w:hAnsi="宋体" w:cs="Times New Roman" w:hint="eastAsia"/>
                <w:color w:val="000000"/>
                <w:kern w:val="28"/>
                <w:sz w:val="24"/>
                <w:szCs w:val="21"/>
              </w:rPr>
            </w:pPr>
            <w:r w:rsidRPr="002B68D3">
              <w:rPr>
                <w:rFonts w:ascii="宋体" w:eastAsia="宋体" w:hAnsi="宋体" w:cs="Times New Roman" w:hint="eastAsia"/>
                <w:color w:val="000000"/>
                <w:kern w:val="28"/>
                <w:sz w:val="24"/>
                <w:szCs w:val="21"/>
              </w:rPr>
              <w:t>最高人民法院办公厅秘书一处                        2016年7月27日印发</w:t>
            </w:r>
          </w:p>
          <w:p w:rsidR="002B68D3" w:rsidRPr="002B68D3" w:rsidRDefault="002B68D3" w:rsidP="002B68D3">
            <w:pPr>
              <w:widowControl/>
              <w:jc w:val="center"/>
              <w:rPr>
                <w:rFonts w:ascii="宋体" w:eastAsia="宋体" w:hAnsi="宋体" w:cs="宋体" w:hint="eastAsia"/>
                <w:kern w:val="0"/>
                <w:sz w:val="24"/>
                <w:szCs w:val="24"/>
              </w:rPr>
            </w:pPr>
            <w:r w:rsidRPr="002B68D3">
              <w:rPr>
                <w:rFonts w:ascii="宋体" w:eastAsia="宋体" w:hAnsi="宋体" w:cs="宋体" w:hint="eastAsia"/>
                <w:kern w:val="0"/>
                <w:sz w:val="24"/>
                <w:szCs w:val="24"/>
              </w:rPr>
              <w:pict>
                <v:rect id="_x0000_i1028" style="width:415.3pt;height:1.5pt" o:hralign="center" o:hrstd="t" o:hrnoshade="t" o:hr="t" fillcolor="black" stroked="f"/>
              </w:pict>
            </w:r>
          </w:p>
          <w:p w:rsidR="002B68D3" w:rsidRPr="002B68D3" w:rsidRDefault="002B68D3" w:rsidP="002B68D3">
            <w:pPr>
              <w:widowControl/>
              <w:spacing w:line="400" w:lineRule="exact"/>
              <w:ind w:left="396" w:hangingChars="198" w:hanging="396"/>
              <w:rPr>
                <w:rFonts w:ascii="宋体" w:eastAsia="宋体" w:hAnsi="宋体" w:cs="Times New Roman"/>
                <w:color w:val="000000"/>
                <w:kern w:val="28"/>
                <w:sz w:val="24"/>
                <w:szCs w:val="21"/>
              </w:rPr>
            </w:pPr>
            <w:r w:rsidRPr="002B68D3">
              <w:rPr>
                <w:rFonts w:ascii="宋体" w:eastAsia="宋体" w:hAnsi="宋体" w:cs="Times New Roman" w:hint="eastAsia"/>
                <w:color w:val="000000"/>
                <w:kern w:val="28"/>
                <w:sz w:val="20"/>
                <w:szCs w:val="20"/>
                <w:lang w:val="zh-Hans" w:eastAsia="zh-Hans"/>
              </w:rPr>
              <w:t xml:space="preserve">　</w:t>
            </w:r>
          </w:p>
        </w:tc>
      </w:tr>
    </w:tbl>
    <w:p w:rsidR="00F46AF0" w:rsidRDefault="00F46AF0"/>
    <w:sectPr w:rsidR="00F46A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3B" w:rsidRDefault="00A84E3B" w:rsidP="002B68D3">
      <w:r>
        <w:separator/>
      </w:r>
    </w:p>
  </w:endnote>
  <w:endnote w:type="continuationSeparator" w:id="0">
    <w:p w:rsidR="00A84E3B" w:rsidRDefault="00A84E3B" w:rsidP="002B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姚体">
    <w:panose1 w:val="02010601030101010101"/>
    <w:charset w:val="86"/>
    <w:family w:val="auto"/>
    <w:pitch w:val="variable"/>
    <w:sig w:usb0="00000003"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3B" w:rsidRDefault="00A84E3B" w:rsidP="002B68D3">
      <w:r>
        <w:separator/>
      </w:r>
    </w:p>
  </w:footnote>
  <w:footnote w:type="continuationSeparator" w:id="0">
    <w:p w:rsidR="00A84E3B" w:rsidRDefault="00A84E3B" w:rsidP="002B6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9F"/>
    <w:rsid w:val="000129FF"/>
    <w:rsid w:val="0002345F"/>
    <w:rsid w:val="00065464"/>
    <w:rsid w:val="000B5EDB"/>
    <w:rsid w:val="000C30C9"/>
    <w:rsid w:val="00146D52"/>
    <w:rsid w:val="001D6C6B"/>
    <w:rsid w:val="001E634B"/>
    <w:rsid w:val="001F6715"/>
    <w:rsid w:val="00212391"/>
    <w:rsid w:val="002347A8"/>
    <w:rsid w:val="00234A4E"/>
    <w:rsid w:val="00242B3B"/>
    <w:rsid w:val="00271732"/>
    <w:rsid w:val="002B68D3"/>
    <w:rsid w:val="002D5D7C"/>
    <w:rsid w:val="003211B1"/>
    <w:rsid w:val="003B5641"/>
    <w:rsid w:val="003E5044"/>
    <w:rsid w:val="003E5554"/>
    <w:rsid w:val="00442886"/>
    <w:rsid w:val="0046571B"/>
    <w:rsid w:val="004867AD"/>
    <w:rsid w:val="00492FC4"/>
    <w:rsid w:val="004A79B7"/>
    <w:rsid w:val="004E654C"/>
    <w:rsid w:val="0050139D"/>
    <w:rsid w:val="00507582"/>
    <w:rsid w:val="00511EF1"/>
    <w:rsid w:val="0052582F"/>
    <w:rsid w:val="00535C9C"/>
    <w:rsid w:val="00574BCA"/>
    <w:rsid w:val="0058087F"/>
    <w:rsid w:val="005E346E"/>
    <w:rsid w:val="00631C84"/>
    <w:rsid w:val="00707165"/>
    <w:rsid w:val="00717F95"/>
    <w:rsid w:val="007523F1"/>
    <w:rsid w:val="007C32DA"/>
    <w:rsid w:val="007E6EA1"/>
    <w:rsid w:val="00862273"/>
    <w:rsid w:val="008D2F86"/>
    <w:rsid w:val="008E4726"/>
    <w:rsid w:val="008F3415"/>
    <w:rsid w:val="00977333"/>
    <w:rsid w:val="009A1931"/>
    <w:rsid w:val="009C3B4D"/>
    <w:rsid w:val="00A717DB"/>
    <w:rsid w:val="00A84E3B"/>
    <w:rsid w:val="00A94A88"/>
    <w:rsid w:val="00AE1610"/>
    <w:rsid w:val="00AE3565"/>
    <w:rsid w:val="00AF178C"/>
    <w:rsid w:val="00B22820"/>
    <w:rsid w:val="00B605BA"/>
    <w:rsid w:val="00BA388D"/>
    <w:rsid w:val="00BB0074"/>
    <w:rsid w:val="00BB341A"/>
    <w:rsid w:val="00BB5BCE"/>
    <w:rsid w:val="00C14466"/>
    <w:rsid w:val="00C30FE9"/>
    <w:rsid w:val="00D14722"/>
    <w:rsid w:val="00D25C12"/>
    <w:rsid w:val="00D2723E"/>
    <w:rsid w:val="00D303F1"/>
    <w:rsid w:val="00D9463F"/>
    <w:rsid w:val="00D94FC4"/>
    <w:rsid w:val="00E23B1A"/>
    <w:rsid w:val="00E244B8"/>
    <w:rsid w:val="00EB6B9F"/>
    <w:rsid w:val="00EC65C7"/>
    <w:rsid w:val="00ED0116"/>
    <w:rsid w:val="00EF3973"/>
    <w:rsid w:val="00F020FA"/>
    <w:rsid w:val="00F16E20"/>
    <w:rsid w:val="00F249E9"/>
    <w:rsid w:val="00F374B2"/>
    <w:rsid w:val="00F449E1"/>
    <w:rsid w:val="00F46AF0"/>
    <w:rsid w:val="00F5237D"/>
    <w:rsid w:val="00F67834"/>
    <w:rsid w:val="00F71AEE"/>
    <w:rsid w:val="00FE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68D3"/>
    <w:rPr>
      <w:sz w:val="18"/>
      <w:szCs w:val="18"/>
    </w:rPr>
  </w:style>
  <w:style w:type="paragraph" w:styleId="a4">
    <w:name w:val="footer"/>
    <w:basedOn w:val="a"/>
    <w:link w:val="Char0"/>
    <w:uiPriority w:val="99"/>
    <w:unhideWhenUsed/>
    <w:rsid w:val="002B68D3"/>
    <w:pPr>
      <w:tabs>
        <w:tab w:val="center" w:pos="4153"/>
        <w:tab w:val="right" w:pos="8306"/>
      </w:tabs>
      <w:snapToGrid w:val="0"/>
      <w:jc w:val="left"/>
    </w:pPr>
    <w:rPr>
      <w:sz w:val="18"/>
      <w:szCs w:val="18"/>
    </w:rPr>
  </w:style>
  <w:style w:type="character" w:customStyle="1" w:styleId="Char0">
    <w:name w:val="页脚 Char"/>
    <w:basedOn w:val="a0"/>
    <w:link w:val="a4"/>
    <w:uiPriority w:val="99"/>
    <w:rsid w:val="002B68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68D3"/>
    <w:rPr>
      <w:sz w:val="18"/>
      <w:szCs w:val="18"/>
    </w:rPr>
  </w:style>
  <w:style w:type="paragraph" w:styleId="a4">
    <w:name w:val="footer"/>
    <w:basedOn w:val="a"/>
    <w:link w:val="Char0"/>
    <w:uiPriority w:val="99"/>
    <w:unhideWhenUsed/>
    <w:rsid w:val="002B68D3"/>
    <w:pPr>
      <w:tabs>
        <w:tab w:val="center" w:pos="4153"/>
        <w:tab w:val="right" w:pos="8306"/>
      </w:tabs>
      <w:snapToGrid w:val="0"/>
      <w:jc w:val="left"/>
    </w:pPr>
    <w:rPr>
      <w:sz w:val="18"/>
      <w:szCs w:val="18"/>
    </w:rPr>
  </w:style>
  <w:style w:type="character" w:customStyle="1" w:styleId="Char0">
    <w:name w:val="页脚 Char"/>
    <w:basedOn w:val="a0"/>
    <w:link w:val="a4"/>
    <w:uiPriority w:val="99"/>
    <w:rsid w:val="002B68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3985">
      <w:bodyDiv w:val="1"/>
      <w:marLeft w:val="0"/>
      <w:marRight w:val="0"/>
      <w:marTop w:val="0"/>
      <w:marBottom w:val="0"/>
      <w:divBdr>
        <w:top w:val="none" w:sz="0" w:space="0" w:color="auto"/>
        <w:left w:val="none" w:sz="0" w:space="0" w:color="auto"/>
        <w:bottom w:val="none" w:sz="0" w:space="0" w:color="auto"/>
        <w:right w:val="none" w:sz="0" w:space="0" w:color="auto"/>
      </w:divBdr>
      <w:divsChild>
        <w:div w:id="1024747861">
          <w:marLeft w:val="0"/>
          <w:marRight w:val="0"/>
          <w:marTop w:val="0"/>
          <w:marBottom w:val="280"/>
          <w:divBdr>
            <w:top w:val="none" w:sz="0" w:space="0" w:color="auto"/>
            <w:left w:val="none" w:sz="0" w:space="0" w:color="auto"/>
            <w:bottom w:val="none" w:sz="0" w:space="0" w:color="auto"/>
            <w:right w:val="none" w:sz="0" w:space="0" w:color="auto"/>
          </w:divBdr>
        </w:div>
        <w:div w:id="2093114386">
          <w:marLeft w:val="0"/>
          <w:marRight w:val="0"/>
          <w:marTop w:val="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1844</Characters>
  <Application>Microsoft Office Word</Application>
  <DocSecurity>0</DocSecurity>
  <Lines>15</Lines>
  <Paragraphs>4</Paragraphs>
  <ScaleCrop>false</ScaleCrop>
  <Company>Lenovo (Beijing) Limited</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孙德昌</dc:creator>
  <cp:keywords/>
  <dc:description/>
  <cp:lastModifiedBy>孙德昌</cp:lastModifiedBy>
  <cp:revision>2</cp:revision>
  <dcterms:created xsi:type="dcterms:W3CDTF">2016-08-02T02:03:00Z</dcterms:created>
  <dcterms:modified xsi:type="dcterms:W3CDTF">2016-08-02T02:04:00Z</dcterms:modified>
</cp:coreProperties>
</file>