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71" w:afterAutospacing="0"/>
        <w:ind w:left="343" w:right="343" w:firstLine="0"/>
        <w:jc w:val="center"/>
        <w:rPr>
          <w:rFonts w:hint="eastAsia" w:ascii="仿宋" w:hAnsi="仿宋" w:eastAsia="仿宋" w:cs="仿宋"/>
          <w:i w:val="0"/>
          <w:iCs w:val="0"/>
          <w:caps w:val="0"/>
          <w:color w:val="C21F3A"/>
          <w:spacing w:val="0"/>
          <w:sz w:val="24"/>
          <w:szCs w:val="24"/>
        </w:rPr>
      </w:pPr>
      <w:r>
        <w:rPr>
          <w:rFonts w:hint="eastAsia" w:ascii="仿宋" w:hAnsi="仿宋" w:eastAsia="仿宋" w:cs="仿宋"/>
          <w:i w:val="0"/>
          <w:iCs w:val="0"/>
          <w:caps w:val="0"/>
          <w:color w:val="C21F3A"/>
          <w:spacing w:val="0"/>
          <w:kern w:val="0"/>
          <w:sz w:val="24"/>
          <w:szCs w:val="24"/>
          <w:bdr w:val="none" w:color="auto" w:sz="0" w:space="0"/>
          <w:shd w:val="clear" w:fill="FFFFFF"/>
          <w:lang w:val="en-US" w:eastAsia="zh-CN" w:bidi="ar"/>
        </w:rPr>
        <w:t>竞买公告</w:t>
      </w:r>
    </w:p>
    <w:p>
      <w:pPr>
        <w:keepNext w:val="0"/>
        <w:keepLines w:val="0"/>
        <w:widowControl/>
        <w:suppressLineNumbers w:val="0"/>
        <w:pBdr>
          <w:top w:val="none" w:color="auto" w:sz="0" w:space="0"/>
          <w:bottom w:val="none" w:color="auto" w:sz="0" w:space="0"/>
        </w:pBdr>
        <w:spacing w:before="0" w:beforeAutospacing="0" w:after="171" w:afterAutospacing="0"/>
        <w:ind w:left="343" w:right="343" w:firstLine="0"/>
        <w:jc w:val="center"/>
        <w:rPr>
          <w:rFonts w:hint="eastAsia" w:ascii="仿宋" w:hAnsi="仿宋" w:eastAsia="仿宋" w:cs="仿宋"/>
          <w:i w:val="0"/>
          <w:iCs w:val="0"/>
          <w:caps w:val="0"/>
          <w:color w:val="666666"/>
          <w:spacing w:val="0"/>
          <w:sz w:val="24"/>
          <w:szCs w:val="24"/>
        </w:rPr>
      </w:pPr>
      <w:r>
        <w:rPr>
          <w:rFonts w:hint="eastAsia" w:ascii="仿宋" w:hAnsi="仿宋" w:eastAsia="仿宋" w:cs="仿宋"/>
          <w:i w:val="0"/>
          <w:iCs w:val="0"/>
          <w:caps w:val="0"/>
          <w:color w:val="666666"/>
          <w:spacing w:val="0"/>
          <w:kern w:val="0"/>
          <w:sz w:val="24"/>
          <w:szCs w:val="24"/>
          <w:lang w:val="en-US" w:eastAsia="zh-CN" w:bidi="ar"/>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223" w:lineRule="atLeast"/>
        <w:ind w:left="344" w:right="344"/>
        <w:jc w:val="center"/>
        <w:rPr>
          <w:rFonts w:hint="eastAsia" w:ascii="仿宋" w:hAnsi="仿宋" w:eastAsia="仿宋" w:cs="仿宋"/>
          <w:sz w:val="24"/>
          <w:szCs w:val="24"/>
        </w:rPr>
      </w:pPr>
      <w:r>
        <w:rPr>
          <w:rFonts w:hint="eastAsia" w:ascii="仿宋" w:hAnsi="仿宋" w:eastAsia="仿宋" w:cs="仿宋"/>
          <w:b/>
          <w:bCs/>
          <w:i w:val="0"/>
          <w:iCs w:val="0"/>
          <w:caps w:val="0"/>
          <w:color w:val="444444"/>
          <w:spacing w:val="0"/>
          <w:sz w:val="24"/>
          <w:szCs w:val="24"/>
          <w:bdr w:val="none" w:color="auto" w:sz="0" w:space="0"/>
        </w:rPr>
        <w:t>拍卖公告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上海光明饲料有限公司管理人（下称“管理人”）将于</w:t>
      </w:r>
      <w:r>
        <w:rPr>
          <w:rFonts w:hint="eastAsia" w:ascii="仿宋" w:hAnsi="仿宋" w:eastAsia="仿宋" w:cs="仿宋"/>
          <w:i w:val="0"/>
          <w:iCs w:val="0"/>
          <w:caps w:val="0"/>
          <w:color w:val="FF0000"/>
          <w:spacing w:val="0"/>
          <w:sz w:val="24"/>
          <w:szCs w:val="24"/>
          <w:bdr w:val="none" w:color="auto" w:sz="0" w:space="0"/>
        </w:rPr>
        <w:t>2024年9月4日10时至2024年9月5日10时止（延时除外）</w:t>
      </w:r>
      <w:r>
        <w:rPr>
          <w:rFonts w:hint="eastAsia" w:ascii="仿宋" w:hAnsi="仿宋" w:eastAsia="仿宋" w:cs="仿宋"/>
          <w:i w:val="0"/>
          <w:iCs w:val="0"/>
          <w:caps w:val="0"/>
          <w:color w:val="666666"/>
          <w:spacing w:val="0"/>
          <w:sz w:val="24"/>
          <w:szCs w:val="24"/>
          <w:bdr w:val="none" w:color="auto" w:sz="0" w:space="0"/>
        </w:rPr>
        <w:t>在淘宝网司法拍卖网络平台（处置单位：上海光明饲料有限公司管理人；监督单位：上海市第三中级人民法院；拍卖辅助单位：上海国际商品拍卖有限公司），进行公开拍卖活动，现公告如下：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一、重要提示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1. 郑重声明：本标的系管理人依法独立履行《中华人民共和国企业破产法》第25条第6项的职责在淘宝网司法拍卖网络平台处分上海光明饲料有限公司(“债务人”)财产，并承担相应责任。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2. 竞买人应当具备完全民事行为能力，法律、行政法规和司法解释等规范性法律文件等对买受人资格或者条件有特殊规定的，竞买人应当具备规定的资格或者条件。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淘宝账户实名认证需48小时左右，请有意向参与竞拍的竞买人提前开设好淘宝账户，以防影响参与竞拍。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竞拍前请务必遵照《拍卖公告》《拍卖须知》要求，调查标的物信息、了解竞买资质、委托代理及尾款支付方式等内容。如违反相关规定，您的保证金可能会被划扣并产生其它法律责任，请理性参拍。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3. 拍卖成交，拍卖标的后续所有相关手续由买受人自行办理，所涉及的所有责任与费用均由买受人承担。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4. 本次拍卖公告所作的情况说明，仅为竞买人参与竞买提供参考，不能作为竞买人判断、权衡价值的最终依据，竞买人根据自身需求可自行调查、了解、核实。未尽事宜，管理人和拍辅单位不承担任何责任。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5. 本次拍卖标的物以其现状为准，凡参与竞拍即视为竞拍人了解详情和确认标的现状。本次拍卖标的物的真实性、合法性、有效性上可能存在的争议和风险由买受人自行考察、甄别、判断和承受，竞买人应对拍卖标的实际状况以及瑕疵（含显性、隐性瑕疵）等自行调查核实、承担投资风险。本次拍卖标的情况较为复杂，标的物以其现状为准，管理人和拍辅单位提供的资料和数据仅供竞买人参考，不承担瑕疵担保责任，若与实际不符时，不影响本次拍卖的成交和成交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15"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FF0000"/>
          <w:spacing w:val="0"/>
          <w:sz w:val="24"/>
          <w:szCs w:val="24"/>
          <w:u w:val="single"/>
          <w:bdr w:val="none" w:color="auto" w:sz="0" w:space="0"/>
          <w:shd w:val="clear" w:fill="FFFF00"/>
        </w:rPr>
        <w:t>6. 本次拍卖标的为上海光明饲料有限公司应收款项，拍卖标的以其现状为准，管理人接管到的材料缺失严重，任何有关本次拍卖的应收款项的瑕疵和风险，由买受人自行承担，管理人和法院均不承担，具体包括但不限于下列风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15"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FF0000"/>
          <w:spacing w:val="0"/>
          <w:sz w:val="24"/>
          <w:szCs w:val="24"/>
          <w:u w:val="single"/>
          <w:bdr w:val="none" w:color="auto" w:sz="0" w:space="0"/>
          <w:shd w:val="clear" w:fill="FFFF00"/>
        </w:rPr>
        <w:t>（1）账面记录可能与实际情况不符，不符原因包括但不限于记账错误、无真实应收款项债务关系等；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15"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FF0000"/>
          <w:spacing w:val="0"/>
          <w:sz w:val="24"/>
          <w:szCs w:val="24"/>
          <w:u w:val="single"/>
          <w:bdr w:val="none" w:color="auto" w:sz="0" w:space="0"/>
          <w:shd w:val="clear" w:fill="FFFF00"/>
        </w:rPr>
        <w:t>（2）管理人仅以接管到的上海光明饲料有限公司的财务账簿为准，不一定能完整提供合同、订单、发票、财务资料等支持性文件，对外应收款项可能全部或部分无效、不存在、无法追回、产生损失等，真实性存在瑕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15"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FF0000"/>
          <w:spacing w:val="0"/>
          <w:sz w:val="24"/>
          <w:szCs w:val="24"/>
          <w:u w:val="single"/>
          <w:bdr w:val="none" w:color="auto" w:sz="0" w:space="0"/>
          <w:shd w:val="clear" w:fill="FFFF00"/>
        </w:rPr>
        <w:t>（3）管理人自行梳理的应收款项文件中记载的应收款项户数、金额可能存在全部或部分不准确，可能与原权利人财务记载的信息不一致的情形；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15"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FF0000"/>
          <w:spacing w:val="0"/>
          <w:sz w:val="24"/>
          <w:szCs w:val="24"/>
          <w:u w:val="single"/>
          <w:bdr w:val="none" w:color="auto" w:sz="0" w:space="0"/>
          <w:shd w:val="clear" w:fill="FFFF00"/>
        </w:rPr>
        <w:t>（4）应收款项可能存在不符合约定的付款条件、付款期限未届满、被质押以及存在因违约情形导致应收款项存在争议、无法取回、产生损失等风险；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15"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FF0000"/>
          <w:spacing w:val="0"/>
          <w:sz w:val="24"/>
          <w:szCs w:val="24"/>
          <w:u w:val="single"/>
          <w:bdr w:val="none" w:color="auto" w:sz="0" w:space="0"/>
          <w:shd w:val="clear" w:fill="FFFF00"/>
        </w:rPr>
        <w:t>（5）与应收款项相关的债务人或担保人或第三方可能存在破产、被解散、被注销、被吊销、歇业、下落不明以及其他主体存续性瑕疵的情形；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15"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FF0000"/>
          <w:spacing w:val="0"/>
          <w:sz w:val="24"/>
          <w:szCs w:val="24"/>
          <w:u w:val="single"/>
          <w:bdr w:val="none" w:color="auto" w:sz="0" w:space="0"/>
          <w:shd w:val="clear" w:fill="FFFF00"/>
        </w:rPr>
        <w:t>（6）应收款项文件对于应收款项的行使可能存在不真实、不完整，应收款项凭证原件缺失、不存在或内容冲突导致应收款项存在争议、无法收回、产生损失等相关情形；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15"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FF0000"/>
          <w:spacing w:val="0"/>
          <w:sz w:val="24"/>
          <w:szCs w:val="24"/>
          <w:u w:val="single"/>
          <w:bdr w:val="none" w:color="auto" w:sz="0" w:space="0"/>
          <w:shd w:val="clear" w:fill="FFFF00"/>
        </w:rPr>
        <w:t>（7）应收款项文件可能与应收款项文件清单记载不一致导致应收款项存在争议、无法收回、产生损失等风险；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15"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FF0000"/>
          <w:spacing w:val="0"/>
          <w:sz w:val="24"/>
          <w:szCs w:val="24"/>
          <w:u w:val="single"/>
          <w:bdr w:val="none" w:color="auto" w:sz="0" w:space="0"/>
          <w:shd w:val="clear" w:fill="FFFF00"/>
        </w:rPr>
        <w:t>（8）就应收款项提起诉讼可能存在反诉要求赔偿违约金等应收款项存在争议、无法收回、产生损失的风险；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15"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FF0000"/>
          <w:spacing w:val="0"/>
          <w:sz w:val="24"/>
          <w:szCs w:val="24"/>
          <w:u w:val="single"/>
          <w:bdr w:val="none" w:color="auto" w:sz="0" w:space="0"/>
          <w:shd w:val="clear" w:fill="FFFF00"/>
        </w:rPr>
        <w:t>（9）本次拍卖不对债权人关联方与债务人之间是否存在其他争议承担任何担保责任，竞买人应自行调查、了解、核实；</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15"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FF0000"/>
          <w:spacing w:val="0"/>
          <w:sz w:val="24"/>
          <w:szCs w:val="24"/>
          <w:u w:val="single"/>
          <w:bdr w:val="none" w:color="auto" w:sz="0" w:space="0"/>
          <w:shd w:val="clear" w:fill="FFFF00"/>
        </w:rPr>
        <w:t>（10）应收款项项目可能存在已经被其他债权人或第三人收取的情形；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15"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FF0000"/>
          <w:spacing w:val="0"/>
          <w:sz w:val="24"/>
          <w:szCs w:val="24"/>
          <w:u w:val="single"/>
          <w:bdr w:val="none" w:color="auto" w:sz="0" w:space="0"/>
          <w:shd w:val="clear" w:fill="FFFF00"/>
        </w:rPr>
        <w:t>（11）其他已经和/或尚未发现的可能导致应收款项存在争议、不存在、无法收回、产生损失等风险；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15"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FF0000"/>
          <w:spacing w:val="0"/>
          <w:sz w:val="24"/>
          <w:szCs w:val="24"/>
          <w:u w:val="single"/>
          <w:bdr w:val="none" w:color="auto" w:sz="0" w:space="0"/>
          <w:shd w:val="clear" w:fill="FFFF00"/>
        </w:rPr>
        <w:t>（12）可能存在联系不到债务人的情况。如无法确定债务人联系方式的，实际无法开展追收工作；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15"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FF0000"/>
          <w:spacing w:val="0"/>
          <w:sz w:val="24"/>
          <w:szCs w:val="24"/>
          <w:u w:val="single"/>
          <w:bdr w:val="none" w:color="auto" w:sz="0" w:space="0"/>
          <w:shd w:val="clear" w:fill="FFFF00"/>
        </w:rPr>
        <w:t>（13）应收款项可能已超诉讼时效、执行时效或丧失相关的法定期间或因其他原因已部分消灭或成为自然债导致存在无法收回，因合同约定、债务人实际已履行等原因已消灭，发票未开，被抵消、撤销以及其他原因或纠纷导致无法收回、产生损失等风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7. 法院和管理人有权随时撤回/中止本次拍卖。管理人撤回/中止拍卖的，竞买人已缴纳的保证金原路无息退回。</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二、 拍卖标的及起拍价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1. 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拍卖标的：</w:t>
      </w:r>
      <w:r>
        <w:rPr>
          <w:rFonts w:hint="eastAsia" w:ascii="仿宋" w:hAnsi="仿宋" w:eastAsia="仿宋" w:cs="仿宋"/>
          <w:i w:val="0"/>
          <w:iCs w:val="0"/>
          <w:caps w:val="0"/>
          <w:color w:val="FF0000"/>
          <w:spacing w:val="0"/>
          <w:sz w:val="24"/>
          <w:szCs w:val="24"/>
          <w:bdr w:val="none" w:color="auto" w:sz="0" w:space="0"/>
        </w:rPr>
        <w:t>上海光明饲料有限公司破产财产-无质押部分（共18项），按现状合并拍卖。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FF0000"/>
          <w:spacing w:val="0"/>
          <w:sz w:val="24"/>
          <w:szCs w:val="24"/>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FF0000"/>
          <w:spacing w:val="0"/>
          <w:sz w:val="24"/>
          <w:szCs w:val="24"/>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FF0000"/>
          <w:spacing w:val="0"/>
          <w:sz w:val="24"/>
          <w:szCs w:val="24"/>
          <w:bdr w:val="none" w:color="auto" w:sz="0" w:space="0"/>
        </w:rPr>
        <w:t> </w:t>
      </w:r>
    </w:p>
    <w:tbl>
      <w:tblPr>
        <w:tblW w:w="8528" w:type="dxa"/>
        <w:jc w:val="center"/>
        <w:tblBorders>
          <w:top w:val="single" w:color="DCDCDC" w:sz="4" w:space="0"/>
          <w:left w:val="single" w:color="DCDCDC" w:sz="4" w:space="0"/>
          <w:bottom w:val="single" w:color="DCDCDC" w:sz="4" w:space="0"/>
          <w:right w:val="single" w:color="DCDCDC" w:sz="4" w:space="0"/>
          <w:insideH w:val="outset" w:color="auto" w:sz="6" w:space="0"/>
          <w:insideV w:val="outset" w:color="auto" w:sz="6" w:space="0"/>
        </w:tblBorders>
        <w:shd w:val="clear"/>
        <w:tblLayout w:type="autofit"/>
        <w:tblCellMar>
          <w:top w:w="0" w:type="dxa"/>
          <w:left w:w="0" w:type="dxa"/>
          <w:bottom w:w="0" w:type="dxa"/>
          <w:right w:w="0" w:type="dxa"/>
        </w:tblCellMar>
      </w:tblPr>
      <w:tblGrid>
        <w:gridCol w:w="814"/>
        <w:gridCol w:w="2271"/>
        <w:gridCol w:w="2098"/>
        <w:gridCol w:w="1896"/>
        <w:gridCol w:w="1449"/>
      </w:tblGrid>
      <w:tr>
        <w:tblPrEx>
          <w:tblBorders>
            <w:top w:val="single" w:color="DCDCDC" w:sz="4" w:space="0"/>
            <w:left w:val="single" w:color="DCDCDC" w:sz="4" w:space="0"/>
            <w:bottom w:val="single" w:color="DCDCDC" w:sz="4" w:space="0"/>
            <w:right w:val="single" w:color="DCDCDC" w:sz="4" w:space="0"/>
            <w:insideH w:val="outset" w:color="auto" w:sz="6" w:space="0"/>
            <w:insideV w:val="outset" w:color="auto" w:sz="6" w:space="0"/>
          </w:tblBorders>
          <w:shd w:val="clear"/>
          <w:tblCellMar>
            <w:top w:w="0" w:type="dxa"/>
            <w:left w:w="0" w:type="dxa"/>
            <w:bottom w:w="0" w:type="dxa"/>
            <w:right w:w="0" w:type="dxa"/>
          </w:tblCellMar>
        </w:tblPrEx>
        <w:trPr>
          <w:trHeight w:val="619" w:hRule="atLeast"/>
          <w:jc w:val="center"/>
        </w:trPr>
        <w:tc>
          <w:tcPr>
            <w:tcW w:w="814" w:type="dxa"/>
            <w:vMerge w:val="restart"/>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拍卖标的</w:t>
            </w:r>
          </w:p>
        </w:tc>
        <w:tc>
          <w:tcPr>
            <w:tcW w:w="2271" w:type="dxa"/>
            <w:vMerge w:val="restart"/>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名称</w:t>
            </w:r>
          </w:p>
        </w:tc>
        <w:tc>
          <w:tcPr>
            <w:tcW w:w="3994" w:type="dxa"/>
            <w:gridSpan w:val="2"/>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债权金额</w:t>
            </w:r>
          </w:p>
        </w:tc>
        <w:tc>
          <w:tcPr>
            <w:tcW w:w="1449" w:type="dxa"/>
            <w:vMerge w:val="restart"/>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科目</w:t>
            </w:r>
          </w:p>
        </w:tc>
      </w:tr>
      <w:tr>
        <w:tblPrEx>
          <w:tblBorders>
            <w:top w:val="single" w:color="DCDCDC" w:sz="4" w:space="0"/>
            <w:left w:val="single" w:color="DCDCDC" w:sz="4" w:space="0"/>
            <w:bottom w:val="single" w:color="DCDCDC" w:sz="4" w:space="0"/>
            <w:right w:val="single" w:color="DCDCDC" w:sz="4" w:space="0"/>
            <w:insideH w:val="outset" w:color="auto" w:sz="6" w:space="0"/>
            <w:insideV w:val="outset" w:color="auto" w:sz="6" w:space="0"/>
          </w:tblBorders>
          <w:tblCellMar>
            <w:top w:w="0" w:type="dxa"/>
            <w:left w:w="0" w:type="dxa"/>
            <w:bottom w:w="0" w:type="dxa"/>
            <w:right w:w="0" w:type="dxa"/>
          </w:tblCellMar>
        </w:tblPrEx>
        <w:trPr>
          <w:trHeight w:val="619" w:hRule="atLeast"/>
          <w:jc w:val="center"/>
        </w:trPr>
        <w:tc>
          <w:tcPr>
            <w:tcW w:w="814"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c>
          <w:tcPr>
            <w:tcW w:w="2271"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c>
          <w:tcPr>
            <w:tcW w:w="2098"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未履行金额</w:t>
            </w:r>
          </w:p>
        </w:tc>
        <w:tc>
          <w:tcPr>
            <w:tcW w:w="1896"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违约金</w:t>
            </w:r>
          </w:p>
        </w:tc>
        <w:tc>
          <w:tcPr>
            <w:tcW w:w="1449"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r>
      <w:tr>
        <w:tblPrEx>
          <w:tblBorders>
            <w:top w:val="single" w:color="DCDCDC" w:sz="4" w:space="0"/>
            <w:left w:val="single" w:color="DCDCDC" w:sz="4" w:space="0"/>
            <w:bottom w:val="single" w:color="DCDCDC" w:sz="4" w:space="0"/>
            <w:right w:val="single" w:color="DCDCDC" w:sz="4" w:space="0"/>
            <w:insideH w:val="outset" w:color="auto" w:sz="6" w:space="0"/>
            <w:insideV w:val="outset" w:color="auto" w:sz="6" w:space="0"/>
          </w:tblBorders>
          <w:tblCellMar>
            <w:top w:w="0" w:type="dxa"/>
            <w:left w:w="0" w:type="dxa"/>
            <w:bottom w:w="0" w:type="dxa"/>
            <w:right w:w="0" w:type="dxa"/>
          </w:tblCellMar>
        </w:tblPrEx>
        <w:trPr>
          <w:jc w:val="center"/>
        </w:trPr>
        <w:tc>
          <w:tcPr>
            <w:tcW w:w="814" w:type="dxa"/>
            <w:vMerge w:val="restart"/>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1</w:t>
            </w:r>
          </w:p>
        </w:tc>
        <w:tc>
          <w:tcPr>
            <w:tcW w:w="2271"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江苏海欣润农业发展有限公司</w:t>
            </w:r>
          </w:p>
        </w:tc>
        <w:tc>
          <w:tcPr>
            <w:tcW w:w="2098"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right"/>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8,484,144.05</w:t>
            </w:r>
          </w:p>
        </w:tc>
        <w:tc>
          <w:tcPr>
            <w:tcW w:w="1896"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w:t>
            </w:r>
          </w:p>
        </w:tc>
        <w:tc>
          <w:tcPr>
            <w:tcW w:w="1449" w:type="dxa"/>
            <w:vMerge w:val="restart"/>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无质押应收账款</w:t>
            </w:r>
          </w:p>
        </w:tc>
      </w:tr>
      <w:tr>
        <w:tblPrEx>
          <w:tblBorders>
            <w:top w:val="single" w:color="DCDCDC" w:sz="4" w:space="0"/>
            <w:left w:val="single" w:color="DCDCDC" w:sz="4" w:space="0"/>
            <w:bottom w:val="single" w:color="DCDCDC" w:sz="4" w:space="0"/>
            <w:right w:val="single" w:color="DCDCDC" w:sz="4" w:space="0"/>
            <w:insideH w:val="outset" w:color="auto" w:sz="6" w:space="0"/>
            <w:insideV w:val="outset" w:color="auto" w:sz="6" w:space="0"/>
          </w:tblBorders>
          <w:shd w:val="clear"/>
          <w:tblCellMar>
            <w:top w:w="0" w:type="dxa"/>
            <w:left w:w="0" w:type="dxa"/>
            <w:bottom w:w="0" w:type="dxa"/>
            <w:right w:w="0" w:type="dxa"/>
          </w:tblCellMar>
        </w:tblPrEx>
        <w:trPr>
          <w:jc w:val="center"/>
        </w:trPr>
        <w:tc>
          <w:tcPr>
            <w:tcW w:w="814"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c>
          <w:tcPr>
            <w:tcW w:w="2271"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江苏省沿海农业发展有限公司</w:t>
            </w:r>
          </w:p>
        </w:tc>
        <w:tc>
          <w:tcPr>
            <w:tcW w:w="2098"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right"/>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3,786,507.82</w:t>
            </w:r>
          </w:p>
        </w:tc>
        <w:tc>
          <w:tcPr>
            <w:tcW w:w="1896"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w:t>
            </w:r>
          </w:p>
        </w:tc>
        <w:tc>
          <w:tcPr>
            <w:tcW w:w="1449"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r>
      <w:tr>
        <w:tblPrEx>
          <w:tblBorders>
            <w:top w:val="single" w:color="DCDCDC" w:sz="4" w:space="0"/>
            <w:left w:val="single" w:color="DCDCDC" w:sz="4" w:space="0"/>
            <w:bottom w:val="single" w:color="DCDCDC" w:sz="4" w:space="0"/>
            <w:right w:val="single" w:color="DCDCDC" w:sz="4" w:space="0"/>
            <w:insideH w:val="outset" w:color="auto" w:sz="6" w:space="0"/>
            <w:insideV w:val="outset" w:color="auto" w:sz="6" w:space="0"/>
          </w:tblBorders>
          <w:tblCellMar>
            <w:top w:w="0" w:type="dxa"/>
            <w:left w:w="0" w:type="dxa"/>
            <w:bottom w:w="0" w:type="dxa"/>
            <w:right w:w="0" w:type="dxa"/>
          </w:tblCellMar>
        </w:tblPrEx>
        <w:trPr>
          <w:jc w:val="center"/>
        </w:trPr>
        <w:tc>
          <w:tcPr>
            <w:tcW w:w="814"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c>
          <w:tcPr>
            <w:tcW w:w="2271"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陈友乐</w:t>
            </w:r>
          </w:p>
        </w:tc>
        <w:tc>
          <w:tcPr>
            <w:tcW w:w="2098"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right"/>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1,281,560.96</w:t>
            </w:r>
          </w:p>
        </w:tc>
        <w:tc>
          <w:tcPr>
            <w:tcW w:w="1896"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w:t>
            </w:r>
          </w:p>
        </w:tc>
        <w:tc>
          <w:tcPr>
            <w:tcW w:w="1449"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r>
      <w:tr>
        <w:tblPrEx>
          <w:tblBorders>
            <w:top w:val="single" w:color="DCDCDC" w:sz="4" w:space="0"/>
            <w:left w:val="single" w:color="DCDCDC" w:sz="4" w:space="0"/>
            <w:bottom w:val="single" w:color="DCDCDC" w:sz="4" w:space="0"/>
            <w:right w:val="single" w:color="DCDCDC" w:sz="4" w:space="0"/>
            <w:insideH w:val="outset" w:color="auto" w:sz="6" w:space="0"/>
            <w:insideV w:val="outset" w:color="auto" w:sz="6" w:space="0"/>
          </w:tblBorders>
          <w:tblCellMar>
            <w:top w:w="0" w:type="dxa"/>
            <w:left w:w="0" w:type="dxa"/>
            <w:bottom w:w="0" w:type="dxa"/>
            <w:right w:w="0" w:type="dxa"/>
          </w:tblCellMar>
        </w:tblPrEx>
        <w:trPr>
          <w:jc w:val="center"/>
        </w:trPr>
        <w:tc>
          <w:tcPr>
            <w:tcW w:w="814"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c>
          <w:tcPr>
            <w:tcW w:w="2271"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李清白</w:t>
            </w:r>
          </w:p>
        </w:tc>
        <w:tc>
          <w:tcPr>
            <w:tcW w:w="2098"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right"/>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1,115,122.67</w:t>
            </w:r>
          </w:p>
        </w:tc>
        <w:tc>
          <w:tcPr>
            <w:tcW w:w="1896"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w:t>
            </w:r>
          </w:p>
        </w:tc>
        <w:tc>
          <w:tcPr>
            <w:tcW w:w="1449"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r>
      <w:tr>
        <w:tblPrEx>
          <w:tblBorders>
            <w:top w:val="single" w:color="DCDCDC" w:sz="4" w:space="0"/>
            <w:left w:val="single" w:color="DCDCDC" w:sz="4" w:space="0"/>
            <w:bottom w:val="single" w:color="DCDCDC" w:sz="4" w:space="0"/>
            <w:right w:val="single" w:color="DCDCDC" w:sz="4" w:space="0"/>
            <w:insideH w:val="outset" w:color="auto" w:sz="6" w:space="0"/>
            <w:insideV w:val="outset" w:color="auto" w:sz="6" w:space="0"/>
          </w:tblBorders>
          <w:tblCellMar>
            <w:top w:w="0" w:type="dxa"/>
            <w:left w:w="0" w:type="dxa"/>
            <w:bottom w:w="0" w:type="dxa"/>
            <w:right w:w="0" w:type="dxa"/>
          </w:tblCellMar>
        </w:tblPrEx>
        <w:trPr>
          <w:jc w:val="center"/>
        </w:trPr>
        <w:tc>
          <w:tcPr>
            <w:tcW w:w="814"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c>
          <w:tcPr>
            <w:tcW w:w="2271"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郁步祥</w:t>
            </w:r>
          </w:p>
        </w:tc>
        <w:tc>
          <w:tcPr>
            <w:tcW w:w="2098"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right"/>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464,200.00</w:t>
            </w:r>
          </w:p>
        </w:tc>
        <w:tc>
          <w:tcPr>
            <w:tcW w:w="1896"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w:t>
            </w:r>
          </w:p>
        </w:tc>
        <w:tc>
          <w:tcPr>
            <w:tcW w:w="1449"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r>
      <w:tr>
        <w:tblPrEx>
          <w:tblBorders>
            <w:top w:val="single" w:color="DCDCDC" w:sz="4" w:space="0"/>
            <w:left w:val="single" w:color="DCDCDC" w:sz="4" w:space="0"/>
            <w:bottom w:val="single" w:color="DCDCDC" w:sz="4" w:space="0"/>
            <w:right w:val="single" w:color="DCDCDC" w:sz="4" w:space="0"/>
            <w:insideH w:val="outset" w:color="auto" w:sz="6" w:space="0"/>
            <w:insideV w:val="outset" w:color="auto" w:sz="6" w:space="0"/>
          </w:tblBorders>
          <w:tblCellMar>
            <w:top w:w="0" w:type="dxa"/>
            <w:left w:w="0" w:type="dxa"/>
            <w:bottom w:w="0" w:type="dxa"/>
            <w:right w:w="0" w:type="dxa"/>
          </w:tblCellMar>
        </w:tblPrEx>
        <w:trPr>
          <w:jc w:val="center"/>
        </w:trPr>
        <w:tc>
          <w:tcPr>
            <w:tcW w:w="814"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c>
          <w:tcPr>
            <w:tcW w:w="2271"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王礼文</w:t>
            </w:r>
          </w:p>
        </w:tc>
        <w:tc>
          <w:tcPr>
            <w:tcW w:w="2098"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right"/>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2,600.00</w:t>
            </w:r>
          </w:p>
        </w:tc>
        <w:tc>
          <w:tcPr>
            <w:tcW w:w="1896"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w:t>
            </w:r>
          </w:p>
        </w:tc>
        <w:tc>
          <w:tcPr>
            <w:tcW w:w="1449"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r>
      <w:tr>
        <w:tblPrEx>
          <w:tblBorders>
            <w:top w:val="single" w:color="DCDCDC" w:sz="4" w:space="0"/>
            <w:left w:val="single" w:color="DCDCDC" w:sz="4" w:space="0"/>
            <w:bottom w:val="single" w:color="DCDCDC" w:sz="4" w:space="0"/>
            <w:right w:val="single" w:color="DCDCDC" w:sz="4" w:space="0"/>
            <w:insideH w:val="outset" w:color="auto" w:sz="6" w:space="0"/>
            <w:insideV w:val="outset" w:color="auto" w:sz="6" w:space="0"/>
          </w:tblBorders>
          <w:shd w:val="clear"/>
          <w:tblCellMar>
            <w:top w:w="0" w:type="dxa"/>
            <w:left w:w="0" w:type="dxa"/>
            <w:bottom w:w="0" w:type="dxa"/>
            <w:right w:w="0" w:type="dxa"/>
          </w:tblCellMar>
        </w:tblPrEx>
        <w:trPr>
          <w:jc w:val="center"/>
        </w:trPr>
        <w:tc>
          <w:tcPr>
            <w:tcW w:w="814"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c>
          <w:tcPr>
            <w:tcW w:w="2271"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江苏尚宝牧业有限公司</w:t>
            </w:r>
          </w:p>
        </w:tc>
        <w:tc>
          <w:tcPr>
            <w:tcW w:w="2098"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right"/>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7,786.11</w:t>
            </w:r>
          </w:p>
        </w:tc>
        <w:tc>
          <w:tcPr>
            <w:tcW w:w="1896"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w:t>
            </w:r>
          </w:p>
        </w:tc>
        <w:tc>
          <w:tcPr>
            <w:tcW w:w="1449"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r>
      <w:tr>
        <w:tblPrEx>
          <w:tblBorders>
            <w:top w:val="single" w:color="DCDCDC" w:sz="4" w:space="0"/>
            <w:left w:val="single" w:color="DCDCDC" w:sz="4" w:space="0"/>
            <w:bottom w:val="single" w:color="DCDCDC" w:sz="4" w:space="0"/>
            <w:right w:val="single" w:color="DCDCDC" w:sz="4" w:space="0"/>
            <w:insideH w:val="outset" w:color="auto" w:sz="6" w:space="0"/>
            <w:insideV w:val="outset" w:color="auto" w:sz="6" w:space="0"/>
          </w:tblBorders>
          <w:shd w:val="clear"/>
          <w:tblCellMar>
            <w:top w:w="0" w:type="dxa"/>
            <w:left w:w="0" w:type="dxa"/>
            <w:bottom w:w="0" w:type="dxa"/>
            <w:right w:w="0" w:type="dxa"/>
          </w:tblCellMar>
        </w:tblPrEx>
        <w:trPr>
          <w:jc w:val="center"/>
        </w:trPr>
        <w:tc>
          <w:tcPr>
            <w:tcW w:w="814"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c>
          <w:tcPr>
            <w:tcW w:w="2271"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常州大江饲料有限公司</w:t>
            </w:r>
          </w:p>
        </w:tc>
        <w:tc>
          <w:tcPr>
            <w:tcW w:w="2098"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right"/>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8,314,457.02</w:t>
            </w:r>
          </w:p>
        </w:tc>
        <w:tc>
          <w:tcPr>
            <w:tcW w:w="1896"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w:t>
            </w:r>
          </w:p>
        </w:tc>
        <w:tc>
          <w:tcPr>
            <w:tcW w:w="1449"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r>
      <w:tr>
        <w:tblPrEx>
          <w:tblBorders>
            <w:top w:val="single" w:color="DCDCDC" w:sz="4" w:space="0"/>
            <w:left w:val="single" w:color="DCDCDC" w:sz="4" w:space="0"/>
            <w:bottom w:val="single" w:color="DCDCDC" w:sz="4" w:space="0"/>
            <w:right w:val="single" w:color="DCDCDC" w:sz="4" w:space="0"/>
            <w:insideH w:val="outset" w:color="auto" w:sz="6" w:space="0"/>
            <w:insideV w:val="outset" w:color="auto" w:sz="6" w:space="0"/>
          </w:tblBorders>
          <w:tblCellMar>
            <w:top w:w="0" w:type="dxa"/>
            <w:left w:w="0" w:type="dxa"/>
            <w:bottom w:w="0" w:type="dxa"/>
            <w:right w:w="0" w:type="dxa"/>
          </w:tblCellMar>
        </w:tblPrEx>
        <w:trPr>
          <w:jc w:val="center"/>
        </w:trPr>
        <w:tc>
          <w:tcPr>
            <w:tcW w:w="814"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c>
          <w:tcPr>
            <w:tcW w:w="2271" w:type="dxa"/>
            <w:vMerge w:val="restart"/>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江苏省沿海开发（东台）有限公司</w:t>
            </w:r>
          </w:p>
        </w:tc>
        <w:tc>
          <w:tcPr>
            <w:tcW w:w="2098"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6,791,100.00</w:t>
            </w:r>
          </w:p>
        </w:tc>
        <w:tc>
          <w:tcPr>
            <w:tcW w:w="1896"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w:t>
            </w:r>
          </w:p>
        </w:tc>
        <w:tc>
          <w:tcPr>
            <w:tcW w:w="1449"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r>
      <w:tr>
        <w:tblPrEx>
          <w:tblBorders>
            <w:top w:val="single" w:color="DCDCDC" w:sz="4" w:space="0"/>
            <w:left w:val="single" w:color="DCDCDC" w:sz="4" w:space="0"/>
            <w:bottom w:val="single" w:color="DCDCDC" w:sz="4" w:space="0"/>
            <w:right w:val="single" w:color="DCDCDC" w:sz="4" w:space="0"/>
            <w:insideH w:val="outset" w:color="auto" w:sz="6" w:space="0"/>
            <w:insideV w:val="outset" w:color="auto" w:sz="6" w:space="0"/>
          </w:tblBorders>
          <w:tblCellMar>
            <w:top w:w="0" w:type="dxa"/>
            <w:left w:w="0" w:type="dxa"/>
            <w:bottom w:w="0" w:type="dxa"/>
            <w:right w:w="0" w:type="dxa"/>
          </w:tblCellMar>
        </w:tblPrEx>
        <w:trPr>
          <w:jc w:val="center"/>
        </w:trPr>
        <w:tc>
          <w:tcPr>
            <w:tcW w:w="814"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c>
          <w:tcPr>
            <w:tcW w:w="2271"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c>
          <w:tcPr>
            <w:tcW w:w="2098"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36,800.00</w:t>
            </w:r>
          </w:p>
        </w:tc>
        <w:tc>
          <w:tcPr>
            <w:tcW w:w="1896"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w:t>
            </w:r>
          </w:p>
        </w:tc>
        <w:tc>
          <w:tcPr>
            <w:tcW w:w="1449"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r>
      <w:tr>
        <w:tblPrEx>
          <w:tblBorders>
            <w:top w:val="single" w:color="DCDCDC" w:sz="4" w:space="0"/>
            <w:left w:val="single" w:color="DCDCDC" w:sz="4" w:space="0"/>
            <w:bottom w:val="single" w:color="DCDCDC" w:sz="4" w:space="0"/>
            <w:right w:val="single" w:color="DCDCDC" w:sz="4" w:space="0"/>
            <w:insideH w:val="outset" w:color="auto" w:sz="6" w:space="0"/>
            <w:insideV w:val="outset" w:color="auto" w:sz="6" w:space="0"/>
          </w:tblBorders>
          <w:tblCellMar>
            <w:top w:w="0" w:type="dxa"/>
            <w:left w:w="0" w:type="dxa"/>
            <w:bottom w:w="0" w:type="dxa"/>
            <w:right w:w="0" w:type="dxa"/>
          </w:tblCellMar>
        </w:tblPrEx>
        <w:trPr>
          <w:jc w:val="center"/>
        </w:trPr>
        <w:tc>
          <w:tcPr>
            <w:tcW w:w="814"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c>
          <w:tcPr>
            <w:tcW w:w="2271"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法院扣款（冻结控制下扣款）</w:t>
            </w:r>
          </w:p>
        </w:tc>
        <w:tc>
          <w:tcPr>
            <w:tcW w:w="2098"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526,977.22</w:t>
            </w:r>
          </w:p>
        </w:tc>
        <w:tc>
          <w:tcPr>
            <w:tcW w:w="1896"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w:t>
            </w:r>
          </w:p>
        </w:tc>
        <w:tc>
          <w:tcPr>
            <w:tcW w:w="1449"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r>
      <w:tr>
        <w:tblPrEx>
          <w:tblBorders>
            <w:top w:val="single" w:color="DCDCDC" w:sz="4" w:space="0"/>
            <w:left w:val="single" w:color="DCDCDC" w:sz="4" w:space="0"/>
            <w:bottom w:val="single" w:color="DCDCDC" w:sz="4" w:space="0"/>
            <w:right w:val="single" w:color="DCDCDC" w:sz="4" w:space="0"/>
            <w:insideH w:val="outset" w:color="auto" w:sz="6" w:space="0"/>
            <w:insideV w:val="outset" w:color="auto" w:sz="6" w:space="0"/>
          </w:tblBorders>
          <w:tblCellMar>
            <w:top w:w="0" w:type="dxa"/>
            <w:left w:w="0" w:type="dxa"/>
            <w:bottom w:w="0" w:type="dxa"/>
            <w:right w:w="0" w:type="dxa"/>
          </w:tblCellMar>
        </w:tblPrEx>
        <w:trPr>
          <w:jc w:val="center"/>
        </w:trPr>
        <w:tc>
          <w:tcPr>
            <w:tcW w:w="814"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c>
          <w:tcPr>
            <w:tcW w:w="2271"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江苏尚宝牧业有限公司</w:t>
            </w:r>
          </w:p>
        </w:tc>
        <w:tc>
          <w:tcPr>
            <w:tcW w:w="2098"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20,000.00</w:t>
            </w:r>
          </w:p>
        </w:tc>
        <w:tc>
          <w:tcPr>
            <w:tcW w:w="1896"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w:t>
            </w:r>
          </w:p>
        </w:tc>
        <w:tc>
          <w:tcPr>
            <w:tcW w:w="1449"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r>
      <w:tr>
        <w:tblPrEx>
          <w:tblBorders>
            <w:top w:val="single" w:color="DCDCDC" w:sz="4" w:space="0"/>
            <w:left w:val="single" w:color="DCDCDC" w:sz="4" w:space="0"/>
            <w:bottom w:val="single" w:color="DCDCDC" w:sz="4" w:space="0"/>
            <w:right w:val="single" w:color="DCDCDC" w:sz="4" w:space="0"/>
            <w:insideH w:val="outset" w:color="auto" w:sz="6" w:space="0"/>
            <w:insideV w:val="outset" w:color="auto" w:sz="6" w:space="0"/>
          </w:tblBorders>
          <w:shd w:val="clear"/>
          <w:tblCellMar>
            <w:top w:w="0" w:type="dxa"/>
            <w:left w:w="0" w:type="dxa"/>
            <w:bottom w:w="0" w:type="dxa"/>
            <w:right w:w="0" w:type="dxa"/>
          </w:tblCellMar>
        </w:tblPrEx>
        <w:trPr>
          <w:jc w:val="center"/>
        </w:trPr>
        <w:tc>
          <w:tcPr>
            <w:tcW w:w="814"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c>
          <w:tcPr>
            <w:tcW w:w="2271"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李群</w:t>
            </w:r>
          </w:p>
        </w:tc>
        <w:tc>
          <w:tcPr>
            <w:tcW w:w="2098"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8,832.50</w:t>
            </w:r>
          </w:p>
        </w:tc>
        <w:tc>
          <w:tcPr>
            <w:tcW w:w="1896"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w:t>
            </w:r>
          </w:p>
        </w:tc>
        <w:tc>
          <w:tcPr>
            <w:tcW w:w="1449"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r>
      <w:tr>
        <w:tblPrEx>
          <w:tblBorders>
            <w:top w:val="single" w:color="DCDCDC" w:sz="4" w:space="0"/>
            <w:left w:val="single" w:color="DCDCDC" w:sz="4" w:space="0"/>
            <w:bottom w:val="single" w:color="DCDCDC" w:sz="4" w:space="0"/>
            <w:right w:val="single" w:color="DCDCDC" w:sz="4" w:space="0"/>
            <w:insideH w:val="outset" w:color="auto" w:sz="6" w:space="0"/>
            <w:insideV w:val="outset" w:color="auto" w:sz="6" w:space="0"/>
          </w:tblBorders>
          <w:tblCellMar>
            <w:top w:w="0" w:type="dxa"/>
            <w:left w:w="0" w:type="dxa"/>
            <w:bottom w:w="0" w:type="dxa"/>
            <w:right w:w="0" w:type="dxa"/>
          </w:tblCellMar>
        </w:tblPrEx>
        <w:trPr>
          <w:jc w:val="center"/>
        </w:trPr>
        <w:tc>
          <w:tcPr>
            <w:tcW w:w="814"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c>
          <w:tcPr>
            <w:tcW w:w="2271"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唐仲</w:t>
            </w:r>
          </w:p>
        </w:tc>
        <w:tc>
          <w:tcPr>
            <w:tcW w:w="2098"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5,796.40</w:t>
            </w:r>
          </w:p>
        </w:tc>
        <w:tc>
          <w:tcPr>
            <w:tcW w:w="1896"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w:t>
            </w:r>
          </w:p>
        </w:tc>
        <w:tc>
          <w:tcPr>
            <w:tcW w:w="1449"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r>
      <w:tr>
        <w:tblPrEx>
          <w:tblBorders>
            <w:top w:val="single" w:color="DCDCDC" w:sz="4" w:space="0"/>
            <w:left w:val="single" w:color="DCDCDC" w:sz="4" w:space="0"/>
            <w:bottom w:val="single" w:color="DCDCDC" w:sz="4" w:space="0"/>
            <w:right w:val="single" w:color="DCDCDC" w:sz="4" w:space="0"/>
            <w:insideH w:val="outset" w:color="auto" w:sz="6" w:space="0"/>
            <w:insideV w:val="outset" w:color="auto" w:sz="6" w:space="0"/>
          </w:tblBorders>
          <w:tblCellMar>
            <w:top w:w="0" w:type="dxa"/>
            <w:left w:w="0" w:type="dxa"/>
            <w:bottom w:w="0" w:type="dxa"/>
            <w:right w:w="0" w:type="dxa"/>
          </w:tblCellMar>
        </w:tblPrEx>
        <w:trPr>
          <w:jc w:val="center"/>
        </w:trPr>
        <w:tc>
          <w:tcPr>
            <w:tcW w:w="814"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c>
          <w:tcPr>
            <w:tcW w:w="2271"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尹倩</w:t>
            </w:r>
          </w:p>
        </w:tc>
        <w:tc>
          <w:tcPr>
            <w:tcW w:w="2098"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5,742.24</w:t>
            </w:r>
          </w:p>
        </w:tc>
        <w:tc>
          <w:tcPr>
            <w:tcW w:w="1896"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w:t>
            </w:r>
          </w:p>
        </w:tc>
        <w:tc>
          <w:tcPr>
            <w:tcW w:w="1449"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r>
      <w:tr>
        <w:tblPrEx>
          <w:tblBorders>
            <w:top w:val="single" w:color="DCDCDC" w:sz="4" w:space="0"/>
            <w:left w:val="single" w:color="DCDCDC" w:sz="4" w:space="0"/>
            <w:bottom w:val="single" w:color="DCDCDC" w:sz="4" w:space="0"/>
            <w:right w:val="single" w:color="DCDCDC" w:sz="4" w:space="0"/>
            <w:insideH w:val="outset" w:color="auto" w:sz="6" w:space="0"/>
            <w:insideV w:val="outset" w:color="auto" w:sz="6" w:space="0"/>
          </w:tblBorders>
          <w:tblCellMar>
            <w:top w:w="0" w:type="dxa"/>
            <w:left w:w="0" w:type="dxa"/>
            <w:bottom w:w="0" w:type="dxa"/>
            <w:right w:w="0" w:type="dxa"/>
          </w:tblCellMar>
        </w:tblPrEx>
        <w:trPr>
          <w:jc w:val="center"/>
        </w:trPr>
        <w:tc>
          <w:tcPr>
            <w:tcW w:w="814"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c>
          <w:tcPr>
            <w:tcW w:w="2271"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上海市海丰农场社区管理委员会</w:t>
            </w:r>
          </w:p>
        </w:tc>
        <w:tc>
          <w:tcPr>
            <w:tcW w:w="2098"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4,000.00</w:t>
            </w:r>
          </w:p>
        </w:tc>
        <w:tc>
          <w:tcPr>
            <w:tcW w:w="1896"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w:t>
            </w:r>
          </w:p>
        </w:tc>
        <w:tc>
          <w:tcPr>
            <w:tcW w:w="1449"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r>
      <w:tr>
        <w:tblPrEx>
          <w:tblBorders>
            <w:top w:val="single" w:color="DCDCDC" w:sz="4" w:space="0"/>
            <w:left w:val="single" w:color="DCDCDC" w:sz="4" w:space="0"/>
            <w:bottom w:val="single" w:color="DCDCDC" w:sz="4" w:space="0"/>
            <w:right w:val="single" w:color="DCDCDC" w:sz="4" w:space="0"/>
            <w:insideH w:val="outset" w:color="auto" w:sz="6" w:space="0"/>
            <w:insideV w:val="outset" w:color="auto" w:sz="6" w:space="0"/>
          </w:tblBorders>
          <w:tblCellMar>
            <w:top w:w="0" w:type="dxa"/>
            <w:left w:w="0" w:type="dxa"/>
            <w:bottom w:w="0" w:type="dxa"/>
            <w:right w:w="0" w:type="dxa"/>
          </w:tblCellMar>
        </w:tblPrEx>
        <w:trPr>
          <w:jc w:val="center"/>
        </w:trPr>
        <w:tc>
          <w:tcPr>
            <w:tcW w:w="814"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c>
          <w:tcPr>
            <w:tcW w:w="2271"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jc w:val="center"/>
              <w:rPr>
                <w:rFonts w:hint="eastAsia" w:ascii="仿宋" w:hAnsi="仿宋" w:eastAsia="仿宋" w:cs="仿宋"/>
                <w:sz w:val="24"/>
                <w:szCs w:val="24"/>
              </w:rPr>
            </w:pPr>
            <w:r>
              <w:rPr>
                <w:rFonts w:hint="eastAsia" w:ascii="仿宋" w:hAnsi="仿宋" w:eastAsia="仿宋" w:cs="仿宋"/>
                <w:sz w:val="24"/>
                <w:szCs w:val="24"/>
                <w:bdr w:val="none" w:color="auto" w:sz="0" w:space="0"/>
              </w:rPr>
              <w:t>常州大江饲料有限公司</w:t>
            </w:r>
          </w:p>
        </w:tc>
        <w:tc>
          <w:tcPr>
            <w:tcW w:w="2098"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7,944,666.65</w:t>
            </w:r>
          </w:p>
        </w:tc>
        <w:tc>
          <w:tcPr>
            <w:tcW w:w="1896"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jc w:val="center"/>
              <w:rPr>
                <w:rFonts w:hint="eastAsia" w:ascii="仿宋" w:hAnsi="仿宋" w:eastAsia="仿宋" w:cs="仿宋"/>
                <w:sz w:val="24"/>
                <w:szCs w:val="24"/>
              </w:rPr>
            </w:pPr>
            <w:r>
              <w:rPr>
                <w:rFonts w:hint="eastAsia" w:ascii="仿宋" w:hAnsi="仿宋" w:eastAsia="仿宋" w:cs="仿宋"/>
                <w:sz w:val="24"/>
                <w:szCs w:val="24"/>
                <w:bdr w:val="none" w:color="auto" w:sz="0" w:space="0"/>
              </w:rPr>
              <w:t>1.7944666.65元自2020年7月1日起至实际履行之日止的利息；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jc w:val="center"/>
              <w:rPr>
                <w:rFonts w:hint="eastAsia" w:ascii="仿宋" w:hAnsi="仿宋" w:eastAsia="仿宋" w:cs="仿宋"/>
                <w:sz w:val="24"/>
                <w:szCs w:val="24"/>
              </w:rPr>
            </w:pPr>
            <w:r>
              <w:rPr>
                <w:rFonts w:hint="eastAsia" w:ascii="仿宋" w:hAnsi="仿宋" w:eastAsia="仿宋" w:cs="仿宋"/>
                <w:sz w:val="24"/>
                <w:szCs w:val="24"/>
                <w:bdr w:val="none" w:color="auto" w:sz="0" w:space="0"/>
              </w:rPr>
              <w:t>2.保全申请费5000元。</w:t>
            </w:r>
          </w:p>
        </w:tc>
        <w:tc>
          <w:tcPr>
            <w:tcW w:w="1449"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r>
      <w:tr>
        <w:tblPrEx>
          <w:tblBorders>
            <w:top w:val="single" w:color="DCDCDC" w:sz="4" w:space="0"/>
            <w:left w:val="single" w:color="DCDCDC" w:sz="4" w:space="0"/>
            <w:bottom w:val="single" w:color="DCDCDC" w:sz="4" w:space="0"/>
            <w:right w:val="single" w:color="DCDCDC" w:sz="4" w:space="0"/>
            <w:insideH w:val="outset" w:color="auto" w:sz="6" w:space="0"/>
            <w:insideV w:val="outset" w:color="auto" w:sz="6" w:space="0"/>
          </w:tblBorders>
          <w:tblCellMar>
            <w:top w:w="0" w:type="dxa"/>
            <w:left w:w="0" w:type="dxa"/>
            <w:bottom w:w="0" w:type="dxa"/>
            <w:right w:w="0" w:type="dxa"/>
          </w:tblCellMar>
        </w:tblPrEx>
        <w:trPr>
          <w:jc w:val="center"/>
        </w:trPr>
        <w:tc>
          <w:tcPr>
            <w:tcW w:w="814"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c>
          <w:tcPr>
            <w:tcW w:w="2271"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jc w:val="center"/>
              <w:rPr>
                <w:rFonts w:hint="eastAsia" w:ascii="仿宋" w:hAnsi="仿宋" w:eastAsia="仿宋" w:cs="仿宋"/>
                <w:sz w:val="24"/>
                <w:szCs w:val="24"/>
              </w:rPr>
            </w:pPr>
            <w:r>
              <w:rPr>
                <w:rFonts w:hint="eastAsia" w:ascii="仿宋" w:hAnsi="仿宋" w:eastAsia="仿宋" w:cs="仿宋"/>
                <w:sz w:val="24"/>
                <w:szCs w:val="24"/>
                <w:bdr w:val="none" w:color="auto" w:sz="0" w:space="0"/>
              </w:rPr>
              <w:t>黄志伟、都昌县宏华特种水产品农民专业合作社、曹晓华</w:t>
            </w:r>
          </w:p>
        </w:tc>
        <w:tc>
          <w:tcPr>
            <w:tcW w:w="2098"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57,793.83</w:t>
            </w:r>
          </w:p>
        </w:tc>
        <w:tc>
          <w:tcPr>
            <w:tcW w:w="1896"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jc w:val="center"/>
              <w:rPr>
                <w:rFonts w:hint="eastAsia" w:ascii="仿宋" w:hAnsi="仿宋" w:eastAsia="仿宋" w:cs="仿宋"/>
                <w:sz w:val="24"/>
                <w:szCs w:val="24"/>
              </w:rPr>
            </w:pPr>
            <w:r>
              <w:rPr>
                <w:rFonts w:hint="eastAsia" w:ascii="仿宋" w:hAnsi="仿宋" w:eastAsia="仿宋" w:cs="仿宋"/>
                <w:sz w:val="24"/>
                <w:szCs w:val="24"/>
                <w:bdr w:val="none" w:color="auto" w:sz="0" w:space="0"/>
              </w:rPr>
              <w:t>1.逾期付款违约金（以77,602元为基数，自2018年1月1日起算至实际清偿日止，按日万之六计算）；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jc w:val="center"/>
              <w:rPr>
                <w:rFonts w:hint="eastAsia" w:ascii="仿宋" w:hAnsi="仿宋" w:eastAsia="仿宋" w:cs="仿宋"/>
                <w:sz w:val="24"/>
                <w:szCs w:val="24"/>
              </w:rPr>
            </w:pPr>
            <w:r>
              <w:rPr>
                <w:rFonts w:hint="eastAsia" w:ascii="仿宋" w:hAnsi="仿宋" w:eastAsia="仿宋" w:cs="仿宋"/>
                <w:sz w:val="24"/>
                <w:szCs w:val="24"/>
                <w:bdr w:val="none" w:color="auto" w:sz="0" w:space="0"/>
              </w:rPr>
              <w:t>2.律师费损失5,000元；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jc w:val="center"/>
              <w:rPr>
                <w:rFonts w:hint="eastAsia" w:ascii="仿宋" w:hAnsi="仿宋" w:eastAsia="仿宋" w:cs="仿宋"/>
                <w:sz w:val="24"/>
                <w:szCs w:val="24"/>
              </w:rPr>
            </w:pPr>
            <w:r>
              <w:rPr>
                <w:rFonts w:hint="eastAsia" w:ascii="仿宋" w:hAnsi="仿宋" w:eastAsia="仿宋" w:cs="仿宋"/>
                <w:sz w:val="24"/>
                <w:szCs w:val="24"/>
                <w:bdr w:val="none" w:color="auto" w:sz="0" w:space="0"/>
              </w:rPr>
              <w:t>3.公告费560元。</w:t>
            </w:r>
          </w:p>
        </w:tc>
        <w:tc>
          <w:tcPr>
            <w:tcW w:w="1449" w:type="dxa"/>
            <w:vMerge w:val="continue"/>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rPr>
                <w:rFonts w:hint="eastAsia" w:ascii="仿宋" w:hAnsi="仿宋" w:eastAsia="仿宋" w:cs="仿宋"/>
                <w:sz w:val="24"/>
                <w:szCs w:val="24"/>
              </w:rPr>
            </w:pPr>
          </w:p>
        </w:tc>
      </w:tr>
      <w:tr>
        <w:tblPrEx>
          <w:tblBorders>
            <w:top w:val="single" w:color="DCDCDC" w:sz="4" w:space="0"/>
            <w:left w:val="single" w:color="DCDCDC" w:sz="4" w:space="0"/>
            <w:bottom w:val="single" w:color="DCDCDC" w:sz="4" w:space="0"/>
            <w:right w:val="single" w:color="DCDCDC" w:sz="4" w:space="0"/>
            <w:insideH w:val="outset" w:color="auto" w:sz="6" w:space="0"/>
            <w:insideV w:val="outset" w:color="auto" w:sz="6" w:space="0"/>
          </w:tblBorders>
          <w:tblCellMar>
            <w:top w:w="0" w:type="dxa"/>
            <w:left w:w="0" w:type="dxa"/>
            <w:bottom w:w="0" w:type="dxa"/>
            <w:right w:w="0" w:type="dxa"/>
          </w:tblCellMar>
        </w:tblPrEx>
        <w:trPr>
          <w:jc w:val="center"/>
        </w:trPr>
        <w:tc>
          <w:tcPr>
            <w:tcW w:w="8528" w:type="dxa"/>
            <w:gridSpan w:val="5"/>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color w:val="000000"/>
                <w:sz w:val="24"/>
                <w:szCs w:val="24"/>
                <w:bdr w:val="none" w:color="auto" w:sz="0" w:space="0"/>
              </w:rPr>
              <w:t>以上为无质押部分应收账款</w:t>
            </w:r>
          </w:p>
        </w:tc>
      </w:tr>
    </w:tbl>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15"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FF0000"/>
          <w:spacing w:val="0"/>
          <w:sz w:val="24"/>
          <w:szCs w:val="24"/>
          <w:u w:val="single"/>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15"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FF0000"/>
          <w:spacing w:val="0"/>
          <w:sz w:val="24"/>
          <w:szCs w:val="24"/>
          <w:u w:val="single"/>
          <w:bdr w:val="none" w:color="auto" w:sz="0" w:space="0"/>
          <w:shd w:val="clear" w:fill="FFFF00"/>
        </w:rPr>
        <w:t>其他特别提示: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15"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FF0000"/>
          <w:spacing w:val="0"/>
          <w:sz w:val="24"/>
          <w:szCs w:val="24"/>
          <w:u w:val="single"/>
          <w:bdr w:val="none" w:color="auto" w:sz="0" w:space="0"/>
          <w:shd w:val="clear" w:fill="FFFF00"/>
        </w:rPr>
        <w:t>(1) 上述拍卖标的拍卖成交之后，仅由管理人与买受人办理资产交接手续。所涉及的一切税、费，均由买受人另行支付、自行承担；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15"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FF0000"/>
          <w:spacing w:val="0"/>
          <w:sz w:val="24"/>
          <w:szCs w:val="24"/>
          <w:u w:val="single"/>
          <w:bdr w:val="none" w:color="auto" w:sz="0" w:space="0"/>
          <w:shd w:val="clear" w:fill="FFFF00"/>
        </w:rPr>
        <w:t>(2) 买受人须自行负责通知债务人应收款项转让事项，管理人可予以必要的配合。可能存在通知不到债务人的风险，该些风险竞买人应当充分考虑，相关风险由竟买人承担；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FF0000"/>
          <w:spacing w:val="0"/>
          <w:sz w:val="24"/>
          <w:szCs w:val="24"/>
          <w:u w:val="single"/>
          <w:bdr w:val="none" w:color="auto" w:sz="0" w:space="0"/>
          <w:shd w:val="clear" w:fill="FFFF00"/>
        </w:rPr>
        <w:t>(3)上述存在着瑕疵或尚未发现的缺陷，由竞买人自行调查核实并承担相应风险。管理人和拍辅单位对标的债权清收的困难性和可回收性不作出任何承诺或保证。竞买人一旦作出竞买决定，即表明竞买人确认知悉标的可能存在的瑕疵和风险,竞买人自愿承担受让该等标的后可能承受的一切风险以及由该等风险所造成的一切损失或无法实现的预期利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FF0000"/>
          <w:spacing w:val="0"/>
          <w:sz w:val="24"/>
          <w:szCs w:val="24"/>
          <w:u w:val="single"/>
          <w:bdr w:val="none" w:color="auto" w:sz="0" w:space="0"/>
          <w:shd w:val="clear" w:fill="FFFF00"/>
        </w:rPr>
        <w:t>(4)管理人和拍辅单位对此次竞价标的物所作的说明和提供的资料等,不构成对标的物的任何担保,不作为对竞买人参与此次竞价的建议,仅提供竞买人参考。（特别提醒：请有意竞买者自行在拍卖前仔细审查拍卖标的物,调查是否存在瑕疵,认真研究查看所竞买标的物的实际情况,竞买人一旦参与竞买,即视为对拍卖标的已完全了解,并接受拍卖标的现状和一切已知及未知的瑕疵（含显性、隐性瑕疵）,管理人不承担瑕疵担保责任）。拍卖成交之日起，买受人承担标的物可能发生的一切损毁、灭失、贬值等风险。管理人有权在拍卖开始前、拍卖过程中，中止拍卖或撤回拍卖，前述行为对各方不构成违约且管理人不承担各方因此造成的损失。本次网上公开竞价《竞买公告》《竞买须知》等拍卖标的相关文件已在网拍平台公开展示,请仔细阅读。管理人已就前述相关拍卖标的相关文件的所有条款向竞买人如实告知并做出详细说明,竞买人知悉并同意接受前述文件的全部条款和内容,竞买人和资产处置方双方不存在任何歧义和误认,竞买人承诺不再对前述文件的条款提出任何异议。管理人和拍辅单位不对应收款项是否可以收回或潜在的责任和风险做出任何担保，不承担本标的物瑕疵保证，相关风险均由竞买人自行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FF0000"/>
          <w:spacing w:val="0"/>
          <w:sz w:val="24"/>
          <w:szCs w:val="24"/>
          <w:u w:val="single"/>
          <w:bdr w:val="none" w:color="auto" w:sz="0" w:space="0"/>
          <w:shd w:val="clear" w:fill="FFFF00"/>
        </w:rPr>
        <w:t>（5）拍卖标的涉及借用期内利息、逾期付款后应付的利息等均计算至起拍日2024年5月11日；涉及按照全国银行间同业拆借中心公布的贷款市场报价利率（LPR）计算的利息，均上浮50%。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2. 起拍价、保证金及增价幅度：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b/>
          <w:bCs/>
          <w:i w:val="0"/>
          <w:iCs w:val="0"/>
          <w:caps w:val="0"/>
          <w:color w:val="FF0000"/>
          <w:spacing w:val="0"/>
          <w:sz w:val="24"/>
          <w:szCs w:val="24"/>
          <w:bdr w:val="none" w:color="auto" w:sz="0" w:space="0"/>
        </w:rPr>
        <w:t>拍卖标的：起拍价：4,070,268.87元；保证金：500,000元；增价幅度10,000元/次。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b/>
          <w:bCs/>
          <w:i w:val="0"/>
          <w:iCs w:val="0"/>
          <w:caps w:val="0"/>
          <w:color w:val="FF0000"/>
          <w:spacing w:val="0"/>
          <w:sz w:val="24"/>
          <w:szCs w:val="24"/>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b/>
          <w:bCs/>
          <w:i w:val="0"/>
          <w:iCs w:val="0"/>
          <w:caps w:val="0"/>
          <w:color w:val="FF0000"/>
          <w:spacing w:val="0"/>
          <w:sz w:val="24"/>
          <w:szCs w:val="24"/>
          <w:bdr w:val="none" w:color="auto" w:sz="0" w:space="0"/>
        </w:rPr>
        <w:t> 特别说明：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     对于上述标的权属有异议者，请于</w:t>
      </w:r>
      <w:r>
        <w:rPr>
          <w:rFonts w:hint="eastAsia" w:ascii="仿宋" w:hAnsi="仿宋" w:eastAsia="仿宋" w:cs="仿宋"/>
          <w:i w:val="0"/>
          <w:iCs w:val="0"/>
          <w:caps w:val="0"/>
          <w:color w:val="FF0000"/>
          <w:spacing w:val="0"/>
          <w:sz w:val="24"/>
          <w:szCs w:val="24"/>
          <w:bdr w:val="none" w:color="auto" w:sz="0" w:space="0"/>
        </w:rPr>
        <w:t>2024年9月2日</w:t>
      </w:r>
      <w:r>
        <w:rPr>
          <w:rFonts w:hint="eastAsia" w:ascii="仿宋" w:hAnsi="仿宋" w:eastAsia="仿宋" w:cs="仿宋"/>
          <w:i w:val="0"/>
          <w:iCs w:val="0"/>
          <w:caps w:val="0"/>
          <w:color w:val="666666"/>
          <w:spacing w:val="0"/>
          <w:sz w:val="24"/>
          <w:szCs w:val="24"/>
          <w:bdr w:val="none" w:color="auto" w:sz="0" w:space="0"/>
        </w:rPr>
        <w:t>前与管理人联系，联系人：李律师，021-61681566。</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三、 咨询与调查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1. 自本公告发布之日起至</w:t>
      </w:r>
      <w:r>
        <w:rPr>
          <w:rFonts w:hint="eastAsia" w:ascii="仿宋" w:hAnsi="仿宋" w:eastAsia="仿宋" w:cs="仿宋"/>
          <w:i w:val="0"/>
          <w:iCs w:val="0"/>
          <w:caps w:val="0"/>
          <w:color w:val="FF0000"/>
          <w:spacing w:val="0"/>
          <w:sz w:val="24"/>
          <w:szCs w:val="24"/>
          <w:bdr w:val="none" w:color="auto" w:sz="0" w:space="0"/>
        </w:rPr>
        <w:t>2024年9月5日止</w:t>
      </w:r>
      <w:r>
        <w:rPr>
          <w:rFonts w:hint="eastAsia" w:ascii="仿宋" w:hAnsi="仿宋" w:eastAsia="仿宋" w:cs="仿宋"/>
          <w:i w:val="0"/>
          <w:iCs w:val="0"/>
          <w:caps w:val="0"/>
          <w:color w:val="666666"/>
          <w:spacing w:val="0"/>
          <w:sz w:val="24"/>
          <w:szCs w:val="24"/>
          <w:bdr w:val="none" w:color="auto" w:sz="0" w:space="0"/>
        </w:rPr>
        <w:t>（节假日休息）接受咨询。联系人：陶先生（13917592019）、万先生（13764889115）；联系地址：上海市黄浦区四川中路181号4楼。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2. 本次拍卖标的为应收款项，不安排看样。标的物以其现状为准，管理人和拍辅单位不承担拍卖标的资产的瑕疵保证责任。除拍卖文件披露外，竞买人应对上述拍卖标的的实际状况以及瑕疵（含显性、隐性瑕疵）等自行调查核实、承担投资风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四、竞买人条件：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1. 竞买人须为具备完全民事行为能力的公民、法人或其他组织。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特别提示：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2. 竞买人可委托代理人（具备完全民事行为能力的自然人）进行，但须在竞买开始前向管理人或拍辅单位办理委托手续；竞买成功后，竞买人（法定代表人、其他组织的负责人）须与委托代理人一同到拍辅单位（地址：上海市黄浦区四川中路181号4楼）办理交接手续。委托手续包含委托书，双方主体/身份信息复印件及联系人手机号，需于</w:t>
      </w:r>
      <w:r>
        <w:rPr>
          <w:rFonts w:hint="eastAsia" w:ascii="仿宋" w:hAnsi="仿宋" w:eastAsia="仿宋" w:cs="仿宋"/>
          <w:i w:val="0"/>
          <w:iCs w:val="0"/>
          <w:caps w:val="0"/>
          <w:color w:val="FF0000"/>
          <w:spacing w:val="0"/>
          <w:sz w:val="24"/>
          <w:szCs w:val="24"/>
          <w:bdr w:val="none" w:color="auto" w:sz="0" w:space="0"/>
        </w:rPr>
        <w:t>2024年9月3日</w:t>
      </w:r>
      <w:r>
        <w:rPr>
          <w:rFonts w:hint="eastAsia" w:ascii="仿宋" w:hAnsi="仿宋" w:eastAsia="仿宋" w:cs="仿宋"/>
          <w:i w:val="0"/>
          <w:iCs w:val="0"/>
          <w:caps w:val="0"/>
          <w:color w:val="666666"/>
          <w:spacing w:val="0"/>
          <w:sz w:val="24"/>
          <w:szCs w:val="24"/>
          <w:bdr w:val="none" w:color="auto" w:sz="0" w:space="0"/>
        </w:rPr>
        <w:t>前提交至管理人或拍辅单位，在正式拍卖前录入系统，委托代理人方可报名。开拍前无委托手续或委托手续不全的，竞买活动认定为参拍人的本人行为，成交后裁定参拍人为买受人，参拍人不符合本次拍卖竞买资质的，没收保证金并重新拍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3、本次拍卖标的情况较为复杂，标的物以其现状为准，法院、管理人、拍卖机构不承担资产的瑕疵保证责任。除拍卖文件披露外，竞买人应对拍卖标的的实际状况以及瑕疵（含显性、隐性瑕疵）等自行调查核实、承担投资风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五、优先购买权人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本标的物不涉及优先购买权。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六、拍卖方式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本次拍卖采取有保留价的增价拍卖方式，保留价即为起拍价，一人或一人以上报名，拍卖结束时出价最高的竞价人竞买成功。至少一人报名且出价不低于起拍价，方可成交。无人报名或出价的，本场拍卖将流拍。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七、拍卖延时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本次拍卖活动设置延时出价功能，在拍卖活动结束前，每最后5分钟如果有竞买人出价，将自动延迟5分钟。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八、税费及其他费用承担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b/>
          <w:bCs/>
          <w:i w:val="0"/>
          <w:iCs w:val="0"/>
          <w:caps w:val="0"/>
          <w:color w:val="666666"/>
          <w:spacing w:val="0"/>
          <w:sz w:val="24"/>
          <w:szCs w:val="24"/>
          <w:bdr w:val="none" w:color="auto" w:sz="0" w:space="0"/>
        </w:rPr>
        <w:t> </w:t>
      </w:r>
      <w:r>
        <w:rPr>
          <w:rFonts w:hint="eastAsia" w:ascii="仿宋" w:hAnsi="仿宋" w:eastAsia="仿宋" w:cs="仿宋"/>
          <w:i w:val="0"/>
          <w:iCs w:val="0"/>
          <w:caps w:val="0"/>
          <w:color w:val="666666"/>
          <w:spacing w:val="0"/>
          <w:sz w:val="24"/>
          <w:szCs w:val="24"/>
          <w:bdr w:val="none" w:color="auto" w:sz="0" w:space="0"/>
        </w:rPr>
        <w:t>1. 特别提示：本标的物存在综合服务费及软件服务费由买受人承担。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6" w:beforeAutospacing="0" w:after="500" w:afterAutospacing="0" w:line="315"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(1)综合服务费由拍卖辅助机构收取（按拍卖成交价累进递减计算，拍卖成交价人民币200万以下（含200万）的，收费比例1.5%；超过200万至1000万（含1000万）的部分，收费比例0.9%；1000万以上的部分，收费比例0.6%，封顶为25万元），买受人须于成交后的</w:t>
      </w:r>
      <w:r>
        <w:rPr>
          <w:rFonts w:hint="eastAsia" w:ascii="仿宋" w:hAnsi="仿宋" w:eastAsia="仿宋" w:cs="仿宋"/>
          <w:b/>
          <w:bCs/>
          <w:i w:val="0"/>
          <w:iCs w:val="0"/>
          <w:caps w:val="0"/>
          <w:color w:val="FF0000"/>
          <w:spacing w:val="0"/>
          <w:sz w:val="24"/>
          <w:szCs w:val="24"/>
          <w:bdr w:val="none" w:color="auto" w:sz="0" w:space="0"/>
        </w:rPr>
        <w:t>7日</w:t>
      </w:r>
      <w:r>
        <w:rPr>
          <w:rFonts w:hint="eastAsia" w:ascii="仿宋" w:hAnsi="仿宋" w:eastAsia="仿宋" w:cs="仿宋"/>
          <w:i w:val="0"/>
          <w:iCs w:val="0"/>
          <w:caps w:val="0"/>
          <w:color w:val="666666"/>
          <w:spacing w:val="0"/>
          <w:sz w:val="24"/>
          <w:szCs w:val="24"/>
          <w:bdr w:val="none" w:color="auto" w:sz="0" w:space="0"/>
        </w:rPr>
        <w:t>内将综合服务费汇款至上海国际商品拍卖有限公司指定账户【户名：上海国际商品拍卖有限公司，开户银行：上海银行黄浦支行，账号：00003046582】。</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6" w:beforeAutospacing="0" w:after="500" w:afterAutospacing="0" w:line="315"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（2） 软件服务费由阿里拍卖平台收取，付费方式及软件服务费金额等请详见《阿里拍卖平台破产资产处置频道收费规则》。买受人须于成交后的</w:t>
      </w:r>
      <w:r>
        <w:rPr>
          <w:rFonts w:hint="eastAsia" w:ascii="仿宋" w:hAnsi="仿宋" w:eastAsia="仿宋" w:cs="仿宋"/>
          <w:b/>
          <w:bCs/>
          <w:i w:val="0"/>
          <w:iCs w:val="0"/>
          <w:caps w:val="0"/>
          <w:color w:val="FF0000"/>
          <w:spacing w:val="0"/>
          <w:sz w:val="24"/>
          <w:szCs w:val="24"/>
          <w:bdr w:val="none" w:color="auto" w:sz="0" w:space="0"/>
        </w:rPr>
        <w:t>7日</w:t>
      </w:r>
      <w:r>
        <w:rPr>
          <w:rFonts w:hint="eastAsia" w:ascii="仿宋" w:hAnsi="仿宋" w:eastAsia="仿宋" w:cs="仿宋"/>
          <w:i w:val="0"/>
          <w:iCs w:val="0"/>
          <w:caps w:val="0"/>
          <w:color w:val="666666"/>
          <w:spacing w:val="0"/>
          <w:sz w:val="24"/>
          <w:szCs w:val="24"/>
          <w:bdr w:val="none" w:color="auto" w:sz="0" w:space="0"/>
        </w:rPr>
        <w:t>内通过线上完成相应费用的支付后，保证金将转为部分成交价款转至管理人的支付宝账户。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3）上述综合服务费和软件服务费，买受人逾期未全额缴纳的，阿里拍卖平台和拍卖辅助机构可对其进行依法追缴。买受人缴纳相关费用后如需索取发票的，买受人可与拍卖辅助机构联系开具或在阿里支付系统中查看已完成支付的软件服务费记录并点击申请开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九、保证金和余款支付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1. 拍卖竞价前将通过淘宝网司法拍卖网络平台系统在竞买人支付宝账户内锁定相应资金作为应缴的保证金，拍卖结束后未能竞得者锁定的保证金自动解锁，锁定期间不计利息。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2. 拍卖成交后，买受人交纳的保证金可以充抵价款，本标的物买受人原锁定的保证金24小时内自动转入管理人指定账户。拍卖余款请买受人在拍卖成交后</w:t>
      </w:r>
      <w:r>
        <w:rPr>
          <w:rFonts w:hint="eastAsia" w:ascii="仿宋" w:hAnsi="仿宋" w:eastAsia="仿宋" w:cs="仿宋"/>
          <w:b/>
          <w:bCs/>
          <w:i w:val="0"/>
          <w:iCs w:val="0"/>
          <w:caps w:val="0"/>
          <w:color w:val="FF0000"/>
          <w:spacing w:val="0"/>
          <w:sz w:val="24"/>
          <w:szCs w:val="24"/>
          <w:bdr w:val="none" w:color="auto" w:sz="0" w:space="0"/>
        </w:rPr>
        <w:t>7日</w:t>
      </w:r>
      <w:r>
        <w:rPr>
          <w:rFonts w:hint="eastAsia" w:ascii="仿宋" w:hAnsi="仿宋" w:eastAsia="仿宋" w:cs="仿宋"/>
          <w:i w:val="0"/>
          <w:iCs w:val="0"/>
          <w:caps w:val="0"/>
          <w:color w:val="FF0000"/>
          <w:spacing w:val="0"/>
          <w:sz w:val="24"/>
          <w:szCs w:val="24"/>
          <w:bdr w:val="none" w:color="auto" w:sz="0" w:space="0"/>
        </w:rPr>
        <w:t>内</w:t>
      </w:r>
      <w:r>
        <w:rPr>
          <w:rFonts w:hint="eastAsia" w:ascii="仿宋" w:hAnsi="仿宋" w:eastAsia="仿宋" w:cs="仿宋"/>
          <w:i w:val="0"/>
          <w:iCs w:val="0"/>
          <w:caps w:val="0"/>
          <w:color w:val="666666"/>
          <w:spacing w:val="0"/>
          <w:sz w:val="24"/>
          <w:szCs w:val="24"/>
          <w:bdr w:val="none" w:color="auto" w:sz="0" w:space="0"/>
        </w:rPr>
        <w:t>汇款至管理人如下账户：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400"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户名：上海光明饲料有限公司管理人；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400"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开户银行：中国银行股份有限公司上海市上海中心大厦支行；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400"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账号：450784654941。</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3.  债务人财产拍卖因标的物本身价值，其起拍价、保证金、竞拍成交价格相对较高的，竞买人参与竞拍，支付保证金及余款可能会遇到当天限额无法支付的情况，请竞买人根据自身情况选择网上充值银行。各大银行充值和支付的限额情况可上网查询，网址：https://www.taobao.com/market/paimai/sf-helpcenter.php?path=sf-hc-right-content5#q1。</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400"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4.买受人存在不符合竞拍资质或逾期支付拍卖款、不支付拍卖款等情形的，视为买受人悔拍，已交纳的保证金不予退还，计入</w:t>
      </w:r>
      <w:r>
        <w:rPr>
          <w:rFonts w:hint="eastAsia" w:ascii="仿宋" w:hAnsi="仿宋" w:eastAsia="仿宋" w:cs="仿宋"/>
          <w:i w:val="0"/>
          <w:iCs w:val="0"/>
          <w:caps w:val="0"/>
          <w:color w:val="FF0000"/>
          <w:spacing w:val="0"/>
          <w:sz w:val="24"/>
          <w:szCs w:val="24"/>
          <w:bdr w:val="none" w:color="auto" w:sz="0" w:space="0"/>
        </w:rPr>
        <w:t>上海光明饲料有限公司的破产财产，且管理人有权重新拍卖标的物，悔拍人不得再次参与竞买。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十、拍品交付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1. 买受人应于付清全部拍卖成交款后</w:t>
      </w:r>
      <w:r>
        <w:rPr>
          <w:rFonts w:hint="eastAsia" w:ascii="仿宋" w:hAnsi="仿宋" w:eastAsia="仿宋" w:cs="仿宋"/>
          <w:b/>
          <w:bCs/>
          <w:i w:val="0"/>
          <w:iCs w:val="0"/>
          <w:caps w:val="0"/>
          <w:color w:val="FF0000"/>
          <w:spacing w:val="0"/>
          <w:sz w:val="24"/>
          <w:szCs w:val="24"/>
          <w:bdr w:val="none" w:color="auto" w:sz="0" w:space="0"/>
        </w:rPr>
        <w:t>5个工作日</w:t>
      </w:r>
      <w:r>
        <w:rPr>
          <w:rFonts w:hint="eastAsia" w:ascii="仿宋" w:hAnsi="仿宋" w:eastAsia="仿宋" w:cs="仿宋"/>
          <w:i w:val="0"/>
          <w:iCs w:val="0"/>
          <w:caps w:val="0"/>
          <w:color w:val="666666"/>
          <w:spacing w:val="0"/>
          <w:sz w:val="24"/>
          <w:szCs w:val="24"/>
          <w:bdr w:val="none" w:color="auto" w:sz="0" w:space="0"/>
        </w:rPr>
        <w:t>内（遇节假日顺延）凭付款凭证及相关身份材料到拍辅单位（地址：上海市黄浦区四川中路181号4楼）签署拍卖成交确认文件。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2. 管理人在收到买受人支付的所有成交价款当日即为本次拍卖标的的交割日。自交割日起，拍卖标的所涉及到相关的瑕疵、损失、义务、责任以及拍卖标的因任何事由而减损、毁损、灭失的风险由买受人承担。自交割之日起，拍卖标的相关款项和权益均归买受人所有。交割日后，管理人不承担拍卖标的的追索、执行、求偿及申报应收款项义务，且对此不承担任何责任，买受人不得就与标的有关事项以任何理由向管理人追究任何法律责任。</w:t>
      </w:r>
      <w:r>
        <w:rPr>
          <w:rFonts w:hint="eastAsia" w:ascii="仿宋" w:hAnsi="仿宋" w:eastAsia="仿宋" w:cs="仿宋"/>
          <w:i w:val="0"/>
          <w:iCs w:val="0"/>
          <w:caps w:val="0"/>
          <w:color w:val="FF0000"/>
          <w:spacing w:val="0"/>
          <w:sz w:val="24"/>
          <w:szCs w:val="24"/>
          <w:u w:val="single"/>
          <w:bdr w:val="none" w:color="auto" w:sz="0" w:space="0"/>
          <w:shd w:val="clear" w:fill="FFFF00"/>
        </w:rPr>
        <w:t>买受人须自行负责通知债务人应收款项转让事项，管理人予以配合，如无特殊情况，人民法院不予出具裁定书和协助执行通知书。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十一、特别提醒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1. 标的物以实物现状为准，管理人和拍辅单位不承担标的物瑕疵担保责任。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2. 与标的物有利害关系的人可参加竞拍，不参加竞拍的请关注本次拍卖活动的整个过程。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3. 在拍卖竞价前请务必再仔细阅读管理人发布的拍卖须知。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4. 拍卖成交，竞买人成为买受人即视为知晓并接受拍卖标的所有现状，同时承诺：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1）在交接期间内，当管理人将标的文件交付给买受人时（如有），买受人应及时受领标的文件并在随附的标的文件清单上签字。如买受人不及时受领标的文件，则自愿承担迟延受领标的文件所产生的一切法律后果。在交接期后，买受人无权再就标的文件及其交付范围向管理人提出任何主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2）竞买人承诺：一旦拍卖成交，竞买人作为买受人将按照标的现状受让标的，接受标的的所有瑕疵和风险，不因拍卖标的的来源、瑕疵和风险，而请求管理人或受益人承担相应责任，或以此作为买受人履行约定或法定义务的抗辩。拍卖标的自拍卖公告日起至拍卖标的相关权利移转给买受人之日发生变化的，买受人承认并接受该变化，不因拍卖标的的变化而请求管理人或受益人承担相应的责任，或以此作为买受人履行约定或法定义务的抗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十二、免责声明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免责声明：本场拍卖会提供的信息或数据采集于关联方提供的相关资料，管理人和拍卖公司不保证所披露的信息或数据的完整、准确及所披露的债权数额一定能全额收回，也不为此承担任何保证责任，特作如下声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1.本拍卖文件所披露的信息或数据，均是对可能收集到的资料进行整理，其中披露的任何数据、信息等所有内容，均不构成任何法律或其他专业建议或意见，也不构成任何承诺或意思表示；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2.本拍卖文件所披露的信息或数据，仅限于可能收集到的标的公司的重大信息或数据，并不代表标的公司所涉及的全部信息或数据；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3.本拍卖文件所披露的信息、数据等所有内容，仅作为本次拍卖参考之用，竞买人或其他任何人自行承担根据本拍卖文件直接或间接作出的任何承诺或行为而产生的全部后果和风险；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4.所有参与本次拍卖活动的竞买人，均被视为已经仔细阅读、明确了解并完全同意本声明。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咨询电话：13917592019（陶先生）、13764889115（万先生）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法院监督电话：021-5895-1988</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淘宝技术咨询：400-822-2870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本公告未尽事宜，请向管理人或拍辅单位咨询。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righ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上海光明饲料有限公司管理人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223" w:lineRule="atLeast"/>
        <w:ind w:left="344" w:right="344"/>
        <w:jc w:val="righ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二〇二四年八月二十七日</w:t>
      </w:r>
    </w:p>
    <w:p>
      <w:pPr>
        <w:keepNext w:val="0"/>
        <w:keepLines w:val="0"/>
        <w:widowControl/>
        <w:suppressLineNumbers w:val="0"/>
        <w:pBdr>
          <w:top w:val="single" w:color="E6E6E6" w:sz="4" w:space="17"/>
          <w:bottom w:val="none" w:color="auto" w:sz="0" w:space="0"/>
        </w:pBdr>
        <w:spacing w:before="0" w:beforeAutospacing="0" w:after="171" w:afterAutospacing="0"/>
        <w:ind w:left="343" w:right="343" w:firstLine="0"/>
        <w:jc w:val="center"/>
        <w:rPr>
          <w:rFonts w:hint="eastAsia" w:ascii="仿宋" w:hAnsi="仿宋" w:eastAsia="仿宋" w:cs="仿宋"/>
          <w:i w:val="0"/>
          <w:iCs w:val="0"/>
          <w:caps w:val="0"/>
          <w:color w:val="666666"/>
          <w:spacing w:val="0"/>
          <w:sz w:val="24"/>
          <w:szCs w:val="24"/>
        </w:rPr>
      </w:pPr>
      <w:r>
        <w:rPr>
          <w:rFonts w:hint="eastAsia" w:ascii="仿宋" w:hAnsi="仿宋" w:eastAsia="仿宋" w:cs="仿宋"/>
          <w:i w:val="0"/>
          <w:iCs w:val="0"/>
          <w:caps w:val="0"/>
          <w:color w:val="666666"/>
          <w:spacing w:val="0"/>
          <w:kern w:val="0"/>
          <w:sz w:val="24"/>
          <w:szCs w:val="24"/>
          <w:lang w:val="en-US" w:eastAsia="zh-CN" w:bidi="ar"/>
        </w:rPr>
        <w:t> </w:t>
      </w:r>
    </w:p>
    <w:p>
      <w:pPr>
        <w:keepNext w:val="0"/>
        <w:keepLines w:val="0"/>
        <w:widowControl/>
        <w:suppressLineNumbers w:val="0"/>
        <w:pBdr>
          <w:top w:val="single" w:color="E6E6E6" w:sz="4" w:space="0"/>
          <w:left w:val="none" w:color="auto" w:sz="0" w:space="0"/>
          <w:bottom w:val="none" w:color="auto" w:sz="0" w:space="0"/>
          <w:right w:val="none" w:color="auto" w:sz="0" w:space="0"/>
        </w:pBdr>
        <w:shd w:val="clear" w:fill="FFFFFF"/>
        <w:spacing w:before="0" w:beforeAutospacing="0" w:after="171" w:afterAutospacing="0"/>
        <w:ind w:left="343" w:right="343" w:firstLine="0"/>
        <w:jc w:val="center"/>
        <w:rPr>
          <w:rFonts w:hint="eastAsia" w:ascii="仿宋" w:hAnsi="仿宋" w:eastAsia="仿宋" w:cs="仿宋"/>
          <w:i w:val="0"/>
          <w:iCs w:val="0"/>
          <w:caps w:val="0"/>
          <w:color w:val="C21F3A"/>
          <w:spacing w:val="0"/>
          <w:sz w:val="24"/>
          <w:szCs w:val="24"/>
        </w:rPr>
      </w:pPr>
      <w:r>
        <w:rPr>
          <w:rFonts w:hint="eastAsia" w:ascii="仿宋" w:hAnsi="仿宋" w:eastAsia="仿宋" w:cs="仿宋"/>
          <w:i w:val="0"/>
          <w:iCs w:val="0"/>
          <w:caps w:val="0"/>
          <w:color w:val="C21F3A"/>
          <w:spacing w:val="0"/>
          <w:kern w:val="0"/>
          <w:sz w:val="24"/>
          <w:szCs w:val="24"/>
          <w:bdr w:val="none" w:color="auto" w:sz="0" w:space="0"/>
          <w:shd w:val="clear" w:fill="FFFFFF"/>
          <w:lang w:val="en-US" w:eastAsia="zh-CN" w:bidi="ar"/>
        </w:rPr>
        <w:t>竞买须知</w:t>
      </w:r>
    </w:p>
    <w:p>
      <w:pPr>
        <w:keepNext w:val="0"/>
        <w:keepLines w:val="0"/>
        <w:widowControl/>
        <w:suppressLineNumbers w:val="0"/>
        <w:spacing w:before="0" w:beforeAutospacing="0" w:after="171" w:afterAutospacing="0"/>
        <w:ind w:left="343" w:right="343"/>
        <w:jc w:val="left"/>
        <w:rPr>
          <w:rFonts w:hint="eastAsia" w:ascii="仿宋" w:hAnsi="仿宋" w:eastAsia="仿宋" w:cs="仿宋"/>
          <w:sz w:val="24"/>
          <w:szCs w:val="24"/>
        </w:rPr>
      </w:pPr>
      <w:r>
        <w:rPr>
          <w:rFonts w:hint="eastAsia" w:ascii="仿宋" w:hAnsi="仿宋" w:eastAsia="仿宋" w:cs="仿宋"/>
          <w:i w:val="0"/>
          <w:iCs w:val="0"/>
          <w:caps w:val="0"/>
          <w:color w:val="666666"/>
          <w:spacing w:val="0"/>
          <w:kern w:val="0"/>
          <w:sz w:val="24"/>
          <w:szCs w:val="24"/>
          <w:lang w:val="en-US" w:eastAsia="zh-CN" w:bidi="ar"/>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223"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center"/>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拍卖须知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上海光明饲料有限公司管理人（下称“管理人”）将于</w:t>
      </w:r>
      <w:r>
        <w:rPr>
          <w:rFonts w:hint="eastAsia" w:ascii="仿宋" w:hAnsi="仿宋" w:eastAsia="仿宋" w:cs="仿宋"/>
          <w:i w:val="0"/>
          <w:iCs w:val="0"/>
          <w:caps w:val="0"/>
          <w:color w:val="FF0000"/>
          <w:spacing w:val="0"/>
          <w:sz w:val="24"/>
          <w:szCs w:val="24"/>
          <w:bdr w:val="none" w:color="auto" w:sz="0" w:space="0"/>
        </w:rPr>
        <w:t>2024年9月4日10时至2024年9月5日10时止（延时除外）</w:t>
      </w:r>
      <w:r>
        <w:rPr>
          <w:rFonts w:hint="eastAsia" w:ascii="仿宋" w:hAnsi="仿宋" w:eastAsia="仿宋" w:cs="仿宋"/>
          <w:i w:val="0"/>
          <w:iCs w:val="0"/>
          <w:caps w:val="0"/>
          <w:color w:val="666666"/>
          <w:spacing w:val="0"/>
          <w:sz w:val="24"/>
          <w:szCs w:val="24"/>
          <w:bdr w:val="none" w:color="auto" w:sz="0" w:space="0"/>
        </w:rPr>
        <w:t>在淘宝网司法拍卖网络平台（处置单位：上海光明饲料有限公司管理人；监督单位：上海市第三中级人民法院；拍卖辅助单位：上海国际商品拍卖有限公司），进行公开拍卖活动，现公告如下：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400"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一、本《拍卖须知》根据《中华人民共和国民事诉讼法》等相关法律规定所制订，竞买人应认真仔细阅读，了解本须知的全部内容。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400"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二、本次拍卖活动遵循“公开、公平、公正、诚实守信”的原则，拍卖活动具备法律效力。参加本次拍卖活动的竞买人必须遵守本须知的各项条款，并对自己的行为承担法律责任。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lef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三、</w:t>
      </w:r>
      <w:bookmarkStart w:id="0" w:name="_Hlk22207693"/>
      <w:r>
        <w:rPr>
          <w:rFonts w:hint="eastAsia" w:ascii="仿宋" w:hAnsi="仿宋" w:eastAsia="仿宋" w:cs="仿宋"/>
          <w:i w:val="0"/>
          <w:iCs w:val="0"/>
          <w:caps w:val="0"/>
          <w:color w:val="666666"/>
          <w:spacing w:val="0"/>
          <w:sz w:val="24"/>
          <w:szCs w:val="24"/>
          <w:u w:val="none"/>
          <w:bdr w:val="none" w:color="auto" w:sz="0" w:space="0"/>
        </w:rPr>
        <w:t>本次拍卖标的</w:t>
      </w:r>
      <w:bookmarkEnd w:id="0"/>
      <w:r>
        <w:rPr>
          <w:rFonts w:hint="eastAsia" w:ascii="仿宋" w:hAnsi="仿宋" w:eastAsia="仿宋" w:cs="仿宋"/>
          <w:i w:val="0"/>
          <w:iCs w:val="0"/>
          <w:caps w:val="0"/>
          <w:color w:val="666666"/>
          <w:spacing w:val="0"/>
          <w:sz w:val="24"/>
          <w:szCs w:val="24"/>
          <w:bdr w:val="none" w:color="auto" w:sz="0" w:space="0"/>
        </w:rPr>
        <w:t>为</w:t>
      </w:r>
      <w:r>
        <w:rPr>
          <w:rFonts w:hint="eastAsia" w:ascii="仿宋" w:hAnsi="仿宋" w:eastAsia="仿宋" w:cs="仿宋"/>
          <w:i w:val="0"/>
          <w:iCs w:val="0"/>
          <w:caps w:val="0"/>
          <w:color w:val="FF0000"/>
          <w:spacing w:val="0"/>
          <w:sz w:val="24"/>
          <w:szCs w:val="24"/>
          <w:bdr w:val="none" w:color="auto" w:sz="0" w:space="0"/>
        </w:rPr>
        <w:t>上海光明饲料有限公司破产财产-无质押部分（共18项），按现状合并拍卖。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400"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四、竞买人应当符合相关法律、行政法规、规章等规定的受让资格和条件；如因不符合条件参加竞买的，由竞买人自行承担相应的法律责任。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400"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五、参照最高人民法院《关于人民法院网络司法拍卖若干问题的规定》第三十四条之规定：实施网络司法拍卖的，下列机构和人员不得竞买并不得委托他人代为竞买与其相关的拍卖财产：1.负责执行的人民法院；2.网络服务提供者；3.承担拍卖辅助工作的社会机构或者组织；4.第1至3项规定主体的工作人员及其近亲属。</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400"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六、参与竞拍前，竞买人应自行到相关职能部门咨询确认拍卖标的股权过户登记的手续，并评估相关风险。管理人和辅拍单位不做股权过户的任何承诺，不承担股权不能过户的任何法律责任。如买受人最终无法办理变更登记，管理人有权撤销本次拍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400"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七、本次拍卖成功后，买受人未能在</w:t>
      </w:r>
      <w:r>
        <w:rPr>
          <w:rFonts w:hint="eastAsia" w:ascii="仿宋" w:hAnsi="仿宋" w:eastAsia="仿宋" w:cs="仿宋"/>
          <w:i w:val="0"/>
          <w:iCs w:val="0"/>
          <w:caps w:val="0"/>
          <w:color w:val="FF0000"/>
          <w:spacing w:val="0"/>
          <w:sz w:val="24"/>
          <w:szCs w:val="24"/>
          <w:bdr w:val="none" w:color="auto" w:sz="0" w:space="0"/>
        </w:rPr>
        <w:t>7日内</w:t>
      </w:r>
      <w:r>
        <w:rPr>
          <w:rFonts w:hint="eastAsia" w:ascii="仿宋" w:hAnsi="仿宋" w:eastAsia="仿宋" w:cs="仿宋"/>
          <w:i w:val="0"/>
          <w:iCs w:val="0"/>
          <w:caps w:val="0"/>
          <w:color w:val="666666"/>
          <w:spacing w:val="0"/>
          <w:sz w:val="24"/>
          <w:szCs w:val="24"/>
          <w:bdr w:val="none" w:color="auto" w:sz="0" w:space="0"/>
        </w:rPr>
        <w:t>向管理人指定账户足额缴纳拍卖余款的，视为买受人悔拍，管理人有权没收其缴纳的保证金，同时有权对标的物另行处置。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400"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八、买受人在按要求缴纳全部拍卖款后应及时办理股权过户登记手续，并由管理人和拍辅单位提供必要的协助，逾期不办理的，买受人自行承担本标的物后续可能发生的所有相关不利后果。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400"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九、竞买人应认真咨询了解拍卖标的对买受资质的要求和有关确权、过户的手续。拍卖成交后，如因买受人自身不具备相应条件或者其他原因造成拍卖标的不能过户至买受人名下而产生的所有后果和损失由买受人承担，委托人和拍卖人对此不承担任何责任，请竞买人充分注意此投资风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400"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十、买受人对其所购得标的的处置，必须符合《公司法》等相关法律法规、规章的有关规定。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400"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十一、本次拍卖活动计价货币为人民币，拍卖时的起拍价、成交价均不含买受人在拍卖标的物交割、过户时所发生的有关税费。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400"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十二、参加竞买的人应当遵守拍卖须知的规定，不得阻挠其他竞买人竞拍，不得操纵、垄断竞拍价格，严禁竞买人恶意串标，上述行为一经发现，将取消其竞买资格，并追究相关的法律责任。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400"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十三、法院和管理人有权随时中止拍卖或撤回拍卖。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400"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十四、凡发现拍卖中有违规行为，可如实举报。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400"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400"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400" w:lineRule="atLeast"/>
        <w:ind w:left="764" w:right="344"/>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咨询电话：13917592019（陶先生）、13764889115（万先生）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400" w:lineRule="atLeast"/>
        <w:ind w:left="764" w:right="344"/>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法院监督电话：021-5895-1988</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400" w:lineRule="atLeast"/>
        <w:ind w:left="764" w:right="344"/>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淘宝技术咨询：400-822-2870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400" w:lineRule="atLeast"/>
        <w:ind w:left="764" w:right="344"/>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本须知未尽事宜，请向管理人或拍辅单位咨询。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400" w:lineRule="atLeast"/>
        <w:ind w:left="764" w:right="344"/>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righ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360" w:lineRule="atLeast"/>
        <w:ind w:left="344" w:right="344"/>
        <w:jc w:val="right"/>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上海光明饲料有限公司管理人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223" w:lineRule="atLeast"/>
        <w:ind w:left="344" w:right="344"/>
        <w:rPr>
          <w:rFonts w:hint="eastAsia" w:ascii="仿宋" w:hAnsi="仿宋" w:eastAsia="仿宋" w:cs="仿宋"/>
          <w:sz w:val="24"/>
          <w:szCs w:val="24"/>
        </w:rPr>
      </w:pPr>
      <w:r>
        <w:rPr>
          <w:rFonts w:hint="eastAsia" w:ascii="仿宋" w:hAnsi="仿宋" w:eastAsia="仿宋" w:cs="仿宋"/>
          <w:i w:val="0"/>
          <w:iCs w:val="0"/>
          <w:caps w:val="0"/>
          <w:color w:val="666666"/>
          <w:spacing w:val="0"/>
          <w:sz w:val="24"/>
          <w:szCs w:val="24"/>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44" w:afterAutospacing="0" w:line="223" w:lineRule="atLeast"/>
        <w:ind w:left="344" w:right="344"/>
        <w:jc w:val="right"/>
        <w:rPr>
          <w:rFonts w:hint="eastAsia" w:ascii="仿宋" w:hAnsi="仿宋" w:eastAsia="仿宋" w:cs="仿宋"/>
          <w:i w:val="0"/>
          <w:iCs w:val="0"/>
          <w:caps w:val="0"/>
          <w:color w:val="666666"/>
          <w:spacing w:val="0"/>
          <w:sz w:val="24"/>
          <w:szCs w:val="24"/>
        </w:rPr>
      </w:pPr>
      <w:r>
        <w:rPr>
          <w:rFonts w:hint="eastAsia" w:ascii="仿宋" w:hAnsi="仿宋" w:eastAsia="仿宋" w:cs="仿宋"/>
          <w:i w:val="0"/>
          <w:iCs w:val="0"/>
          <w:caps w:val="0"/>
          <w:color w:val="666666"/>
          <w:spacing w:val="0"/>
          <w:sz w:val="24"/>
          <w:szCs w:val="24"/>
          <w:bdr w:val="none" w:color="auto" w:sz="0" w:space="0"/>
        </w:rPr>
        <w:t>二〇二四年八月二十七日</w:t>
      </w:r>
      <w:bookmarkStart w:id="1" w:name="_GoBack"/>
      <w:bookmarkEnd w:id="1"/>
    </w:p>
    <w:p>
      <w:pPr>
        <w:keepNext w:val="0"/>
        <w:keepLines w:val="0"/>
        <w:widowControl/>
        <w:suppressLineNumbers w:val="0"/>
        <w:pBdr>
          <w:top w:val="single" w:color="E6E6E6" w:sz="4" w:space="0"/>
          <w:left w:val="none" w:color="auto" w:sz="0" w:space="0"/>
          <w:bottom w:val="none" w:color="auto" w:sz="0" w:space="0"/>
          <w:right w:val="none" w:color="auto" w:sz="0" w:space="0"/>
        </w:pBdr>
        <w:shd w:val="clear" w:fill="FFFFFF"/>
        <w:spacing w:before="171" w:beforeAutospacing="0" w:after="171" w:afterAutospacing="0"/>
        <w:ind w:left="343" w:right="343" w:firstLine="0"/>
        <w:jc w:val="center"/>
        <w:rPr>
          <w:rFonts w:hint="eastAsia" w:ascii="仿宋" w:hAnsi="仿宋" w:eastAsia="仿宋" w:cs="仿宋"/>
          <w:i w:val="0"/>
          <w:iCs w:val="0"/>
          <w:caps w:val="0"/>
          <w:color w:val="C21F3A"/>
          <w:spacing w:val="0"/>
          <w:sz w:val="24"/>
          <w:szCs w:val="24"/>
        </w:rPr>
      </w:pPr>
      <w:r>
        <w:rPr>
          <w:rFonts w:hint="eastAsia" w:ascii="仿宋" w:hAnsi="仿宋" w:eastAsia="仿宋" w:cs="仿宋"/>
          <w:i w:val="0"/>
          <w:iCs w:val="0"/>
          <w:caps w:val="0"/>
          <w:color w:val="C21F3A"/>
          <w:spacing w:val="0"/>
          <w:kern w:val="0"/>
          <w:sz w:val="24"/>
          <w:szCs w:val="24"/>
          <w:bdr w:val="none" w:color="auto" w:sz="0" w:space="0"/>
          <w:shd w:val="clear" w:fill="FFFFFF"/>
          <w:lang w:val="en-US" w:eastAsia="zh-CN" w:bidi="ar"/>
        </w:rPr>
        <w:t>尾款支付说明</w:t>
      </w:r>
    </w:p>
    <w:p>
      <w:pPr>
        <w:keepNext w:val="0"/>
        <w:keepLines w:val="0"/>
        <w:widowControl/>
        <w:suppressLineNumbers w:val="0"/>
        <w:spacing w:before="171" w:beforeAutospacing="0" w:after="171" w:afterAutospacing="0"/>
        <w:ind w:left="343" w:right="343"/>
        <w:jc w:val="left"/>
        <w:rPr>
          <w:rFonts w:hint="eastAsia" w:ascii="仿宋" w:hAnsi="仿宋" w:eastAsia="仿宋" w:cs="仿宋"/>
          <w:sz w:val="24"/>
          <w:szCs w:val="24"/>
        </w:rPr>
      </w:pPr>
      <w:r>
        <w:rPr>
          <w:rFonts w:hint="eastAsia" w:ascii="仿宋" w:hAnsi="仿宋" w:eastAsia="仿宋" w:cs="仿宋"/>
          <w:i w:val="0"/>
          <w:iCs w:val="0"/>
          <w:caps w:val="0"/>
          <w:color w:val="666666"/>
          <w:spacing w:val="0"/>
          <w:kern w:val="0"/>
          <w:sz w:val="24"/>
          <w:szCs w:val="24"/>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171" w:beforeAutospacing="0" w:after="171" w:afterAutospacing="0"/>
        <w:ind w:left="343" w:right="343" w:firstLine="0"/>
        <w:jc w:val="left"/>
        <w:rPr>
          <w:rFonts w:hint="eastAsia" w:ascii="仿宋" w:hAnsi="仿宋" w:eastAsia="仿宋" w:cs="仿宋"/>
          <w:i w:val="0"/>
          <w:iCs w:val="0"/>
          <w:caps w:val="0"/>
          <w:color w:val="666666"/>
          <w:spacing w:val="0"/>
          <w:sz w:val="24"/>
          <w:szCs w:val="24"/>
        </w:rPr>
      </w:pPr>
      <w:r>
        <w:rPr>
          <w:rFonts w:hint="eastAsia" w:ascii="仿宋" w:hAnsi="仿宋" w:eastAsia="仿宋" w:cs="仿宋"/>
          <w:b/>
          <w:bCs/>
          <w:i w:val="0"/>
          <w:iCs w:val="0"/>
          <w:caps w:val="0"/>
          <w:color w:val="111111"/>
          <w:spacing w:val="0"/>
          <w:kern w:val="0"/>
          <w:sz w:val="24"/>
          <w:szCs w:val="24"/>
          <w:bdr w:val="none" w:color="auto" w:sz="0" w:space="0"/>
          <w:lang w:val="en-US" w:eastAsia="zh-CN" w:bidi="ar"/>
        </w:rPr>
        <w:t>线上支付截止</w:t>
      </w:r>
      <w:r>
        <w:rPr>
          <w:rFonts w:hint="eastAsia" w:ascii="仿宋" w:hAnsi="仿宋" w:eastAsia="仿宋" w:cs="仿宋"/>
          <w:i w:val="0"/>
          <w:iCs w:val="0"/>
          <w:caps w:val="0"/>
          <w:color w:val="666666"/>
          <w:spacing w:val="0"/>
          <w:kern w:val="0"/>
          <w:sz w:val="24"/>
          <w:szCs w:val="24"/>
          <w:bdr w:val="none" w:color="auto" w:sz="0" w:space="0"/>
          <w:lang w:val="en-US" w:eastAsia="zh-CN" w:bidi="ar"/>
        </w:rPr>
        <w:t> </w:t>
      </w:r>
      <w:r>
        <w:rPr>
          <w:rFonts w:hint="eastAsia" w:ascii="仿宋" w:hAnsi="仿宋" w:eastAsia="仿宋" w:cs="仿宋"/>
          <w:i w:val="0"/>
          <w:iCs w:val="0"/>
          <w:caps w:val="0"/>
          <w:color w:val="333333"/>
          <w:spacing w:val="0"/>
          <w:kern w:val="0"/>
          <w:sz w:val="24"/>
          <w:szCs w:val="24"/>
          <w:lang w:val="en-US" w:eastAsia="zh-CN" w:bidi="ar"/>
        </w:rPr>
        <w:t>竞价结束后7个自然日</w:t>
      </w:r>
    </w:p>
    <w:p>
      <w:pPr>
        <w:keepNext w:val="0"/>
        <w:keepLines w:val="0"/>
        <w:widowControl/>
        <w:suppressLineNumbers w:val="0"/>
        <w:pBdr>
          <w:top w:val="none" w:color="auto" w:sz="0" w:space="0"/>
          <w:left w:val="none" w:color="auto" w:sz="0" w:space="0"/>
          <w:bottom w:val="none" w:color="auto" w:sz="0" w:space="0"/>
          <w:right w:val="none" w:color="auto" w:sz="0" w:space="0"/>
        </w:pBdr>
        <w:spacing w:before="171" w:beforeAutospacing="0" w:after="171" w:afterAutospacing="0"/>
        <w:ind w:left="343" w:right="343" w:firstLine="0"/>
        <w:jc w:val="left"/>
        <w:rPr>
          <w:rFonts w:hint="eastAsia" w:ascii="仿宋" w:hAnsi="仿宋" w:eastAsia="仿宋" w:cs="仿宋"/>
          <w:i w:val="0"/>
          <w:iCs w:val="0"/>
          <w:caps w:val="0"/>
          <w:color w:val="666666"/>
          <w:spacing w:val="0"/>
          <w:sz w:val="24"/>
          <w:szCs w:val="24"/>
        </w:rPr>
      </w:pPr>
      <w:r>
        <w:rPr>
          <w:rFonts w:hint="eastAsia" w:ascii="仿宋" w:hAnsi="仿宋" w:eastAsia="仿宋" w:cs="仿宋"/>
          <w:b/>
          <w:bCs/>
          <w:i w:val="0"/>
          <w:iCs w:val="0"/>
          <w:caps w:val="0"/>
          <w:color w:val="111111"/>
          <w:spacing w:val="0"/>
          <w:kern w:val="0"/>
          <w:sz w:val="24"/>
          <w:szCs w:val="24"/>
          <w:bdr w:val="none" w:color="auto" w:sz="0" w:space="0"/>
          <w:lang w:val="en-US" w:eastAsia="zh-CN" w:bidi="ar"/>
        </w:rPr>
        <w:t>尾款支付方式</w:t>
      </w:r>
      <w:r>
        <w:rPr>
          <w:rFonts w:hint="eastAsia" w:ascii="仿宋" w:hAnsi="仿宋" w:eastAsia="仿宋" w:cs="仿宋"/>
          <w:i w:val="0"/>
          <w:iCs w:val="0"/>
          <w:caps w:val="0"/>
          <w:color w:val="666666"/>
          <w:spacing w:val="0"/>
          <w:kern w:val="0"/>
          <w:sz w:val="24"/>
          <w:szCs w:val="24"/>
          <w:bdr w:val="none" w:color="auto" w:sz="0" w:space="0"/>
          <w:lang w:val="en-US" w:eastAsia="zh-CN" w:bidi="ar"/>
        </w:rPr>
        <w:t> </w:t>
      </w:r>
      <w:r>
        <w:rPr>
          <w:rFonts w:hint="eastAsia" w:ascii="仿宋" w:hAnsi="仿宋" w:eastAsia="仿宋" w:cs="仿宋"/>
          <w:i w:val="0"/>
          <w:iCs w:val="0"/>
          <w:caps w:val="0"/>
          <w:color w:val="333333"/>
          <w:spacing w:val="0"/>
          <w:kern w:val="0"/>
          <w:sz w:val="24"/>
          <w:szCs w:val="24"/>
          <w:lang w:val="en-US" w:eastAsia="zh-CN" w:bidi="ar"/>
        </w:rPr>
        <w:t>通过淘宝订单支付</w:t>
      </w:r>
    </w:p>
    <w:p>
      <w:pPr>
        <w:keepNext w:val="0"/>
        <w:keepLines w:val="0"/>
        <w:widowControl/>
        <w:suppressLineNumbers w:val="0"/>
        <w:pBdr>
          <w:top w:val="none" w:color="auto" w:sz="0" w:space="0"/>
          <w:left w:val="none" w:color="auto" w:sz="0" w:space="0"/>
          <w:bottom w:val="none" w:color="auto" w:sz="0" w:space="0"/>
          <w:right w:val="none" w:color="auto" w:sz="0" w:space="0"/>
        </w:pBdr>
        <w:spacing w:before="171" w:beforeAutospacing="0" w:after="171" w:afterAutospacing="0"/>
        <w:ind w:left="343" w:right="343" w:firstLine="0"/>
        <w:jc w:val="left"/>
        <w:rPr>
          <w:rFonts w:hint="eastAsia" w:ascii="仿宋" w:hAnsi="仿宋" w:eastAsia="仿宋" w:cs="仿宋"/>
          <w:i w:val="0"/>
          <w:iCs w:val="0"/>
          <w:caps w:val="0"/>
          <w:color w:val="666666"/>
          <w:spacing w:val="0"/>
          <w:sz w:val="24"/>
          <w:szCs w:val="24"/>
        </w:rPr>
      </w:pPr>
      <w:r>
        <w:rPr>
          <w:rFonts w:hint="eastAsia" w:ascii="仿宋" w:hAnsi="仿宋" w:eastAsia="仿宋" w:cs="仿宋"/>
          <w:b/>
          <w:bCs/>
          <w:i w:val="0"/>
          <w:iCs w:val="0"/>
          <w:caps w:val="0"/>
          <w:color w:val="111111"/>
          <w:spacing w:val="0"/>
          <w:kern w:val="0"/>
          <w:sz w:val="24"/>
          <w:szCs w:val="24"/>
          <w:bdr w:val="none" w:color="auto" w:sz="0" w:space="0"/>
          <w:lang w:val="en-US" w:eastAsia="zh-CN" w:bidi="ar"/>
        </w:rPr>
        <w:t>收款账号信息</w:t>
      </w:r>
      <w:r>
        <w:rPr>
          <w:rFonts w:hint="eastAsia" w:ascii="仿宋" w:hAnsi="仿宋" w:eastAsia="仿宋" w:cs="仿宋"/>
          <w:i w:val="0"/>
          <w:iCs w:val="0"/>
          <w:caps w:val="0"/>
          <w:color w:val="666666"/>
          <w:spacing w:val="0"/>
          <w:kern w:val="0"/>
          <w:sz w:val="24"/>
          <w:szCs w:val="24"/>
          <w:bdr w:val="none" w:color="auto" w:sz="0" w:space="0"/>
          <w:lang w:val="en-US" w:eastAsia="zh-CN" w:bidi="ar"/>
        </w:rPr>
        <w:t> </w:t>
      </w:r>
      <w:r>
        <w:rPr>
          <w:rFonts w:hint="eastAsia" w:ascii="仿宋" w:hAnsi="仿宋" w:eastAsia="仿宋" w:cs="仿宋"/>
          <w:i w:val="0"/>
          <w:iCs w:val="0"/>
          <w:caps w:val="0"/>
          <w:color w:val="333333"/>
          <w:spacing w:val="0"/>
          <w:kern w:val="0"/>
          <w:sz w:val="24"/>
          <w:szCs w:val="24"/>
          <w:lang w:val="en-US" w:eastAsia="zh-CN" w:bidi="ar"/>
        </w:rPr>
        <w:t>通过淘宝订单支付会自动转入以下账号，可实时查看钱款去向</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CFCFC"/>
        <w:spacing w:before="171" w:beforeAutospacing="0" w:after="430" w:afterAutospacing="0"/>
        <w:ind w:left="343" w:right="343" w:firstLine="0"/>
        <w:jc w:val="left"/>
        <w:rPr>
          <w:rFonts w:hint="eastAsia" w:ascii="仿宋" w:hAnsi="仿宋" w:eastAsia="仿宋" w:cs="仿宋"/>
          <w:i w:val="0"/>
          <w:iCs w:val="0"/>
          <w:caps w:val="0"/>
          <w:color w:val="666666"/>
          <w:spacing w:val="0"/>
          <w:sz w:val="24"/>
          <w:szCs w:val="24"/>
        </w:rPr>
      </w:pPr>
      <w:r>
        <w:rPr>
          <w:rFonts w:hint="eastAsia" w:ascii="仿宋" w:hAnsi="仿宋" w:eastAsia="仿宋" w:cs="仿宋"/>
          <w:i w:val="0"/>
          <w:iCs w:val="0"/>
          <w:caps w:val="0"/>
          <w:color w:val="111111"/>
          <w:spacing w:val="0"/>
          <w:kern w:val="0"/>
          <w:sz w:val="24"/>
          <w:szCs w:val="24"/>
          <w:bdr w:val="none" w:color="auto" w:sz="0" w:space="0"/>
          <w:shd w:val="clear" w:fill="FCFCFC"/>
          <w:lang w:val="en-US" w:eastAsia="zh-CN" w:bidi="ar"/>
        </w:rPr>
        <w:t>户名</w:t>
      </w:r>
      <w:r>
        <w:rPr>
          <w:rFonts w:hint="eastAsia" w:ascii="仿宋" w:hAnsi="仿宋" w:eastAsia="仿宋" w:cs="仿宋"/>
          <w:i w:val="0"/>
          <w:iCs w:val="0"/>
          <w:caps w:val="0"/>
          <w:color w:val="666666"/>
          <w:spacing w:val="0"/>
          <w:kern w:val="0"/>
          <w:sz w:val="24"/>
          <w:szCs w:val="24"/>
          <w:bdr w:val="none" w:color="auto" w:sz="0" w:space="0"/>
          <w:shd w:val="clear" w:fill="FCFCFC"/>
          <w:lang w:val="en-US" w:eastAsia="zh-CN" w:bidi="ar"/>
        </w:rPr>
        <w:t> </w:t>
      </w:r>
      <w:r>
        <w:rPr>
          <w:rFonts w:hint="eastAsia" w:ascii="仿宋" w:hAnsi="仿宋" w:eastAsia="仿宋" w:cs="仿宋"/>
          <w:i w:val="0"/>
          <w:iCs w:val="0"/>
          <w:caps w:val="0"/>
          <w:color w:val="666666"/>
          <w:spacing w:val="0"/>
          <w:kern w:val="0"/>
          <w:sz w:val="24"/>
          <w:szCs w:val="24"/>
          <w:shd w:val="clear" w:fill="FCFCFC"/>
          <w:lang w:val="en-US" w:eastAsia="zh-CN" w:bidi="ar"/>
        </w:rPr>
        <w:t>上海光明饲料有限公司管理人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CFCFC"/>
        <w:spacing w:before="171" w:beforeAutospacing="0" w:after="430" w:afterAutospacing="0"/>
        <w:ind w:left="343" w:right="343" w:firstLine="0"/>
        <w:jc w:val="left"/>
        <w:rPr>
          <w:rFonts w:hint="eastAsia" w:ascii="仿宋" w:hAnsi="仿宋" w:eastAsia="仿宋" w:cs="仿宋"/>
          <w:i w:val="0"/>
          <w:iCs w:val="0"/>
          <w:caps w:val="0"/>
          <w:color w:val="666666"/>
          <w:spacing w:val="0"/>
          <w:sz w:val="24"/>
          <w:szCs w:val="24"/>
        </w:rPr>
      </w:pPr>
      <w:r>
        <w:rPr>
          <w:rFonts w:hint="eastAsia" w:ascii="仿宋" w:hAnsi="仿宋" w:eastAsia="仿宋" w:cs="仿宋"/>
          <w:i w:val="0"/>
          <w:iCs w:val="0"/>
          <w:caps w:val="0"/>
          <w:color w:val="111111"/>
          <w:spacing w:val="0"/>
          <w:kern w:val="0"/>
          <w:sz w:val="24"/>
          <w:szCs w:val="24"/>
          <w:bdr w:val="none" w:color="auto" w:sz="0" w:space="0"/>
          <w:shd w:val="clear" w:fill="FCFCFC"/>
          <w:lang w:val="en-US" w:eastAsia="zh-CN" w:bidi="ar"/>
        </w:rPr>
        <w:t>账号</w:t>
      </w:r>
      <w:r>
        <w:rPr>
          <w:rFonts w:hint="eastAsia" w:ascii="仿宋" w:hAnsi="仿宋" w:eastAsia="仿宋" w:cs="仿宋"/>
          <w:i w:val="0"/>
          <w:iCs w:val="0"/>
          <w:caps w:val="0"/>
          <w:color w:val="666666"/>
          <w:spacing w:val="0"/>
          <w:kern w:val="0"/>
          <w:sz w:val="24"/>
          <w:szCs w:val="24"/>
          <w:bdr w:val="none" w:color="auto" w:sz="0" w:space="0"/>
          <w:shd w:val="clear" w:fill="FCFCFC"/>
          <w:lang w:val="en-US" w:eastAsia="zh-CN" w:bidi="ar"/>
        </w:rPr>
        <w:t> </w:t>
      </w:r>
      <w:r>
        <w:rPr>
          <w:rFonts w:hint="eastAsia" w:ascii="仿宋" w:hAnsi="仿宋" w:eastAsia="仿宋" w:cs="仿宋"/>
          <w:i w:val="0"/>
          <w:iCs w:val="0"/>
          <w:caps w:val="0"/>
          <w:color w:val="666666"/>
          <w:spacing w:val="0"/>
          <w:kern w:val="0"/>
          <w:sz w:val="24"/>
          <w:szCs w:val="24"/>
          <w:shd w:val="clear" w:fill="FCFCFC"/>
          <w:lang w:val="en-US" w:eastAsia="zh-CN" w:bidi="ar"/>
        </w:rPr>
        <w:t>4507 8465 4941</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CFCFC"/>
        <w:spacing w:before="171" w:beforeAutospacing="0" w:after="430" w:afterAutospacing="0"/>
        <w:ind w:left="343" w:right="343" w:firstLine="0"/>
        <w:jc w:val="left"/>
        <w:rPr>
          <w:rFonts w:hint="eastAsia" w:ascii="仿宋" w:hAnsi="仿宋" w:eastAsia="仿宋" w:cs="仿宋"/>
          <w:i w:val="0"/>
          <w:iCs w:val="0"/>
          <w:caps w:val="0"/>
          <w:color w:val="666666"/>
          <w:spacing w:val="0"/>
          <w:sz w:val="24"/>
          <w:szCs w:val="24"/>
        </w:rPr>
      </w:pPr>
      <w:r>
        <w:rPr>
          <w:rFonts w:hint="eastAsia" w:ascii="仿宋" w:hAnsi="仿宋" w:eastAsia="仿宋" w:cs="仿宋"/>
          <w:i w:val="0"/>
          <w:iCs w:val="0"/>
          <w:caps w:val="0"/>
          <w:color w:val="111111"/>
          <w:spacing w:val="0"/>
          <w:kern w:val="0"/>
          <w:sz w:val="24"/>
          <w:szCs w:val="24"/>
          <w:bdr w:val="none" w:color="auto" w:sz="0" w:space="0"/>
          <w:shd w:val="clear" w:fill="FCFCFC"/>
          <w:lang w:val="en-US" w:eastAsia="zh-CN" w:bidi="ar"/>
        </w:rPr>
        <w:t>开户行</w:t>
      </w:r>
      <w:r>
        <w:rPr>
          <w:rFonts w:hint="eastAsia" w:ascii="仿宋" w:hAnsi="仿宋" w:eastAsia="仿宋" w:cs="仿宋"/>
          <w:i w:val="0"/>
          <w:iCs w:val="0"/>
          <w:caps w:val="0"/>
          <w:color w:val="666666"/>
          <w:spacing w:val="0"/>
          <w:kern w:val="0"/>
          <w:sz w:val="24"/>
          <w:szCs w:val="24"/>
          <w:bdr w:val="none" w:color="auto" w:sz="0" w:space="0"/>
          <w:shd w:val="clear" w:fill="FCFCFC"/>
          <w:lang w:val="en-US" w:eastAsia="zh-CN" w:bidi="ar"/>
        </w:rPr>
        <w:t> </w:t>
      </w:r>
      <w:r>
        <w:rPr>
          <w:rFonts w:hint="eastAsia" w:ascii="仿宋" w:hAnsi="仿宋" w:eastAsia="仿宋" w:cs="仿宋"/>
          <w:i w:val="0"/>
          <w:iCs w:val="0"/>
          <w:caps w:val="0"/>
          <w:color w:val="666666"/>
          <w:spacing w:val="0"/>
          <w:kern w:val="0"/>
          <w:sz w:val="24"/>
          <w:szCs w:val="24"/>
          <w:shd w:val="clear" w:fill="FCFCFC"/>
          <w:lang w:val="en-US" w:eastAsia="zh-CN" w:bidi="ar"/>
        </w:rPr>
        <w:t>中国银行上海市上海中心大厦支行</w:t>
      </w:r>
    </w:p>
    <w:p>
      <w:pPr>
        <w:rPr>
          <w:rFonts w:hint="eastAsia" w:ascii="仿宋" w:hAnsi="仿宋" w:eastAsia="仿宋" w:cs="仿宋"/>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000000"/>
    <w:rsid w:val="1F756F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0</TotalTime>
  <ScaleCrop>false</ScaleCrop>
  <LinksUpToDate>false</LinksUpToDate>
  <CharactersWithSpaces>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2024-09-02T02:23:07Z</dcterms:created>
  <dc:creator>17860</dc:creator>
  <cp:lastModifiedBy>Christy</cp:lastModifiedBy>
  <dcterms:modified xsi:type="dcterms:W3CDTF">2024-09-02T02:24:04Z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F8FB141789CA43AAB5FA91F098B2E14A_12</vt:lpwstr>
  </property>
</Properties>
</file>