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80" w:rsidRDefault="000E1280" w:rsidP="000E1280">
      <w:pPr>
        <w:widowControl/>
        <w:spacing w:line="480" w:lineRule="auto"/>
        <w:jc w:val="center"/>
        <w:rPr>
          <w:rFonts w:ascii="黑体" w:eastAsia="黑体" w:hAnsi="Microsoft Yahei" w:cs="宋体" w:hint="eastAsia"/>
          <w:color w:val="2F2F2F"/>
          <w:kern w:val="0"/>
          <w:sz w:val="36"/>
          <w:szCs w:val="36"/>
        </w:rPr>
      </w:pPr>
      <w:r w:rsidRPr="000E1280">
        <w:rPr>
          <w:rFonts w:ascii="黑体" w:eastAsia="黑体" w:hAnsi="Microsoft Yahei" w:cs="宋体" w:hint="eastAsia"/>
          <w:color w:val="2F2F2F"/>
          <w:kern w:val="0"/>
          <w:sz w:val="36"/>
          <w:szCs w:val="36"/>
        </w:rPr>
        <w:t>最高人民法院印发</w:t>
      </w:r>
    </w:p>
    <w:p w:rsidR="000E1280" w:rsidRDefault="000E1280" w:rsidP="000E1280">
      <w:pPr>
        <w:widowControl/>
        <w:spacing w:line="480" w:lineRule="auto"/>
        <w:jc w:val="center"/>
        <w:rPr>
          <w:rFonts w:ascii="黑体" w:eastAsia="黑体" w:hAnsi="Microsoft Yahei" w:cs="宋体" w:hint="eastAsia"/>
          <w:color w:val="2F2F2F"/>
          <w:kern w:val="0"/>
          <w:sz w:val="36"/>
          <w:szCs w:val="36"/>
        </w:rPr>
      </w:pPr>
      <w:r w:rsidRPr="000E1280">
        <w:rPr>
          <w:rFonts w:ascii="黑体" w:eastAsia="黑体" w:hAnsi="Microsoft Yahei" w:cs="宋体" w:hint="eastAsia"/>
          <w:color w:val="2F2F2F"/>
          <w:kern w:val="0"/>
          <w:sz w:val="36"/>
          <w:szCs w:val="36"/>
        </w:rPr>
        <w:t>《关于执行案件移送破产审查若干问题的指导意见》的通知</w:t>
      </w:r>
    </w:p>
    <w:p w:rsidR="008A328E" w:rsidRDefault="008A328E" w:rsidP="000E1280">
      <w:pPr>
        <w:widowControl/>
        <w:spacing w:line="360" w:lineRule="auto"/>
        <w:jc w:val="center"/>
        <w:rPr>
          <w:rFonts w:ascii="仿宋_GB2312" w:eastAsia="仿宋_GB2312" w:hAnsi="微软雅黑" w:cs="宋体" w:hint="eastAsia"/>
          <w:b/>
          <w:bCs/>
          <w:color w:val="2F2F2F"/>
          <w:kern w:val="0"/>
          <w:sz w:val="30"/>
          <w:szCs w:val="30"/>
        </w:rPr>
      </w:pPr>
    </w:p>
    <w:p w:rsidR="000E1280" w:rsidRPr="000E1280" w:rsidRDefault="000E1280" w:rsidP="000E1280">
      <w:pPr>
        <w:widowControl/>
        <w:spacing w:line="360" w:lineRule="auto"/>
        <w:jc w:val="center"/>
        <w:rPr>
          <w:rFonts w:ascii="仿宋_GB2312" w:eastAsia="仿宋_GB2312" w:hAnsi="微软雅黑" w:cs="宋体"/>
          <w:color w:val="2F2F2F"/>
          <w:kern w:val="0"/>
          <w:sz w:val="30"/>
          <w:szCs w:val="30"/>
        </w:rPr>
      </w:pPr>
      <w:r w:rsidRPr="000E1280">
        <w:rPr>
          <w:rFonts w:ascii="仿宋_GB2312" w:eastAsia="仿宋_GB2312" w:hAnsi="微软雅黑" w:cs="宋体" w:hint="eastAsia"/>
          <w:b/>
          <w:bCs/>
          <w:color w:val="2F2F2F"/>
          <w:kern w:val="0"/>
          <w:sz w:val="30"/>
          <w:szCs w:val="30"/>
        </w:rPr>
        <w:t>法发〔2017〕2号</w:t>
      </w:r>
    </w:p>
    <w:p w:rsidR="008A328E" w:rsidRDefault="008A328E" w:rsidP="000E1280">
      <w:pPr>
        <w:widowControl/>
        <w:spacing w:line="360" w:lineRule="auto"/>
        <w:jc w:val="left"/>
        <w:rPr>
          <w:rFonts w:ascii="仿宋_GB2312" w:eastAsia="仿宋_GB2312" w:hAnsi="微软雅黑" w:cs="宋体" w:hint="eastAsia"/>
          <w:color w:val="2F2F2F"/>
          <w:kern w:val="0"/>
          <w:sz w:val="30"/>
          <w:szCs w:val="30"/>
        </w:rPr>
      </w:pP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各省、自治区、直辖市高级人民法院，解放军军事法院，新疆维吾尔自治区高级人民法院生产建设兵团分院：</w:t>
      </w:r>
    </w:p>
    <w:p w:rsidR="000E1280" w:rsidRDefault="000E1280" w:rsidP="008A328E">
      <w:pPr>
        <w:widowControl/>
        <w:spacing w:line="360" w:lineRule="auto"/>
        <w:ind w:firstLine="600"/>
        <w:jc w:val="left"/>
        <w:rPr>
          <w:rFonts w:ascii="仿宋_GB2312" w:eastAsia="仿宋_GB2312" w:hAnsi="微软雅黑" w:cs="宋体" w:hint="eastAsia"/>
          <w:color w:val="2F2F2F"/>
          <w:kern w:val="0"/>
          <w:sz w:val="30"/>
          <w:szCs w:val="30"/>
        </w:rPr>
      </w:pPr>
      <w:r w:rsidRPr="000E1280">
        <w:rPr>
          <w:rFonts w:ascii="仿宋_GB2312" w:eastAsia="仿宋_GB2312" w:hAnsi="微软雅黑" w:cs="宋体" w:hint="eastAsia"/>
          <w:color w:val="2F2F2F"/>
          <w:kern w:val="0"/>
          <w:sz w:val="30"/>
          <w:szCs w:val="30"/>
        </w:rPr>
        <w:t>现将《最高人民法院关于执行案件移送破产审查若干问题的指导意见》印发给你们，请认真遵照执行。</w:t>
      </w:r>
    </w:p>
    <w:p w:rsidR="008A328E" w:rsidRDefault="008A328E" w:rsidP="008A328E">
      <w:pPr>
        <w:widowControl/>
        <w:spacing w:line="360" w:lineRule="auto"/>
        <w:ind w:firstLine="600"/>
        <w:jc w:val="left"/>
        <w:rPr>
          <w:rFonts w:ascii="仿宋_GB2312" w:eastAsia="仿宋_GB2312" w:hAnsi="微软雅黑" w:cs="宋体" w:hint="eastAsia"/>
          <w:color w:val="2F2F2F"/>
          <w:kern w:val="0"/>
          <w:sz w:val="30"/>
          <w:szCs w:val="30"/>
        </w:rPr>
      </w:pPr>
    </w:p>
    <w:p w:rsidR="008A328E" w:rsidRDefault="008A328E" w:rsidP="008A328E">
      <w:pPr>
        <w:widowControl/>
        <w:spacing w:line="360" w:lineRule="auto"/>
        <w:ind w:firstLine="600"/>
        <w:jc w:val="left"/>
        <w:rPr>
          <w:rFonts w:ascii="仿宋_GB2312" w:eastAsia="仿宋_GB2312" w:hAnsi="微软雅黑" w:cs="宋体" w:hint="eastAsia"/>
          <w:color w:val="2F2F2F"/>
          <w:kern w:val="0"/>
          <w:sz w:val="30"/>
          <w:szCs w:val="30"/>
        </w:rPr>
      </w:pPr>
    </w:p>
    <w:p w:rsidR="008A328E" w:rsidRDefault="008A328E" w:rsidP="008A328E">
      <w:pPr>
        <w:widowControl/>
        <w:spacing w:line="360" w:lineRule="auto"/>
        <w:ind w:firstLine="600"/>
        <w:jc w:val="left"/>
        <w:rPr>
          <w:rFonts w:ascii="仿宋_GB2312" w:eastAsia="仿宋_GB2312" w:hAnsi="微软雅黑" w:cs="宋体" w:hint="eastAsia"/>
          <w:color w:val="2F2F2F"/>
          <w:kern w:val="0"/>
          <w:sz w:val="30"/>
          <w:szCs w:val="30"/>
        </w:rPr>
      </w:pPr>
    </w:p>
    <w:p w:rsidR="008A328E" w:rsidRDefault="008A328E" w:rsidP="008A328E">
      <w:pPr>
        <w:widowControl/>
        <w:spacing w:line="360" w:lineRule="auto"/>
        <w:ind w:firstLine="600"/>
        <w:jc w:val="left"/>
        <w:rPr>
          <w:rFonts w:ascii="仿宋_GB2312" w:eastAsia="仿宋_GB2312" w:hAnsi="微软雅黑" w:cs="宋体" w:hint="eastAsia"/>
          <w:color w:val="2F2F2F"/>
          <w:kern w:val="0"/>
          <w:sz w:val="30"/>
          <w:szCs w:val="30"/>
        </w:rPr>
      </w:pPr>
    </w:p>
    <w:p w:rsidR="008A328E" w:rsidRPr="008A328E" w:rsidRDefault="008A328E" w:rsidP="008A328E">
      <w:pPr>
        <w:widowControl/>
        <w:spacing w:line="360" w:lineRule="auto"/>
        <w:ind w:firstLine="600"/>
        <w:jc w:val="left"/>
        <w:rPr>
          <w:rFonts w:ascii="仿宋_GB2312" w:eastAsia="仿宋_GB2312" w:hAnsi="微软雅黑" w:cs="宋体"/>
          <w:color w:val="2F2F2F"/>
          <w:kern w:val="0"/>
          <w:sz w:val="30"/>
          <w:szCs w:val="30"/>
        </w:rPr>
      </w:pPr>
    </w:p>
    <w:p w:rsidR="000E1280" w:rsidRPr="000E1280" w:rsidRDefault="000E1280" w:rsidP="000E1280">
      <w:pPr>
        <w:widowControl/>
        <w:spacing w:line="360" w:lineRule="auto"/>
        <w:jc w:val="righ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最高人民法院</w:t>
      </w:r>
    </w:p>
    <w:p w:rsidR="000E1280" w:rsidRDefault="000E1280" w:rsidP="000E1280">
      <w:pPr>
        <w:widowControl/>
        <w:spacing w:line="360" w:lineRule="auto"/>
        <w:jc w:val="right"/>
        <w:rPr>
          <w:rFonts w:ascii="仿宋_GB2312" w:eastAsia="仿宋_GB2312" w:hAnsi="微软雅黑" w:cs="宋体" w:hint="eastAsia"/>
          <w:color w:val="2F2F2F"/>
          <w:kern w:val="0"/>
          <w:sz w:val="30"/>
          <w:szCs w:val="30"/>
        </w:rPr>
      </w:pPr>
      <w:r w:rsidRPr="000E1280">
        <w:rPr>
          <w:rFonts w:ascii="仿宋_GB2312" w:eastAsia="仿宋_GB2312" w:hAnsi="微软雅黑" w:cs="宋体" w:hint="eastAsia"/>
          <w:color w:val="2F2F2F"/>
          <w:kern w:val="0"/>
          <w:sz w:val="30"/>
          <w:szCs w:val="30"/>
        </w:rPr>
        <w:t xml:space="preserve">　　2017年1月20日</w:t>
      </w:r>
    </w:p>
    <w:p w:rsidR="008A328E" w:rsidRDefault="008A328E" w:rsidP="000E1280">
      <w:pPr>
        <w:widowControl/>
        <w:spacing w:line="360" w:lineRule="auto"/>
        <w:jc w:val="right"/>
        <w:rPr>
          <w:rFonts w:ascii="仿宋_GB2312" w:eastAsia="仿宋_GB2312" w:hAnsi="微软雅黑" w:cs="宋体" w:hint="eastAsia"/>
          <w:color w:val="2F2F2F"/>
          <w:kern w:val="0"/>
          <w:sz w:val="30"/>
          <w:szCs w:val="30"/>
        </w:rPr>
      </w:pPr>
    </w:p>
    <w:p w:rsidR="008A328E" w:rsidRDefault="008A328E" w:rsidP="000E1280">
      <w:pPr>
        <w:widowControl/>
        <w:spacing w:line="360" w:lineRule="auto"/>
        <w:jc w:val="right"/>
        <w:rPr>
          <w:rFonts w:ascii="仿宋_GB2312" w:eastAsia="仿宋_GB2312" w:hAnsi="微软雅黑" w:cs="宋体" w:hint="eastAsia"/>
          <w:color w:val="2F2F2F"/>
          <w:kern w:val="0"/>
          <w:sz w:val="30"/>
          <w:szCs w:val="30"/>
        </w:rPr>
      </w:pPr>
    </w:p>
    <w:p w:rsidR="008A328E" w:rsidRDefault="008A328E" w:rsidP="000E1280">
      <w:pPr>
        <w:widowControl/>
        <w:spacing w:line="360" w:lineRule="auto"/>
        <w:jc w:val="right"/>
        <w:rPr>
          <w:rFonts w:ascii="仿宋_GB2312" w:eastAsia="仿宋_GB2312" w:hAnsi="微软雅黑" w:cs="宋体" w:hint="eastAsia"/>
          <w:color w:val="2F2F2F"/>
          <w:kern w:val="0"/>
          <w:sz w:val="30"/>
          <w:szCs w:val="30"/>
        </w:rPr>
      </w:pPr>
    </w:p>
    <w:p w:rsidR="008A328E" w:rsidRDefault="008A328E" w:rsidP="000E1280">
      <w:pPr>
        <w:widowControl/>
        <w:spacing w:line="360" w:lineRule="auto"/>
        <w:jc w:val="right"/>
        <w:rPr>
          <w:rFonts w:ascii="仿宋_GB2312" w:eastAsia="仿宋_GB2312" w:hAnsi="微软雅黑" w:cs="宋体" w:hint="eastAsia"/>
          <w:color w:val="2F2F2F"/>
          <w:kern w:val="0"/>
          <w:sz w:val="30"/>
          <w:szCs w:val="30"/>
        </w:rPr>
      </w:pPr>
    </w:p>
    <w:p w:rsidR="008A328E" w:rsidRPr="000E1280" w:rsidRDefault="008A328E" w:rsidP="000E1280">
      <w:pPr>
        <w:widowControl/>
        <w:spacing w:line="360" w:lineRule="auto"/>
        <w:jc w:val="right"/>
        <w:rPr>
          <w:rFonts w:ascii="仿宋_GB2312" w:eastAsia="仿宋_GB2312" w:hAnsi="微软雅黑" w:cs="宋体"/>
          <w:color w:val="2F2F2F"/>
          <w:kern w:val="0"/>
          <w:sz w:val="30"/>
          <w:szCs w:val="30"/>
        </w:rPr>
      </w:pPr>
      <w:bookmarkStart w:id="0" w:name="_GoBack"/>
      <w:bookmarkEnd w:id="0"/>
    </w:p>
    <w:p w:rsidR="000E1280" w:rsidRPr="000E1280" w:rsidRDefault="000E1280" w:rsidP="000E1280">
      <w:pPr>
        <w:widowControl/>
        <w:spacing w:line="360" w:lineRule="auto"/>
        <w:jc w:val="center"/>
        <w:rPr>
          <w:rFonts w:ascii="黑体" w:eastAsia="黑体" w:hAnsi="微软雅黑" w:cs="宋体"/>
          <w:color w:val="2F2F2F"/>
          <w:kern w:val="0"/>
          <w:sz w:val="36"/>
          <w:szCs w:val="36"/>
        </w:rPr>
      </w:pPr>
      <w:r w:rsidRPr="000E1280">
        <w:rPr>
          <w:rFonts w:ascii="黑体" w:eastAsia="黑体" w:hAnsi="微软雅黑" w:cs="宋体" w:hint="eastAsia"/>
          <w:bCs/>
          <w:color w:val="2F2F2F"/>
          <w:kern w:val="0"/>
          <w:sz w:val="36"/>
          <w:szCs w:val="36"/>
        </w:rPr>
        <w:lastRenderedPageBreak/>
        <w:t>最高人民法院</w:t>
      </w:r>
    </w:p>
    <w:p w:rsidR="000E1280" w:rsidRPr="000E1280" w:rsidRDefault="000E1280" w:rsidP="000E1280">
      <w:pPr>
        <w:widowControl/>
        <w:spacing w:line="360" w:lineRule="auto"/>
        <w:jc w:val="center"/>
        <w:rPr>
          <w:rFonts w:ascii="黑体" w:eastAsia="黑体" w:hAnsi="微软雅黑" w:cs="宋体"/>
          <w:color w:val="2F2F2F"/>
          <w:kern w:val="0"/>
          <w:sz w:val="36"/>
          <w:szCs w:val="36"/>
        </w:rPr>
      </w:pPr>
      <w:r w:rsidRPr="000E1280">
        <w:rPr>
          <w:rFonts w:ascii="黑体" w:eastAsia="黑体" w:hAnsi="微软雅黑" w:cs="宋体" w:hint="eastAsia"/>
          <w:bCs/>
          <w:color w:val="2F2F2F"/>
          <w:kern w:val="0"/>
          <w:sz w:val="36"/>
          <w:szCs w:val="36"/>
        </w:rPr>
        <w:t>关于执行案件移送破产审查若干问题的指导意见</w:t>
      </w:r>
    </w:p>
    <w:p w:rsidR="008A328E" w:rsidRDefault="000E1280" w:rsidP="000E1280">
      <w:pPr>
        <w:widowControl/>
        <w:spacing w:line="360" w:lineRule="auto"/>
        <w:jc w:val="left"/>
        <w:rPr>
          <w:rFonts w:ascii="仿宋_GB2312" w:eastAsia="仿宋_GB2312" w:hAnsi="微软雅黑" w:cs="宋体" w:hint="eastAsia"/>
          <w:color w:val="2F2F2F"/>
          <w:kern w:val="0"/>
          <w:sz w:val="30"/>
          <w:szCs w:val="30"/>
        </w:rPr>
      </w:pPr>
      <w:r w:rsidRPr="000E1280">
        <w:rPr>
          <w:rFonts w:ascii="仿宋_GB2312" w:eastAsia="仿宋_GB2312" w:hAnsi="微软雅黑" w:cs="宋体" w:hint="eastAsia"/>
          <w:color w:val="2F2F2F"/>
          <w:kern w:val="0"/>
          <w:sz w:val="30"/>
          <w:szCs w:val="30"/>
        </w:rPr>
        <w:t xml:space="preserve">　　</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推进执行案件移送破产审查工作，有利于健全市场主体救治和退出机制，有利于完善司法工作机制，有利于化解执行积案，是人民法院贯彻中央供给侧结构性改革部署的重要举措，是当前和今后一段时期人民法院服务经济社会发展大局的重要任务。为促进和规范执行案件移送破产审查工作，保障执行程序与破产程序的有序衔接，根据《中华人民共和国企业破产法》《中华人民共和国民事诉讼法》《最高人民法院关于适用〈中华人民共和国民事诉讼法〉的解释》等规定，现对执行案件移送破产审查的若干问题提出以下意见。</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一、执行案件移送破产审查的工作原则、条件与管辖</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执行案件移送破产审查工作,涉及执行程序与破产程序之间的转换衔接，不同法院之间，同一法院内部执行部门、立案部门、破产审判部门之间，应坚持依法有序、协调配合、高效便捷的工作原则，防止推诿扯皮，影响司法效率，损害当事人合法权益。</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2.执行案件移送破产审查,应同时符合下列条件:</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（1）被执行人为企业法人；</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（2）被执行人或者有关被执行人的任何一个执行案件的申请执行人书面同意将执行案件移送破产审查；</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lastRenderedPageBreak/>
        <w:t xml:space="preserve">　　（3）被执行人不能清偿到期债务，并且资产不足以清偿全部债务或者明显缺乏清偿能力。</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3.执行案件移送破产审查，由被执行人住所地人民法院管辖。在级别管辖上，为适应破产审判专业化建设的要求，合理分配审判任务，实行以中级人民法院管辖为原则、基层人民法院管辖为例外的管辖制度。中级人民法院经高级人民法院批准，也可以将案件交由具备审理条件的基层人民法院审理。</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二、执行法院的征询、决定程序</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4.执行法院在执行程序中应加强对执行案件移送破产审查有关事宜的告知和征询工作。执行法院采取财产调查措施后，发现作为被执行人的企业法人符合破产法第二条规定的，应当及时询问申请执行人、被执行人是否同意将案件移送破产审查。申请执行人、被执行人均不同意移送且无人申请破产的，执行法院应当按照《最高人民法院关于适用〈中华人民共和国民事诉讼法〉的解释》第五百一十六条的规定处理，企业法人的其他已经取得执行依据的债权人申请参与分配的，人民法院不予支持。</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5.执行部门应严格遵守执行案件移送破产审查的内部决定程序。承办人认为执行案件符合移送破产审查条件的，应提出审查意见，经合议庭评议同意后，由执行法院院长签署移送决定。</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6.为减少异地法院之间移送的随意性，基层人民法院拟将执行案件移送异地中级人民法院进行破产审查的，在</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移送决定前，应先报请其所在地中级人民法院执行部门审核同意。</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lastRenderedPageBreak/>
        <w:t xml:space="preserve">　　7.执行法院</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移送决定后，应当于五日内送达申请执行人和被执行人。申请执行人或被执行人对决定有异议的，可以在受移送法院破产审查期间提出，由受移送法院一并处理。</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8.执行法院</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移送决定后，应当书面通知所有已知执行法院，执行法院均应中止对被执行人的执行程序。但是，对被执行人的季节性商品、鲜活、易腐烂变质以及其他不宜长期保存的物品，执行法院应当及时变价处置，处置的价款不作分配。受移送法院裁定受理破产案件的，执行法院应当在收到裁定书之日起七日内，将该价款移交受理破产案件的法院。</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案件符合终结本次执行程序条件的，执行法院可以同时裁定终结本次执行程序。</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9.确保对被执行人财产的查封、扣押、冻结措施的连续性，执行法院决定移送后、受移送法院裁定受理破产案件之前，对被执行人的查封、扣押、冻结措施不解除。查封、扣押、冻结期限在破产审查期间届满的，申请执行人可以向执行法院申请延长期限，由执行法院负责办理。</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三、移送材料及受移送法院的接收义务</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10.执行法院</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移送决定后，应当向受移送法院移送下列材料：</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（1）执行案件移送破产审查决定书；</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（2）申请执行人或被执行人同意移送的书面材料；</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lastRenderedPageBreak/>
        <w:t xml:space="preserve">　　（3）执行法院采取财产调查措施查明的被执行人的财产状况，已查封、扣押、冻结财产清单及相关材料；</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（4）执行法院已分配财产清单及相关材料；</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（5）被执行人债务清单；</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（6）其他应当移送的材料。</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11.移送的材料不完备或内容错误，影响受移送法院认定破产原因是否具备的，受移送法院可以要求执行法院补齐、补正，执行法院应于十日内补齐、补正。该期间不计入受移送法院破产审查的期间。</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受移送法院需要查阅执行程序中的其他案件材料，或者依法委托执行法院办理财产处置等事项的，执行法院应予协助配合。</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12.执行法院移送破产审查的材料，由受移送法院立案部门负责接收。受移送法院不得以材料不完备等为由拒绝接收。立案部门经审核认为移送材料完备的，应以“破申”作为案件类型代字</w:t>
      </w:r>
      <w:proofErr w:type="gramStart"/>
      <w:r w:rsidRPr="000E1280">
        <w:rPr>
          <w:rFonts w:ascii="仿宋_GB2312" w:eastAsia="仿宋_GB2312" w:hAnsi="微软雅黑" w:cs="宋体" w:hint="eastAsia"/>
          <w:color w:val="2F2F2F"/>
          <w:kern w:val="0"/>
          <w:sz w:val="30"/>
          <w:szCs w:val="30"/>
        </w:rPr>
        <w:t>编制案</w:t>
      </w:r>
      <w:proofErr w:type="gramEnd"/>
      <w:r w:rsidRPr="000E1280">
        <w:rPr>
          <w:rFonts w:ascii="仿宋_GB2312" w:eastAsia="仿宋_GB2312" w:hAnsi="微软雅黑" w:cs="宋体" w:hint="eastAsia"/>
          <w:color w:val="2F2F2F"/>
          <w:kern w:val="0"/>
          <w:sz w:val="30"/>
          <w:szCs w:val="30"/>
        </w:rPr>
        <w:t>号登记立案，并及时将案件移送破产审判部门进行破产审查。破产审判部门在审查过程中发现本院对案件不具有管辖权的，应当按照《中华人民共和国民事诉讼法》第三十六条的规定处理。</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四、受移送法院破产审查与受理</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13.受移送法院的破产审判部门应当自收到移送的材料之日起三十日内</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是否受理的裁定。受移送法院</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裁定后，应当在五日内送达申请执行人、被执行人，并送交执行法院。</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lastRenderedPageBreak/>
        <w:t xml:space="preserve">　　14.申请执行人申请或同意移送破产审查的，裁定书中以该申请执行人为申请人，被执行人为被申请人；被执行人申请或同意移送破产审查的，裁定书中以该被执行人为申请人；申请执行人、被执行人均同意移送破产审查的，双方均为申请人。</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15.受移送法院裁定受理破产案件的，在此前的执行程序中产生的评估费、公告费、保管费等执行费用，可以参照破产费用的规定，从债务人财产中随时清偿。</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16.执行法院收到受移送法院受理裁定后,应当于七日内将已经扣划到账的银行存款、实际扣押的动产、有价证券等被执行人财产移交给受理破产案件的法院或管理人。</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17.执行法院收到受移送法院受理裁定时，已通过拍卖程序处置且成交裁定已送达买受人的拍卖财产，通过以物抵债偿还债务且抵债裁定已送达债权人的抵债财产，已完成转账、汇款、现金交付的执行款，因财产所有权已经发生变动，不属于被执行人的财产，不再移交。</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五、受移送法院不予受理或驳回申请的处理</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18.受移送法院做出不予受理或驳回申请裁定的，应当在裁定生效后七日内将接收的材料、被执行人的财产退回执行法院，执行法院应当恢复对被执行人的执行。</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19.受移送法院</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不予受理或驳回申请的裁定后，人民法院不得重复启动执行案件移送破产审查程序。申请执行人或被执行人以有新证据足以证明被执行人已经具备了破产原因为由,再</w:t>
      </w:r>
      <w:r w:rsidRPr="000E1280">
        <w:rPr>
          <w:rFonts w:ascii="仿宋_GB2312" w:eastAsia="仿宋_GB2312" w:hAnsi="微软雅黑" w:cs="宋体" w:hint="eastAsia"/>
          <w:color w:val="2F2F2F"/>
          <w:kern w:val="0"/>
          <w:sz w:val="30"/>
          <w:szCs w:val="30"/>
        </w:rPr>
        <w:lastRenderedPageBreak/>
        <w:t>次要求将执行案件移送破产审查的,人民法院不予支持。但是，申请执行人或被执行人可以直接向具有管辖权的法院提出破产申请。</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20.受移送法院裁定宣告被执行人破产或裁定终止和解程序、重整程序的，应当自裁</w:t>
      </w:r>
      <w:proofErr w:type="gramStart"/>
      <w:r w:rsidRPr="000E1280">
        <w:rPr>
          <w:rFonts w:ascii="仿宋_GB2312" w:eastAsia="仿宋_GB2312" w:hAnsi="微软雅黑" w:cs="宋体" w:hint="eastAsia"/>
          <w:color w:val="2F2F2F"/>
          <w:kern w:val="0"/>
          <w:sz w:val="30"/>
          <w:szCs w:val="30"/>
        </w:rPr>
        <w:t>定作</w:t>
      </w:r>
      <w:proofErr w:type="gramEnd"/>
      <w:r w:rsidRPr="000E1280">
        <w:rPr>
          <w:rFonts w:ascii="仿宋_GB2312" w:eastAsia="仿宋_GB2312" w:hAnsi="微软雅黑" w:cs="宋体" w:hint="eastAsia"/>
          <w:color w:val="2F2F2F"/>
          <w:kern w:val="0"/>
          <w:sz w:val="30"/>
          <w:szCs w:val="30"/>
        </w:rPr>
        <w:t>出之日起五日内送交执行法院，执行法院应当裁定终结对被执行人的执行。</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六、执行案件移送破产审查的监督</w:t>
      </w:r>
    </w:p>
    <w:p w:rsidR="000E128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21.受移送法院拒绝接收移送的材料，或者收到移送的材料后不按规定的期限</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是否受理裁定的，执行法院可函请受移送法院的上一级法院进行监督。上一级法院收到函件后应当</w:t>
      </w:r>
      <w:proofErr w:type="gramStart"/>
      <w:r w:rsidRPr="000E1280">
        <w:rPr>
          <w:rFonts w:ascii="仿宋_GB2312" w:eastAsia="仿宋_GB2312" w:hAnsi="微软雅黑" w:cs="宋体" w:hint="eastAsia"/>
          <w:color w:val="2F2F2F"/>
          <w:kern w:val="0"/>
          <w:sz w:val="30"/>
          <w:szCs w:val="30"/>
        </w:rPr>
        <w:t>指令受</w:t>
      </w:r>
      <w:proofErr w:type="gramEnd"/>
      <w:r w:rsidRPr="000E1280">
        <w:rPr>
          <w:rFonts w:ascii="仿宋_GB2312" w:eastAsia="仿宋_GB2312" w:hAnsi="微软雅黑" w:cs="宋体" w:hint="eastAsia"/>
          <w:color w:val="2F2F2F"/>
          <w:kern w:val="0"/>
          <w:sz w:val="30"/>
          <w:szCs w:val="30"/>
        </w:rPr>
        <w:t>移送法院在十日内接收材料或</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是否受理的裁定。</w:t>
      </w:r>
    </w:p>
    <w:p w:rsidR="004D04E0" w:rsidRPr="000E1280" w:rsidRDefault="000E1280" w:rsidP="000E1280">
      <w:pPr>
        <w:widowControl/>
        <w:spacing w:line="360" w:lineRule="auto"/>
        <w:jc w:val="left"/>
        <w:rPr>
          <w:rFonts w:ascii="仿宋_GB2312" w:eastAsia="仿宋_GB2312" w:hAnsi="微软雅黑" w:cs="宋体"/>
          <w:color w:val="2F2F2F"/>
          <w:kern w:val="0"/>
          <w:sz w:val="30"/>
          <w:szCs w:val="30"/>
        </w:rPr>
      </w:pPr>
      <w:r w:rsidRPr="000E1280">
        <w:rPr>
          <w:rFonts w:ascii="仿宋_GB2312" w:eastAsia="仿宋_GB2312" w:hAnsi="微软雅黑" w:cs="宋体" w:hint="eastAsia"/>
          <w:color w:val="2F2F2F"/>
          <w:kern w:val="0"/>
          <w:sz w:val="30"/>
          <w:szCs w:val="30"/>
        </w:rPr>
        <w:t xml:space="preserve">　　受移送法院收到上级法院的通知后,十日内仍不接收材料或不</w:t>
      </w:r>
      <w:proofErr w:type="gramStart"/>
      <w:r w:rsidRPr="000E1280">
        <w:rPr>
          <w:rFonts w:ascii="仿宋_GB2312" w:eastAsia="仿宋_GB2312" w:hAnsi="微软雅黑" w:cs="宋体" w:hint="eastAsia"/>
          <w:color w:val="2F2F2F"/>
          <w:kern w:val="0"/>
          <w:sz w:val="30"/>
          <w:szCs w:val="30"/>
        </w:rPr>
        <w:t>作出</w:t>
      </w:r>
      <w:proofErr w:type="gramEnd"/>
      <w:r w:rsidRPr="000E1280">
        <w:rPr>
          <w:rFonts w:ascii="仿宋_GB2312" w:eastAsia="仿宋_GB2312" w:hAnsi="微软雅黑" w:cs="宋体" w:hint="eastAsia"/>
          <w:color w:val="2F2F2F"/>
          <w:kern w:val="0"/>
          <w:sz w:val="30"/>
          <w:szCs w:val="30"/>
        </w:rPr>
        <w:t>是否受理裁定的,上一级法院可以径行对移送破产审查的案件行使管辖权。上一级法院裁定受理破产案件的，可以</w:t>
      </w:r>
      <w:proofErr w:type="gramStart"/>
      <w:r w:rsidRPr="000E1280">
        <w:rPr>
          <w:rFonts w:ascii="仿宋_GB2312" w:eastAsia="仿宋_GB2312" w:hAnsi="微软雅黑" w:cs="宋体" w:hint="eastAsia"/>
          <w:color w:val="2F2F2F"/>
          <w:kern w:val="0"/>
          <w:sz w:val="30"/>
          <w:szCs w:val="30"/>
        </w:rPr>
        <w:t>指令受</w:t>
      </w:r>
      <w:proofErr w:type="gramEnd"/>
      <w:r w:rsidRPr="000E1280">
        <w:rPr>
          <w:rFonts w:ascii="仿宋_GB2312" w:eastAsia="仿宋_GB2312" w:hAnsi="微软雅黑" w:cs="宋体" w:hint="eastAsia"/>
          <w:color w:val="2F2F2F"/>
          <w:kern w:val="0"/>
          <w:sz w:val="30"/>
          <w:szCs w:val="30"/>
        </w:rPr>
        <w:t>移送法院审理。</w:t>
      </w:r>
    </w:p>
    <w:sectPr w:rsidR="004D04E0" w:rsidRPr="000E1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AC3" w:rsidRDefault="00985AC3" w:rsidP="000E1280">
      <w:r>
        <w:separator/>
      </w:r>
    </w:p>
  </w:endnote>
  <w:endnote w:type="continuationSeparator" w:id="0">
    <w:p w:rsidR="00985AC3" w:rsidRDefault="00985AC3" w:rsidP="000E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AC3" w:rsidRDefault="00985AC3" w:rsidP="000E1280">
      <w:r>
        <w:separator/>
      </w:r>
    </w:p>
  </w:footnote>
  <w:footnote w:type="continuationSeparator" w:id="0">
    <w:p w:rsidR="00985AC3" w:rsidRDefault="00985AC3" w:rsidP="000E1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13D3"/>
    <w:multiLevelType w:val="multilevel"/>
    <w:tmpl w:val="EF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0164AF"/>
    <w:multiLevelType w:val="multilevel"/>
    <w:tmpl w:val="9CEC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1280"/>
    <w:rsid w:val="000E1280"/>
    <w:rsid w:val="004D04E0"/>
    <w:rsid w:val="008A328E"/>
    <w:rsid w:val="0098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12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1280"/>
    <w:rPr>
      <w:sz w:val="18"/>
      <w:szCs w:val="18"/>
    </w:rPr>
  </w:style>
  <w:style w:type="paragraph" w:styleId="a4">
    <w:name w:val="footer"/>
    <w:basedOn w:val="a"/>
    <w:link w:val="Char0"/>
    <w:uiPriority w:val="99"/>
    <w:semiHidden/>
    <w:unhideWhenUsed/>
    <w:rsid w:val="000E12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1280"/>
    <w:rPr>
      <w:sz w:val="18"/>
      <w:szCs w:val="18"/>
    </w:rPr>
  </w:style>
  <w:style w:type="character" w:styleId="a5">
    <w:name w:val="Hyperlink"/>
    <w:basedOn w:val="a0"/>
    <w:uiPriority w:val="99"/>
    <w:semiHidden/>
    <w:unhideWhenUsed/>
    <w:rsid w:val="000E1280"/>
    <w:rPr>
      <w:color w:val="0000FF"/>
      <w:u w:val="single"/>
    </w:rPr>
  </w:style>
  <w:style w:type="paragraph" w:styleId="a6">
    <w:name w:val="Normal (Web)"/>
    <w:basedOn w:val="a"/>
    <w:uiPriority w:val="99"/>
    <w:semiHidden/>
    <w:unhideWhenUsed/>
    <w:rsid w:val="000E128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E1280"/>
    <w:rPr>
      <w:b/>
      <w:bCs/>
    </w:rPr>
  </w:style>
  <w:style w:type="paragraph" w:styleId="a8">
    <w:name w:val="Date"/>
    <w:basedOn w:val="a"/>
    <w:next w:val="a"/>
    <w:link w:val="Char1"/>
    <w:uiPriority w:val="99"/>
    <w:semiHidden/>
    <w:unhideWhenUsed/>
    <w:rsid w:val="008A328E"/>
    <w:pPr>
      <w:ind w:leftChars="2500" w:left="100"/>
    </w:pPr>
  </w:style>
  <w:style w:type="character" w:customStyle="1" w:styleId="Char1">
    <w:name w:val="日期 Char"/>
    <w:basedOn w:val="a0"/>
    <w:link w:val="a8"/>
    <w:uiPriority w:val="99"/>
    <w:semiHidden/>
    <w:rsid w:val="008A3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16139">
      <w:bodyDiv w:val="1"/>
      <w:marLeft w:val="0"/>
      <w:marRight w:val="0"/>
      <w:marTop w:val="0"/>
      <w:marBottom w:val="0"/>
      <w:divBdr>
        <w:top w:val="none" w:sz="0" w:space="0" w:color="auto"/>
        <w:left w:val="none" w:sz="0" w:space="0" w:color="auto"/>
        <w:bottom w:val="none" w:sz="0" w:space="0" w:color="auto"/>
        <w:right w:val="none" w:sz="0" w:space="0" w:color="auto"/>
      </w:divBdr>
      <w:divsChild>
        <w:div w:id="1772123639">
          <w:marLeft w:val="0"/>
          <w:marRight w:val="0"/>
          <w:marTop w:val="300"/>
          <w:marBottom w:val="450"/>
          <w:divBdr>
            <w:top w:val="none" w:sz="0" w:space="0" w:color="auto"/>
            <w:left w:val="none" w:sz="0" w:space="0" w:color="auto"/>
            <w:bottom w:val="single" w:sz="6" w:space="0" w:color="D7D7D7"/>
            <w:right w:val="none" w:sz="0" w:space="0" w:color="auto"/>
          </w:divBdr>
        </w:div>
        <w:div w:id="248007561">
          <w:marLeft w:val="0"/>
          <w:marRight w:val="0"/>
          <w:marTop w:val="0"/>
          <w:marBottom w:val="0"/>
          <w:divBdr>
            <w:top w:val="none" w:sz="0" w:space="0" w:color="auto"/>
            <w:left w:val="none" w:sz="0" w:space="0" w:color="auto"/>
            <w:bottom w:val="single" w:sz="6" w:space="0" w:color="D7D7D7"/>
            <w:right w:val="none" w:sz="0" w:space="0" w:color="auto"/>
          </w:divBdr>
          <w:divsChild>
            <w:div w:id="6301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479</Words>
  <Characters>2732</Characters>
  <Application>Microsoft Office Word</Application>
  <DocSecurity>0</DocSecurity>
  <Lines>22</Lines>
  <Paragraphs>6</Paragraphs>
  <ScaleCrop>false</ScaleCrop>
  <Company>Lenovo (Beijing) Limited</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孙德昌</cp:lastModifiedBy>
  <cp:revision>3</cp:revision>
  <dcterms:created xsi:type="dcterms:W3CDTF">2017-02-09T02:08:00Z</dcterms:created>
  <dcterms:modified xsi:type="dcterms:W3CDTF">2017-02-17T02:30:00Z</dcterms:modified>
</cp:coreProperties>
</file>