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9762" w:type="dxa"/>
        <w:tblInd w:w="0" w:type="dxa"/>
        <w:tblLayout w:type="fixed"/>
        <w:tblCellMar>
          <w:top w:w="15" w:type="dxa"/>
          <w:left w:w="15" w:type="dxa"/>
          <w:bottom w:w="15" w:type="dxa"/>
          <w:right w:w="15" w:type="dxa"/>
        </w:tblCellMar>
      </w:tblPr>
      <w:tblGrid>
        <w:gridCol w:w="1073"/>
        <w:gridCol w:w="3277"/>
        <w:gridCol w:w="1905"/>
        <w:gridCol w:w="461"/>
        <w:gridCol w:w="1212"/>
        <w:gridCol w:w="753"/>
        <w:gridCol w:w="833"/>
        <w:gridCol w:w="248"/>
      </w:tblGrid>
      <w:tr>
        <w:tblPrEx>
          <w:tblLayout w:type="fixed"/>
          <w:tblCellMar>
            <w:top w:w="15" w:type="dxa"/>
            <w:left w:w="15" w:type="dxa"/>
            <w:bottom w:w="15" w:type="dxa"/>
            <w:right w:w="15" w:type="dxa"/>
          </w:tblCellMar>
        </w:tblPrEx>
        <w:trPr>
          <w:trHeight w:val="900" w:hRule="atLeast"/>
        </w:trPr>
        <w:tc>
          <w:tcPr>
            <w:tcW w:w="9762" w:type="dxa"/>
            <w:gridSpan w:val="8"/>
            <w:shd w:val="clear" w:color="auto" w:fill="auto"/>
            <w:vAlign w:val="center"/>
          </w:tcPr>
          <w:p>
            <w:pPr>
              <w:widowControl/>
              <w:jc w:val="center"/>
              <w:textAlignment w:val="center"/>
              <w:rPr>
                <w:rFonts w:ascii="黑体" w:hAnsi="宋体" w:eastAsia="黑体" w:cs="黑体"/>
                <w:b/>
                <w:color w:val="000000"/>
                <w:kern w:val="0"/>
                <w:sz w:val="32"/>
                <w:szCs w:val="32"/>
              </w:rPr>
            </w:pPr>
            <w:r>
              <w:rPr>
                <w:rFonts w:hint="eastAsia" w:ascii="黑体" w:hAnsi="宋体" w:eastAsia="黑体" w:cs="黑体"/>
                <w:b/>
                <w:color w:val="000000"/>
                <w:kern w:val="0"/>
                <w:sz w:val="32"/>
                <w:szCs w:val="32"/>
              </w:rPr>
              <w:t>河南海文置业有限公司</w:t>
            </w:r>
          </w:p>
          <w:p>
            <w:pPr>
              <w:widowControl/>
              <w:jc w:val="center"/>
              <w:textAlignment w:val="center"/>
              <w:rPr>
                <w:rFonts w:ascii="黑体" w:hAnsi="宋体" w:eastAsia="黑体" w:cs="黑体"/>
                <w:b/>
                <w:color w:val="000000"/>
                <w:sz w:val="32"/>
                <w:szCs w:val="32"/>
              </w:rPr>
            </w:pPr>
            <w:r>
              <w:rPr>
                <w:rFonts w:hint="eastAsia" w:ascii="黑体" w:hAnsi="宋体" w:eastAsia="黑体" w:cs="黑体"/>
                <w:b/>
                <w:color w:val="000000"/>
                <w:kern w:val="0"/>
                <w:sz w:val="32"/>
                <w:szCs w:val="32"/>
              </w:rPr>
              <w:t>第</w:t>
            </w:r>
            <w:r>
              <w:rPr>
                <w:rFonts w:hint="eastAsia" w:ascii="黑体" w:hAnsi="宋体" w:eastAsia="黑体" w:cs="黑体"/>
                <w:b/>
                <w:color w:val="000000"/>
                <w:kern w:val="0"/>
                <w:sz w:val="32"/>
                <w:szCs w:val="32"/>
                <w:lang w:eastAsia="zh-CN"/>
              </w:rPr>
              <w:t>三</w:t>
            </w:r>
            <w:r>
              <w:rPr>
                <w:rFonts w:hint="eastAsia" w:ascii="黑体" w:hAnsi="宋体" w:eastAsia="黑体" w:cs="黑体"/>
                <w:b/>
                <w:color w:val="000000"/>
                <w:kern w:val="0"/>
                <w:sz w:val="32"/>
                <w:szCs w:val="32"/>
              </w:rPr>
              <w:t>次债权人会议债权核查表决票</w:t>
            </w:r>
          </w:p>
        </w:tc>
      </w:tr>
      <w:tr>
        <w:tblPrEx>
          <w:tblLayout w:type="fixed"/>
          <w:tblCellMar>
            <w:top w:w="15" w:type="dxa"/>
            <w:left w:w="15" w:type="dxa"/>
            <w:bottom w:w="15" w:type="dxa"/>
            <w:right w:w="15" w:type="dxa"/>
          </w:tblCellMar>
        </w:tblPrEx>
        <w:trPr>
          <w:trHeight w:val="630" w:hRule="atLeast"/>
        </w:trPr>
        <w:tc>
          <w:tcPr>
            <w:tcW w:w="9762" w:type="dxa"/>
            <w:gridSpan w:val="8"/>
            <w:shd w:val="clear" w:color="auto" w:fill="auto"/>
            <w:vAlign w:val="center"/>
          </w:tcPr>
          <w:p>
            <w:pPr>
              <w:widowControl/>
              <w:jc w:val="center"/>
              <w:textAlignment w:val="center"/>
              <w:rPr>
                <w:rFonts w:ascii="宋体" w:hAnsi="宋体" w:eastAsia="宋体" w:cs="宋体"/>
                <w:b/>
                <w:color w:val="000000"/>
                <w:sz w:val="32"/>
                <w:szCs w:val="32"/>
              </w:rPr>
            </w:pPr>
            <w:r>
              <w:rPr>
                <w:rStyle w:val="6"/>
                <w:rFonts w:hint="default"/>
              </w:rPr>
              <w:t>表决日期：2018</w:t>
            </w:r>
            <w:r>
              <w:rPr>
                <w:rStyle w:val="6"/>
                <w:rFonts w:hint="default" w:asciiTheme="minorEastAsia" w:hAnsiTheme="minorEastAsia" w:eastAsiaTheme="minorEastAsia" w:cstheme="minorEastAsia"/>
              </w:rPr>
              <w:t>年</w:t>
            </w:r>
            <w:r>
              <w:rPr>
                <w:rStyle w:val="6"/>
                <w:rFonts w:hint="eastAsia" w:asciiTheme="minorEastAsia" w:hAnsiTheme="minorEastAsia" w:cstheme="minorEastAsia"/>
                <w:lang w:val="en-US" w:eastAsia="zh-CN"/>
              </w:rPr>
              <w:t xml:space="preserve">  </w:t>
            </w:r>
            <w:r>
              <w:rPr>
                <w:rStyle w:val="6"/>
                <w:rFonts w:hint="default"/>
              </w:rPr>
              <w:t>月   日</w:t>
            </w:r>
          </w:p>
        </w:tc>
      </w:tr>
      <w:tr>
        <w:tblPrEx>
          <w:tblLayout w:type="fixed"/>
          <w:tblCellMar>
            <w:top w:w="15" w:type="dxa"/>
            <w:left w:w="15" w:type="dxa"/>
            <w:bottom w:w="15" w:type="dxa"/>
            <w:right w:w="15" w:type="dxa"/>
          </w:tblCellMar>
        </w:tblPrEx>
        <w:trPr>
          <w:trHeight w:val="630" w:hRule="atLeast"/>
        </w:trPr>
        <w:tc>
          <w:tcPr>
            <w:tcW w:w="1073" w:type="dxa"/>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32"/>
                <w:szCs w:val="32"/>
              </w:rPr>
              <w:t>编号:</w:t>
            </w:r>
          </w:p>
        </w:tc>
        <w:tc>
          <w:tcPr>
            <w:tcW w:w="3277" w:type="dxa"/>
            <w:shd w:val="clear" w:color="auto" w:fill="auto"/>
            <w:vAlign w:val="center"/>
          </w:tcPr>
          <w:p>
            <w:pPr>
              <w:jc w:val="left"/>
              <w:rPr>
                <w:rFonts w:ascii="宋体" w:hAnsi="宋体" w:eastAsia="宋体" w:cs="宋体"/>
                <w:b/>
                <w:color w:val="000000"/>
                <w:sz w:val="32"/>
                <w:szCs w:val="32"/>
              </w:rPr>
            </w:pPr>
          </w:p>
        </w:tc>
        <w:tc>
          <w:tcPr>
            <w:tcW w:w="2366" w:type="dxa"/>
            <w:gridSpan w:val="2"/>
            <w:shd w:val="clear" w:color="auto" w:fill="auto"/>
            <w:vAlign w:val="center"/>
          </w:tcPr>
          <w:p>
            <w:pPr>
              <w:jc w:val="center"/>
              <w:rPr>
                <w:rFonts w:ascii="宋体" w:hAnsi="宋体" w:eastAsia="宋体" w:cs="宋体"/>
                <w:bCs/>
                <w:color w:val="000000"/>
                <w:sz w:val="32"/>
                <w:szCs w:val="32"/>
              </w:rPr>
            </w:pPr>
            <w:r>
              <w:rPr>
                <w:rFonts w:hint="eastAsia" w:ascii="宋体" w:hAnsi="宋体" w:eastAsia="宋体" w:cs="宋体"/>
                <w:bCs/>
                <w:color w:val="000000"/>
                <w:sz w:val="32"/>
                <w:szCs w:val="32"/>
              </w:rPr>
              <w:t>表决人签字：</w:t>
            </w:r>
          </w:p>
        </w:tc>
        <w:tc>
          <w:tcPr>
            <w:tcW w:w="1965" w:type="dxa"/>
            <w:gridSpan w:val="2"/>
            <w:shd w:val="clear" w:color="auto" w:fill="auto"/>
            <w:vAlign w:val="center"/>
          </w:tcPr>
          <w:p>
            <w:pPr>
              <w:jc w:val="center"/>
              <w:rPr>
                <w:rFonts w:ascii="宋体" w:hAnsi="宋体" w:eastAsia="宋体" w:cs="宋体"/>
                <w:b/>
                <w:color w:val="000000"/>
                <w:sz w:val="32"/>
                <w:szCs w:val="32"/>
              </w:rPr>
            </w:pPr>
          </w:p>
        </w:tc>
        <w:tc>
          <w:tcPr>
            <w:tcW w:w="833" w:type="dxa"/>
            <w:shd w:val="clear" w:color="auto" w:fill="auto"/>
            <w:vAlign w:val="center"/>
          </w:tcPr>
          <w:p>
            <w:pPr>
              <w:jc w:val="center"/>
              <w:rPr>
                <w:rFonts w:ascii="宋体" w:hAnsi="宋体" w:eastAsia="宋体" w:cs="宋体"/>
                <w:b/>
                <w:color w:val="000000"/>
                <w:sz w:val="32"/>
                <w:szCs w:val="32"/>
              </w:rPr>
            </w:pPr>
          </w:p>
        </w:tc>
        <w:tc>
          <w:tcPr>
            <w:tcW w:w="248" w:type="dxa"/>
            <w:shd w:val="clear" w:color="auto" w:fill="auto"/>
            <w:vAlign w:val="center"/>
          </w:tcPr>
          <w:p>
            <w:pPr>
              <w:jc w:val="center"/>
              <w:rPr>
                <w:rFonts w:ascii="宋体" w:hAnsi="宋体" w:eastAsia="宋体" w:cs="宋体"/>
                <w:b/>
                <w:color w:val="000000"/>
                <w:sz w:val="32"/>
                <w:szCs w:val="32"/>
              </w:rPr>
            </w:pPr>
          </w:p>
        </w:tc>
      </w:tr>
      <w:tr>
        <w:tblPrEx>
          <w:tblLayout w:type="fixed"/>
          <w:tblCellMar>
            <w:top w:w="15" w:type="dxa"/>
            <w:left w:w="15" w:type="dxa"/>
            <w:bottom w:w="15" w:type="dxa"/>
            <w:right w:w="15" w:type="dxa"/>
          </w:tblCellMar>
        </w:tblPrEx>
        <w:trPr>
          <w:trHeight w:val="840" w:hRule="atLeast"/>
        </w:trPr>
        <w:tc>
          <w:tcPr>
            <w:tcW w:w="43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32"/>
                <w:szCs w:val="32"/>
              </w:rPr>
            </w:pPr>
            <w:r>
              <w:rPr>
                <w:rFonts w:hint="eastAsia" w:ascii="宋体" w:hAnsi="宋体" w:eastAsia="宋体" w:cs="宋体"/>
                <w:color w:val="000000"/>
                <w:kern w:val="0"/>
                <w:sz w:val="32"/>
                <w:szCs w:val="32"/>
              </w:rPr>
              <w:t>债权人名称</w:t>
            </w:r>
          </w:p>
        </w:tc>
        <w:tc>
          <w:tcPr>
            <w:tcW w:w="541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32"/>
                <w:szCs w:val="32"/>
              </w:rPr>
            </w:pPr>
          </w:p>
        </w:tc>
      </w:tr>
      <w:tr>
        <w:tblPrEx>
          <w:tblLayout w:type="fixed"/>
          <w:tblCellMar>
            <w:top w:w="15" w:type="dxa"/>
            <w:left w:w="15" w:type="dxa"/>
            <w:bottom w:w="15" w:type="dxa"/>
            <w:right w:w="15" w:type="dxa"/>
          </w:tblCellMar>
        </w:tblPrEx>
        <w:trPr>
          <w:trHeight w:val="900" w:hRule="atLeast"/>
        </w:trPr>
        <w:tc>
          <w:tcPr>
            <w:tcW w:w="43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32"/>
                <w:szCs w:val="32"/>
              </w:rPr>
            </w:pPr>
            <w:r>
              <w:rPr>
                <w:rFonts w:hint="eastAsia" w:ascii="宋体" w:hAnsi="宋体" w:eastAsia="宋体" w:cs="宋体"/>
                <w:color w:val="000000"/>
                <w:kern w:val="0"/>
                <w:sz w:val="32"/>
                <w:szCs w:val="32"/>
              </w:rPr>
              <w:t xml:space="preserve"> 债权数额（元）</w:t>
            </w:r>
          </w:p>
        </w:tc>
        <w:tc>
          <w:tcPr>
            <w:tcW w:w="541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32"/>
                <w:szCs w:val="32"/>
              </w:rPr>
            </w:pPr>
          </w:p>
        </w:tc>
      </w:tr>
      <w:tr>
        <w:tblPrEx>
          <w:tblLayout w:type="fixed"/>
          <w:tblCellMar>
            <w:top w:w="15" w:type="dxa"/>
            <w:left w:w="15" w:type="dxa"/>
            <w:bottom w:w="15" w:type="dxa"/>
            <w:right w:w="15" w:type="dxa"/>
          </w:tblCellMar>
        </w:tblPrEx>
        <w:trPr>
          <w:trHeight w:val="590" w:hRule="atLeast"/>
        </w:trPr>
        <w:tc>
          <w:tcPr>
            <w:tcW w:w="435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32"/>
                <w:szCs w:val="32"/>
              </w:rPr>
            </w:pPr>
            <w:r>
              <w:rPr>
                <w:rFonts w:hint="eastAsia" w:ascii="宋体" w:hAnsi="宋体" w:eastAsia="宋体" w:cs="宋体"/>
                <w:color w:val="000000"/>
                <w:kern w:val="0"/>
                <w:sz w:val="32"/>
                <w:szCs w:val="32"/>
              </w:rPr>
              <w:t>表决事项</w:t>
            </w:r>
          </w:p>
        </w:tc>
        <w:tc>
          <w:tcPr>
            <w:tcW w:w="5412" w:type="dxa"/>
            <w:gridSpan w:val="6"/>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color w:val="000000"/>
                <w:sz w:val="32"/>
                <w:szCs w:val="32"/>
              </w:rPr>
            </w:pPr>
            <w:r>
              <w:rPr>
                <w:rFonts w:hint="eastAsia" w:ascii="宋体" w:hAnsi="宋体" w:eastAsia="宋体" w:cs="宋体"/>
                <w:color w:val="000000"/>
                <w:kern w:val="0"/>
                <w:sz w:val="32"/>
                <w:szCs w:val="32"/>
              </w:rPr>
              <w:t>表决意见</w:t>
            </w:r>
          </w:p>
        </w:tc>
      </w:tr>
      <w:tr>
        <w:tblPrEx>
          <w:tblLayout w:type="fixed"/>
          <w:tblCellMar>
            <w:top w:w="15" w:type="dxa"/>
            <w:left w:w="15" w:type="dxa"/>
            <w:bottom w:w="15" w:type="dxa"/>
            <w:right w:w="15" w:type="dxa"/>
          </w:tblCellMar>
        </w:tblPrEx>
        <w:trPr>
          <w:trHeight w:val="530" w:hRule="atLeast"/>
        </w:trPr>
        <w:tc>
          <w:tcPr>
            <w:tcW w:w="435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32"/>
                <w:szCs w:val="32"/>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color w:val="000000"/>
                <w:sz w:val="32"/>
                <w:szCs w:val="32"/>
              </w:rPr>
            </w:pPr>
            <w:r>
              <w:rPr>
                <w:rFonts w:hint="eastAsia" w:ascii="宋体" w:hAnsi="宋体" w:eastAsia="宋体" w:cs="宋体"/>
                <w:color w:val="000000"/>
                <w:kern w:val="0"/>
                <w:sz w:val="32"/>
                <w:szCs w:val="32"/>
              </w:rPr>
              <w:t>赞成</w:t>
            </w:r>
          </w:p>
        </w:tc>
        <w:tc>
          <w:tcPr>
            <w:tcW w:w="1673"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color w:val="000000"/>
                <w:sz w:val="32"/>
                <w:szCs w:val="32"/>
              </w:rPr>
            </w:pPr>
            <w:r>
              <w:rPr>
                <w:rFonts w:hint="eastAsia" w:ascii="宋体" w:hAnsi="宋体" w:eastAsia="宋体" w:cs="宋体"/>
                <w:color w:val="000000"/>
                <w:kern w:val="0"/>
                <w:sz w:val="32"/>
                <w:szCs w:val="32"/>
              </w:rPr>
              <w:t>反对</w:t>
            </w:r>
          </w:p>
        </w:tc>
        <w:tc>
          <w:tcPr>
            <w:tcW w:w="1834"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top"/>
              <w:rPr>
                <w:rFonts w:ascii="宋体" w:hAnsi="宋体" w:eastAsia="宋体" w:cs="宋体"/>
                <w:color w:val="000000"/>
                <w:sz w:val="32"/>
                <w:szCs w:val="32"/>
              </w:rPr>
            </w:pPr>
            <w:r>
              <w:rPr>
                <w:rFonts w:hint="eastAsia" w:ascii="宋体" w:hAnsi="宋体" w:eastAsia="宋体" w:cs="宋体"/>
                <w:color w:val="000000"/>
                <w:kern w:val="0"/>
                <w:sz w:val="32"/>
                <w:szCs w:val="32"/>
              </w:rPr>
              <w:t>弃权</w:t>
            </w:r>
          </w:p>
        </w:tc>
      </w:tr>
      <w:tr>
        <w:tblPrEx>
          <w:tblLayout w:type="fixed"/>
          <w:tblCellMar>
            <w:top w:w="15" w:type="dxa"/>
            <w:left w:w="15" w:type="dxa"/>
            <w:bottom w:w="15" w:type="dxa"/>
            <w:right w:w="15" w:type="dxa"/>
          </w:tblCellMar>
        </w:tblPrEx>
        <w:trPr>
          <w:trHeight w:val="1287" w:hRule="atLeast"/>
        </w:trPr>
        <w:tc>
          <w:tcPr>
            <w:tcW w:w="43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申报债权经管理人审查列入债权审查表</w:t>
            </w:r>
            <w:r>
              <w:rPr>
                <w:rFonts w:hint="eastAsia" w:ascii="宋体" w:hAnsi="宋体" w:eastAsia="宋体" w:cs="宋体"/>
                <w:color w:val="000000"/>
                <w:kern w:val="0"/>
                <w:sz w:val="24"/>
                <w:szCs w:val="24"/>
                <w:lang w:val="en-US" w:eastAsia="zh-CN"/>
              </w:rPr>
              <w:t>1</w:t>
            </w:r>
            <w:r>
              <w:rPr>
                <w:rFonts w:hint="eastAsia" w:ascii="宋体" w:hAnsi="宋体" w:eastAsia="宋体" w:cs="宋体"/>
                <w:color w:val="000000"/>
                <w:kern w:val="0"/>
                <w:sz w:val="24"/>
                <w:szCs w:val="24"/>
              </w:rPr>
              <w:t>的债权，共</w:t>
            </w:r>
            <w:r>
              <w:rPr>
                <w:rFonts w:hint="eastAsia" w:ascii="宋体" w:hAnsi="宋体" w:eastAsia="宋体" w:cs="宋体"/>
                <w:color w:val="000000"/>
                <w:kern w:val="0"/>
                <w:sz w:val="24"/>
                <w:szCs w:val="24"/>
                <w:lang w:val="en-US" w:eastAsia="zh-CN"/>
              </w:rPr>
              <w:t>14</w:t>
            </w:r>
            <w:r>
              <w:rPr>
                <w:rFonts w:hint="eastAsia" w:ascii="宋体" w:hAnsi="宋体" w:eastAsia="宋体" w:cs="宋体"/>
                <w:color w:val="000000"/>
                <w:kern w:val="0"/>
                <w:sz w:val="24"/>
                <w:szCs w:val="24"/>
              </w:rPr>
              <w:t>户，金额合计</w:t>
            </w:r>
            <w:r>
              <w:rPr>
                <w:rFonts w:hint="eastAsia" w:ascii="宋体" w:hAnsi="宋体" w:eastAsia="宋体" w:cs="宋体"/>
                <w:color w:val="000000"/>
                <w:kern w:val="0"/>
                <w:sz w:val="24"/>
                <w:szCs w:val="24"/>
                <w:lang w:val="en-US" w:eastAsia="zh-CN"/>
              </w:rPr>
              <w:t xml:space="preserve">62,960,625 </w:t>
            </w:r>
          </w:p>
          <w:p>
            <w:pPr>
              <w:widowControl/>
              <w:jc w:val="left"/>
              <w:textAlignment w:val="center"/>
              <w:rPr>
                <w:rFonts w:ascii="宋体" w:hAnsi="宋体" w:eastAsia="宋体" w:cs="宋体"/>
                <w:color w:val="000000"/>
                <w:sz w:val="28"/>
                <w:szCs w:val="28"/>
              </w:rPr>
            </w:pPr>
            <w:r>
              <w:rPr>
                <w:rFonts w:hint="eastAsia" w:ascii="宋体" w:hAnsi="宋体" w:eastAsia="宋体" w:cs="宋体"/>
                <w:color w:val="000000"/>
                <w:kern w:val="0"/>
                <w:sz w:val="24"/>
                <w:szCs w:val="24"/>
              </w:rPr>
              <w:t>元，详见债权审查表</w:t>
            </w:r>
            <w:r>
              <w:rPr>
                <w:rFonts w:hint="eastAsia" w:ascii="宋体" w:hAnsi="宋体" w:eastAsia="宋体" w:cs="宋体"/>
                <w:color w:val="000000"/>
                <w:kern w:val="0"/>
                <w:sz w:val="24"/>
                <w:szCs w:val="24"/>
                <w:lang w:val="en-US" w:eastAsia="zh-CN"/>
              </w:rPr>
              <w:t>1</w:t>
            </w:r>
            <w:r>
              <w:rPr>
                <w:rFonts w:hint="eastAsia" w:ascii="宋体" w:hAnsi="宋体" w:eastAsia="宋体" w:cs="宋体"/>
                <w:color w:val="000000"/>
                <w:kern w:val="0"/>
                <w:sz w:val="24"/>
                <w:szCs w:val="24"/>
              </w:rPr>
              <w:t>。</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32"/>
                <w:szCs w:val="32"/>
              </w:rPr>
            </w:pPr>
          </w:p>
        </w:tc>
        <w:tc>
          <w:tcPr>
            <w:tcW w:w="16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32"/>
                <w:szCs w:val="32"/>
              </w:rPr>
            </w:pPr>
          </w:p>
        </w:tc>
        <w:tc>
          <w:tcPr>
            <w:tcW w:w="183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32"/>
                <w:szCs w:val="32"/>
              </w:rPr>
            </w:pPr>
          </w:p>
        </w:tc>
      </w:tr>
      <w:tr>
        <w:tblPrEx>
          <w:tblLayout w:type="fixed"/>
          <w:tblCellMar>
            <w:top w:w="15" w:type="dxa"/>
            <w:left w:w="15" w:type="dxa"/>
            <w:bottom w:w="15" w:type="dxa"/>
            <w:right w:w="15" w:type="dxa"/>
          </w:tblCellMar>
        </w:tblPrEx>
        <w:trPr>
          <w:trHeight w:val="1762" w:hRule="atLeast"/>
        </w:trPr>
        <w:tc>
          <w:tcPr>
            <w:tcW w:w="9762" w:type="dxa"/>
            <w:gridSpan w:val="8"/>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color w:val="000000"/>
                <w:sz w:val="28"/>
                <w:szCs w:val="28"/>
              </w:rPr>
            </w:pPr>
            <w:r>
              <w:rPr>
                <w:rFonts w:hint="eastAsia" w:ascii="宋体" w:hAnsi="宋体" w:eastAsia="宋体" w:cs="宋体"/>
                <w:color w:val="000000"/>
                <w:sz w:val="28"/>
                <w:szCs w:val="28"/>
              </w:rPr>
              <w:t>表决意见说明或其他意见（如书写内容较</w:t>
            </w:r>
            <w:bookmarkStart w:id="0" w:name="_GoBack"/>
            <w:bookmarkEnd w:id="0"/>
            <w:r>
              <w:rPr>
                <w:rFonts w:hint="eastAsia" w:ascii="宋体" w:hAnsi="宋体" w:eastAsia="宋体" w:cs="宋体"/>
                <w:color w:val="000000"/>
                <w:sz w:val="28"/>
                <w:szCs w:val="28"/>
              </w:rPr>
              <w:t>多，可另附纸于后）：</w:t>
            </w:r>
          </w:p>
        </w:tc>
      </w:tr>
    </w:tbl>
    <w:p>
      <w:pPr>
        <w:rPr>
          <w:rFonts w:asciiTheme="minorEastAsia" w:hAnsiTheme="minorEastAsia" w:cstheme="minorEastAsia"/>
          <w:sz w:val="24"/>
        </w:rPr>
      </w:pPr>
      <w:r>
        <w:rPr>
          <w:rFonts w:hint="eastAsia" w:asciiTheme="minorEastAsia" w:hAnsiTheme="minorEastAsia" w:cstheme="minorEastAsia"/>
          <w:b/>
          <w:bCs/>
          <w:sz w:val="24"/>
        </w:rPr>
        <w:t>说明：</w:t>
      </w:r>
    </w:p>
    <w:p>
      <w:pPr>
        <w:keepNext w:val="0"/>
        <w:keepLines w:val="0"/>
        <w:pageBreakBefore w:val="0"/>
        <w:kinsoku/>
        <w:wordWrap/>
        <w:overflowPunct/>
        <w:topLinePunct w:val="0"/>
        <w:autoSpaceDE/>
        <w:autoSpaceDN/>
        <w:bidi w:val="0"/>
        <w:adjustRightInd/>
        <w:snapToGrid/>
        <w:spacing w:line="340" w:lineRule="exact"/>
        <w:ind w:left="0" w:leftChars="0" w:right="0" w:rightChars="0" w:firstLine="480" w:firstLineChars="200"/>
        <w:textAlignment w:val="auto"/>
        <w:rPr>
          <w:rFonts w:asciiTheme="minorEastAsia" w:hAnsiTheme="minorEastAsia" w:cstheme="minorEastAsia"/>
          <w:sz w:val="24"/>
        </w:rPr>
      </w:pPr>
      <w:r>
        <w:rPr>
          <w:rFonts w:hint="eastAsia" w:asciiTheme="minorEastAsia" w:hAnsiTheme="minorEastAsia" w:cstheme="minorEastAsia"/>
          <w:sz w:val="24"/>
        </w:rPr>
        <w:t xml:space="preserve">一、对表决事项进行表决时，请投票人在表决事项右边相应的选项内打“√”；在表决事项右边两个以上选项内打“√”的为无效表决票；如未在表决事项右边任何的选项内打“√”视为弃权；        </w:t>
      </w:r>
    </w:p>
    <w:p>
      <w:pPr>
        <w:keepNext w:val="0"/>
        <w:keepLines w:val="0"/>
        <w:pageBreakBefore w:val="0"/>
        <w:kinsoku/>
        <w:wordWrap/>
        <w:overflowPunct/>
        <w:topLinePunct w:val="0"/>
        <w:autoSpaceDE/>
        <w:autoSpaceDN/>
        <w:bidi w:val="0"/>
        <w:adjustRightInd/>
        <w:snapToGrid/>
        <w:spacing w:line="340" w:lineRule="exact"/>
        <w:ind w:left="0" w:leftChars="0" w:right="0" w:rightChars="0" w:firstLine="480" w:firstLineChars="200"/>
        <w:textAlignment w:val="auto"/>
        <w:rPr>
          <w:rFonts w:asciiTheme="minorEastAsia" w:hAnsiTheme="minorEastAsia" w:cstheme="minorEastAsia"/>
          <w:sz w:val="24"/>
        </w:rPr>
      </w:pPr>
      <w:r>
        <w:rPr>
          <w:rFonts w:hint="eastAsia" w:asciiTheme="minorEastAsia" w:hAnsiTheme="minorEastAsia" w:cstheme="minorEastAsia"/>
          <w:sz w:val="24"/>
        </w:rPr>
        <w:t>二、表决票左上角的编号为管理人所公布债权审</w:t>
      </w:r>
      <w:r>
        <w:rPr>
          <w:rFonts w:hint="eastAsia" w:asciiTheme="minorEastAsia" w:hAnsiTheme="minorEastAsia" w:cstheme="minorEastAsia"/>
          <w:sz w:val="24"/>
          <w:lang w:eastAsia="zh-CN"/>
        </w:rPr>
        <w:t>查</w:t>
      </w:r>
      <w:r>
        <w:rPr>
          <w:rFonts w:hint="eastAsia" w:asciiTheme="minorEastAsia" w:hAnsiTheme="minorEastAsia" w:cstheme="minorEastAsia"/>
          <w:sz w:val="24"/>
        </w:rPr>
        <w:t xml:space="preserve">表中债权人的编号。                                        </w:t>
      </w:r>
    </w:p>
    <w:p>
      <w:pPr>
        <w:keepNext w:val="0"/>
        <w:keepLines w:val="0"/>
        <w:pageBreakBefore w:val="0"/>
        <w:kinsoku/>
        <w:wordWrap/>
        <w:overflowPunct/>
        <w:topLinePunct w:val="0"/>
        <w:autoSpaceDE/>
        <w:autoSpaceDN/>
        <w:bidi w:val="0"/>
        <w:adjustRightInd/>
        <w:snapToGrid/>
        <w:spacing w:line="340" w:lineRule="exact"/>
        <w:ind w:left="0" w:leftChars="0" w:right="0" w:rightChars="0" w:firstLine="480" w:firstLineChars="200"/>
        <w:textAlignment w:val="auto"/>
        <w:rPr>
          <w:rFonts w:asciiTheme="minorEastAsia" w:hAnsiTheme="minorEastAsia" w:cstheme="minorEastAsia"/>
          <w:sz w:val="24"/>
        </w:rPr>
      </w:pPr>
      <w:r>
        <w:rPr>
          <w:rFonts w:hint="eastAsia" w:asciiTheme="minorEastAsia" w:hAnsiTheme="minorEastAsia" w:cstheme="minorEastAsia"/>
          <w:sz w:val="24"/>
        </w:rPr>
        <w:t>三、</w:t>
      </w:r>
      <w:r>
        <w:rPr>
          <w:rFonts w:hint="eastAsia" w:cs="仿宋_GB2312" w:asciiTheme="minorEastAsia" w:hAnsiTheme="minorEastAsia"/>
          <w:sz w:val="24"/>
        </w:rPr>
        <w:t>表决票应同时附以下资料：1、债权人为单位的，应附单位证照、法定代表人身份证原件扫描或拍照图片；2、债权人为个人的，应附个人身份证原件扫描或拍照图片；3、如委托代理人填写表决票，还须加附授权委托书、委托代理人身份证原件扫描或拍照图片。不按要求附资料的表决票均为无效表决票。</w:t>
      </w:r>
      <w:r>
        <w:rPr>
          <w:rFonts w:hint="eastAsia" w:asciiTheme="minorEastAsia" w:hAnsiTheme="minorEastAsia" w:cstheme="minorEastAsia"/>
          <w:sz w:val="24"/>
        </w:rPr>
        <w:t xml:space="preserve">。               </w:t>
      </w:r>
    </w:p>
    <w:p>
      <w:pPr>
        <w:keepNext w:val="0"/>
        <w:keepLines w:val="0"/>
        <w:pageBreakBefore w:val="0"/>
        <w:widowControl/>
        <w:kinsoku/>
        <w:wordWrap/>
        <w:overflowPunct/>
        <w:topLinePunct w:val="0"/>
        <w:autoSpaceDE/>
        <w:autoSpaceDN/>
        <w:bidi w:val="0"/>
        <w:adjustRightInd/>
        <w:snapToGrid/>
        <w:spacing w:line="340" w:lineRule="exact"/>
        <w:ind w:left="0" w:leftChars="0" w:right="0" w:rightChars="0" w:firstLine="480" w:firstLineChars="200"/>
        <w:jc w:val="left"/>
        <w:textAlignment w:val="auto"/>
        <w:outlineLvl w:val="9"/>
        <w:rPr>
          <w:rFonts w:hint="eastAsia"/>
          <w:sz w:val="24"/>
          <w:szCs w:val="24"/>
        </w:rPr>
      </w:pPr>
      <w:r>
        <w:rPr>
          <w:rFonts w:hint="eastAsia" w:asciiTheme="minorEastAsia" w:hAnsiTheme="minorEastAsia" w:cstheme="minorEastAsia"/>
          <w:sz w:val="24"/>
        </w:rPr>
        <w:t>四、</w:t>
      </w:r>
      <w:r>
        <w:rPr>
          <w:rFonts w:hint="eastAsia"/>
          <w:sz w:val="24"/>
          <w:szCs w:val="24"/>
        </w:rPr>
        <w:t>申报债权经管理人审查列入债权审查表的享有本次债权人会议的表决权，债权审查表可在全国企业破产重整案件信息网管理人公开的第三次债权人会议资料中查询。</w:t>
      </w:r>
    </w:p>
    <w:p>
      <w:pPr>
        <w:keepNext w:val="0"/>
        <w:keepLines w:val="0"/>
        <w:pageBreakBefore w:val="0"/>
        <w:widowControl/>
        <w:kinsoku/>
        <w:wordWrap/>
        <w:overflowPunct/>
        <w:topLinePunct w:val="0"/>
        <w:autoSpaceDE/>
        <w:autoSpaceDN/>
        <w:bidi w:val="0"/>
        <w:adjustRightInd/>
        <w:snapToGrid/>
        <w:spacing w:line="340" w:lineRule="exact"/>
        <w:ind w:left="0" w:leftChars="0" w:right="0" w:rightChars="0" w:firstLine="480" w:firstLineChars="200"/>
        <w:jc w:val="left"/>
        <w:textAlignment w:val="auto"/>
        <w:outlineLvl w:val="9"/>
        <w:rPr>
          <w:rFonts w:hint="eastAsia"/>
          <w:sz w:val="24"/>
          <w:szCs w:val="24"/>
        </w:rPr>
      </w:pPr>
      <w:r>
        <w:rPr>
          <w:rFonts w:hint="eastAsia"/>
          <w:sz w:val="24"/>
          <w:szCs w:val="24"/>
        </w:rPr>
        <w:t>上述债权人之外的其他债权人待进一步对相应债权进行审查后在以后的债权人会议再行表决。</w:t>
      </w:r>
    </w:p>
    <w:p>
      <w:pPr>
        <w:keepNext w:val="0"/>
        <w:keepLines w:val="0"/>
        <w:pageBreakBefore w:val="0"/>
        <w:kinsoku/>
        <w:wordWrap/>
        <w:overflowPunct/>
        <w:topLinePunct w:val="0"/>
        <w:autoSpaceDE/>
        <w:autoSpaceDN/>
        <w:bidi w:val="0"/>
        <w:adjustRightInd/>
        <w:snapToGrid/>
        <w:spacing w:line="340" w:lineRule="exact"/>
        <w:ind w:left="0" w:leftChars="0" w:right="0" w:rightChars="0" w:firstLine="480" w:firstLineChars="200"/>
        <w:textAlignment w:val="auto"/>
        <w:rPr>
          <w:rFonts w:asciiTheme="minorEastAsia" w:hAnsiTheme="minorEastAsia" w:cstheme="minorEastAsia"/>
          <w:sz w:val="24"/>
        </w:rPr>
      </w:pPr>
      <w:r>
        <w:rPr>
          <w:rFonts w:hint="eastAsia"/>
          <w:sz w:val="24"/>
          <w:szCs w:val="24"/>
        </w:rPr>
        <w:t>享有表决权的债权人的债权金额仅为已经过审查的金额，如存在尚未确定债权，亦待进一步对相应债权进行审查后在以后的债权人会议再行表决。</w:t>
      </w:r>
      <w:r>
        <w:rPr>
          <w:rFonts w:hint="eastAsia" w:asciiTheme="minorEastAsia" w:hAnsiTheme="minorEastAsia" w:cstheme="minorEastAsia"/>
          <w:sz w:val="24"/>
          <w:szCs w:val="24"/>
        </w:rPr>
        <w:t xml:space="preserve">    </w:t>
      </w:r>
      <w:r>
        <w:rPr>
          <w:rFonts w:hint="eastAsia" w:asciiTheme="minorEastAsia" w:hAnsiTheme="minorEastAsia" w:cstheme="minorEastAsia"/>
          <w:sz w:val="24"/>
        </w:rPr>
        <w:t xml:space="preserve">                             </w:t>
      </w:r>
    </w:p>
    <w:p>
      <w:pPr>
        <w:keepNext w:val="0"/>
        <w:keepLines w:val="0"/>
        <w:pageBreakBefore w:val="0"/>
        <w:kinsoku/>
        <w:wordWrap/>
        <w:overflowPunct/>
        <w:topLinePunct w:val="0"/>
        <w:autoSpaceDE/>
        <w:autoSpaceDN/>
        <w:bidi w:val="0"/>
        <w:adjustRightInd/>
        <w:snapToGrid/>
        <w:spacing w:line="340" w:lineRule="exact"/>
        <w:ind w:left="0" w:leftChars="0" w:right="0" w:rightChars="0" w:firstLine="480" w:firstLineChars="200"/>
        <w:textAlignment w:val="auto"/>
        <w:rPr>
          <w:rFonts w:asciiTheme="minorEastAsia" w:hAnsiTheme="minorEastAsia" w:cstheme="minorEastAsia"/>
          <w:sz w:val="24"/>
        </w:rPr>
      </w:pPr>
      <w:r>
        <w:rPr>
          <w:rFonts w:hint="eastAsia" w:asciiTheme="minorEastAsia" w:hAnsiTheme="minorEastAsia" w:cstheme="minorEastAsia"/>
          <w:sz w:val="24"/>
        </w:rPr>
        <w:t>五、本次债权人会议仅涉及河南海文置业有限公司</w:t>
      </w:r>
      <w:r>
        <w:rPr>
          <w:rFonts w:hint="eastAsia" w:asciiTheme="minorEastAsia" w:hAnsiTheme="minorEastAsia" w:cstheme="minorEastAsia"/>
          <w:sz w:val="24"/>
          <w:lang w:eastAsia="zh-CN"/>
        </w:rPr>
        <w:t>的</w:t>
      </w:r>
      <w:r>
        <w:rPr>
          <w:rFonts w:hint="eastAsia" w:asciiTheme="minorEastAsia" w:hAnsiTheme="minorEastAsia" w:cstheme="minorEastAsia"/>
          <w:sz w:val="24"/>
        </w:rPr>
        <w:t>债权。</w:t>
      </w:r>
    </w:p>
    <w:sectPr>
      <w:pgSz w:w="11906" w:h="16838"/>
      <w:pgMar w:top="986" w:right="1633" w:bottom="986" w:left="1633"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font-weight : 400">
    <w:altName w:val="Courier New"/>
    <w:panose1 w:val="00000000000000000000"/>
    <w:charset w:val="00"/>
    <w:family w:val="auto"/>
    <w:pitch w:val="default"/>
    <w:sig w:usb0="00000000" w:usb1="00000000" w:usb2="00000000" w:usb3="00000000" w:csb0="00000000" w:csb1="00000000"/>
  </w:font>
  <w:font w:name="仿宋_GB2312">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4B45BA"/>
    <w:rsid w:val="00324278"/>
    <w:rsid w:val="004668AB"/>
    <w:rsid w:val="004B45BA"/>
    <w:rsid w:val="006B44C2"/>
    <w:rsid w:val="008767E8"/>
    <w:rsid w:val="009459E4"/>
    <w:rsid w:val="00A15B50"/>
    <w:rsid w:val="00A30568"/>
    <w:rsid w:val="00F0744E"/>
    <w:rsid w:val="063F1232"/>
    <w:rsid w:val="07FF0FDB"/>
    <w:rsid w:val="0D7C7383"/>
    <w:rsid w:val="0FE1342F"/>
    <w:rsid w:val="18DF30E2"/>
    <w:rsid w:val="19B75F7B"/>
    <w:rsid w:val="1A115824"/>
    <w:rsid w:val="1CC23FE7"/>
    <w:rsid w:val="1DA12DED"/>
    <w:rsid w:val="220B5217"/>
    <w:rsid w:val="2B8D0BD7"/>
    <w:rsid w:val="3C382C27"/>
    <w:rsid w:val="3DA710D7"/>
    <w:rsid w:val="469966CC"/>
    <w:rsid w:val="4E920A32"/>
    <w:rsid w:val="54FE5FB4"/>
    <w:rsid w:val="6DC3087E"/>
    <w:rsid w:val="77E53B1C"/>
    <w:rsid w:val="7B374A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font11"/>
    <w:basedOn w:val="4"/>
    <w:qFormat/>
    <w:uiPriority w:val="0"/>
    <w:rPr>
      <w:rFonts w:hint="eastAsia" w:ascii="宋体" w:hAnsi="宋体" w:eastAsia="宋体" w:cs="宋体"/>
      <w:color w:val="000000"/>
      <w:sz w:val="32"/>
      <w:szCs w:val="32"/>
      <w:u w:val="none"/>
    </w:rPr>
  </w:style>
  <w:style w:type="character" w:customStyle="1" w:styleId="7">
    <w:name w:val="font01"/>
    <w:basedOn w:val="4"/>
    <w:qFormat/>
    <w:uiPriority w:val="0"/>
    <w:rPr>
      <w:rFonts w:ascii="font-weight : 400" w:hAnsi="font-weight : 400" w:eastAsia="font-weight : 400" w:cs="font-weight : 400"/>
      <w:color w:val="000000"/>
      <w:sz w:val="32"/>
      <w:szCs w:val="32"/>
      <w:u w:val="none"/>
    </w:rPr>
  </w:style>
  <w:style w:type="character" w:customStyle="1" w:styleId="8">
    <w:name w:val="页眉 Char"/>
    <w:basedOn w:val="4"/>
    <w:link w:val="3"/>
    <w:qFormat/>
    <w:uiPriority w:val="0"/>
    <w:rPr>
      <w:rFonts w:asciiTheme="minorHAnsi" w:hAnsiTheme="minorHAnsi" w:eastAsiaTheme="minorEastAsia" w:cstheme="minorBidi"/>
      <w:kern w:val="2"/>
      <w:sz w:val="18"/>
      <w:szCs w:val="18"/>
    </w:rPr>
  </w:style>
  <w:style w:type="character" w:customStyle="1" w:styleId="9">
    <w:name w:val="页脚 Char"/>
    <w:basedOn w:val="4"/>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112</Words>
  <Characters>639</Characters>
  <Lines>5</Lines>
  <Paragraphs>1</Paragraphs>
  <ScaleCrop>false</ScaleCrop>
  <LinksUpToDate>false</LinksUpToDate>
  <CharactersWithSpaces>750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2017-02-23T00:07:00Z</cp:lastPrinted>
  <dcterms:modified xsi:type="dcterms:W3CDTF">2018-04-27T05:57:00Z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