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4F5CDAC" w14:textId="5A80DCED" w:rsidR="006500BD" w:rsidRDefault="00591018">
      <w:pPr>
        <w:pStyle w:val="a7"/>
        <w:widowControl/>
        <w:spacing w:beforeAutospacing="0" w:afterAutospacing="0" w:line="324" w:lineRule="atLeast"/>
        <w:jc w:val="center"/>
        <w:rPr>
          <w:rFonts w:ascii="仿宋" w:eastAsia="仿宋" w:hAnsi="仿宋" w:cs="仿宋"/>
          <w:b/>
          <w:bCs/>
          <w:sz w:val="36"/>
          <w:szCs w:val="36"/>
        </w:rPr>
      </w:pPr>
      <w:r>
        <w:rPr>
          <w:rFonts w:ascii="仿宋" w:eastAsia="仿宋" w:hAnsi="仿宋" w:cs="仿宋" w:hint="eastAsia"/>
          <w:b/>
          <w:bCs/>
          <w:sz w:val="36"/>
          <w:szCs w:val="36"/>
        </w:rPr>
        <w:t>福建联合电工电瓷集团有限公司</w:t>
      </w:r>
      <w:r w:rsidR="00CF3414">
        <w:rPr>
          <w:rFonts w:ascii="仿宋" w:eastAsia="仿宋" w:hAnsi="仿宋" w:cs="仿宋" w:hint="eastAsia"/>
          <w:b/>
          <w:bCs/>
          <w:sz w:val="36"/>
          <w:szCs w:val="36"/>
        </w:rPr>
        <w:t>破产</w:t>
      </w:r>
      <w:r w:rsidR="00F50F5B">
        <w:rPr>
          <w:rFonts w:ascii="仿宋" w:eastAsia="仿宋" w:hAnsi="仿宋" w:cs="仿宋" w:hint="eastAsia"/>
          <w:b/>
          <w:bCs/>
          <w:sz w:val="36"/>
          <w:szCs w:val="36"/>
        </w:rPr>
        <w:t>清算</w:t>
      </w:r>
      <w:r w:rsidR="00AD69BC">
        <w:rPr>
          <w:rFonts w:ascii="仿宋" w:eastAsia="仿宋" w:hAnsi="仿宋" w:cs="仿宋" w:hint="eastAsia"/>
          <w:b/>
          <w:bCs/>
          <w:sz w:val="36"/>
          <w:szCs w:val="36"/>
        </w:rPr>
        <w:t>案</w:t>
      </w:r>
    </w:p>
    <w:p w14:paraId="11D6F23F" w14:textId="2535DCDB" w:rsidR="00850407" w:rsidRDefault="00AD69BC" w:rsidP="00F50F5B">
      <w:pPr>
        <w:pStyle w:val="a7"/>
        <w:widowControl/>
        <w:spacing w:beforeAutospacing="0" w:afterAutospacing="0" w:line="324" w:lineRule="atLeast"/>
        <w:jc w:val="center"/>
        <w:rPr>
          <w:rFonts w:ascii="仿宋" w:eastAsia="仿宋" w:hAnsi="仿宋" w:cs="仿宋"/>
          <w:b/>
          <w:bCs/>
          <w:sz w:val="36"/>
          <w:szCs w:val="36"/>
        </w:rPr>
      </w:pPr>
      <w:r>
        <w:rPr>
          <w:rFonts w:ascii="仿宋" w:eastAsia="仿宋" w:hAnsi="仿宋" w:cs="仿宋" w:hint="eastAsia"/>
          <w:b/>
          <w:bCs/>
          <w:sz w:val="36"/>
          <w:szCs w:val="36"/>
        </w:rPr>
        <w:t>补充申报债权的审查和确认收费标准</w:t>
      </w:r>
    </w:p>
    <w:p w14:paraId="1E669693" w14:textId="77777777" w:rsidR="00F50F5B" w:rsidRPr="00F50F5B" w:rsidRDefault="00F50F5B" w:rsidP="00F50F5B">
      <w:pPr>
        <w:pStyle w:val="a7"/>
        <w:widowControl/>
        <w:spacing w:beforeAutospacing="0" w:afterAutospacing="0" w:line="324" w:lineRule="atLeast"/>
        <w:jc w:val="center"/>
        <w:rPr>
          <w:rStyle w:val="a8"/>
          <w:rFonts w:ascii="仿宋" w:eastAsia="仿宋" w:hAnsi="仿宋" w:cs="仿宋"/>
          <w:bCs/>
          <w:sz w:val="36"/>
          <w:szCs w:val="36"/>
        </w:rPr>
      </w:pPr>
    </w:p>
    <w:p w14:paraId="2F37C425" w14:textId="7FB90764" w:rsidR="00F50F5B" w:rsidRDefault="00591018" w:rsidP="00F50F5B">
      <w:pPr>
        <w:spacing w:afterLines="50" w:after="156" w:line="480" w:lineRule="exact"/>
        <w:rPr>
          <w:rFonts w:ascii="仿宋" w:eastAsia="仿宋" w:hAnsi="仿宋" w:cs="仿宋"/>
          <w:b/>
          <w:sz w:val="28"/>
          <w:szCs w:val="28"/>
          <w:u w:val="single"/>
        </w:rPr>
      </w:pPr>
      <w:r>
        <w:rPr>
          <w:rFonts w:ascii="仿宋" w:eastAsia="仿宋" w:hAnsi="仿宋" w:cs="仿宋" w:hint="eastAsia"/>
          <w:b/>
          <w:sz w:val="28"/>
          <w:szCs w:val="28"/>
          <w:u w:val="single"/>
        </w:rPr>
        <w:t>福建联合电工电瓷集团有限公司</w:t>
      </w:r>
      <w:r w:rsidR="00AD69BC">
        <w:rPr>
          <w:rFonts w:ascii="仿宋" w:eastAsia="仿宋" w:hAnsi="仿宋" w:cs="仿宋" w:hint="eastAsia"/>
          <w:b/>
          <w:sz w:val="28"/>
          <w:szCs w:val="28"/>
          <w:u w:val="single"/>
        </w:rPr>
        <w:t>债权人：</w:t>
      </w:r>
    </w:p>
    <w:p w14:paraId="7C4F8936" w14:textId="77777777" w:rsidR="002114BF" w:rsidRDefault="002114BF" w:rsidP="00F50F5B">
      <w:pPr>
        <w:spacing w:after="50" w:line="480" w:lineRule="exact"/>
        <w:ind w:firstLine="560"/>
        <w:rPr>
          <w:rFonts w:ascii="仿宋" w:eastAsia="仿宋" w:hAnsi="仿宋" w:cs="仿宋"/>
          <w:sz w:val="28"/>
        </w:rPr>
      </w:pPr>
      <w:r w:rsidRPr="002114BF">
        <w:rPr>
          <w:rFonts w:ascii="仿宋" w:eastAsia="仿宋" w:hAnsi="仿宋" w:cs="仿宋" w:hint="eastAsia"/>
          <w:sz w:val="28"/>
        </w:rPr>
        <w:t>福建省福州市中级人民法院根据</w:t>
      </w:r>
      <w:proofErr w:type="gramStart"/>
      <w:r w:rsidRPr="002114BF">
        <w:rPr>
          <w:rFonts w:ascii="仿宋" w:eastAsia="仿宋" w:hAnsi="仿宋" w:cs="仿宋" w:hint="eastAsia"/>
          <w:sz w:val="28"/>
        </w:rPr>
        <w:t>黄印童的</w:t>
      </w:r>
      <w:proofErr w:type="gramEnd"/>
      <w:r w:rsidRPr="002114BF">
        <w:rPr>
          <w:rFonts w:ascii="仿宋" w:eastAsia="仿宋" w:hAnsi="仿宋" w:cs="仿宋" w:hint="eastAsia"/>
          <w:sz w:val="28"/>
        </w:rPr>
        <w:t>申请，于2018年7月18日</w:t>
      </w:r>
      <w:proofErr w:type="gramStart"/>
      <w:r w:rsidRPr="002114BF">
        <w:rPr>
          <w:rFonts w:ascii="仿宋" w:eastAsia="仿宋" w:hAnsi="仿宋" w:cs="仿宋" w:hint="eastAsia"/>
          <w:sz w:val="28"/>
        </w:rPr>
        <w:t>作出</w:t>
      </w:r>
      <w:proofErr w:type="gramEnd"/>
      <w:r w:rsidRPr="002114BF">
        <w:rPr>
          <w:rFonts w:ascii="仿宋" w:eastAsia="仿宋" w:hAnsi="仿宋" w:cs="仿宋" w:hint="eastAsia"/>
          <w:sz w:val="28"/>
        </w:rPr>
        <w:t>(2018)闽01</w:t>
      </w:r>
      <w:proofErr w:type="gramStart"/>
      <w:r w:rsidRPr="002114BF">
        <w:rPr>
          <w:rFonts w:ascii="仿宋" w:eastAsia="仿宋" w:hAnsi="仿宋" w:cs="仿宋" w:hint="eastAsia"/>
          <w:sz w:val="28"/>
        </w:rPr>
        <w:t>破申10号</w:t>
      </w:r>
      <w:proofErr w:type="gramEnd"/>
      <w:r w:rsidRPr="002114BF">
        <w:rPr>
          <w:rFonts w:ascii="仿宋" w:eastAsia="仿宋" w:hAnsi="仿宋" w:cs="仿宋" w:hint="eastAsia"/>
          <w:sz w:val="28"/>
        </w:rPr>
        <w:t>民事裁定书，裁定受理黄</w:t>
      </w:r>
      <w:proofErr w:type="gramStart"/>
      <w:r w:rsidRPr="002114BF">
        <w:rPr>
          <w:rFonts w:ascii="仿宋" w:eastAsia="仿宋" w:hAnsi="仿宋" w:cs="仿宋" w:hint="eastAsia"/>
          <w:sz w:val="28"/>
        </w:rPr>
        <w:t>印童对</w:t>
      </w:r>
      <w:proofErr w:type="gramEnd"/>
      <w:r w:rsidRPr="002114BF">
        <w:rPr>
          <w:rFonts w:ascii="仿宋" w:eastAsia="仿宋" w:hAnsi="仿宋" w:cs="仿宋" w:hint="eastAsia"/>
          <w:sz w:val="28"/>
        </w:rPr>
        <w:t>福建联合电工电瓷集团有限公司破产清算申请，并指令本院审理本案。本院于2018年8月1日</w:t>
      </w:r>
      <w:proofErr w:type="gramStart"/>
      <w:r w:rsidRPr="002114BF">
        <w:rPr>
          <w:rFonts w:ascii="仿宋" w:eastAsia="仿宋" w:hAnsi="仿宋" w:cs="仿宋" w:hint="eastAsia"/>
          <w:sz w:val="28"/>
        </w:rPr>
        <w:t>作出</w:t>
      </w:r>
      <w:proofErr w:type="gramEnd"/>
      <w:r w:rsidRPr="002114BF">
        <w:rPr>
          <w:rFonts w:ascii="仿宋" w:eastAsia="仿宋" w:hAnsi="仿宋" w:cs="仿宋" w:hint="eastAsia"/>
          <w:sz w:val="28"/>
        </w:rPr>
        <w:t>(2018)闽0124破1号决定书，指定福建知信衡律师事务所担任福建联合电工电瓷集团有限公司管理人。</w:t>
      </w:r>
    </w:p>
    <w:p w14:paraId="1427063C" w14:textId="2FA58797" w:rsidR="00850407" w:rsidRDefault="00AD69BC" w:rsidP="00F50F5B">
      <w:pPr>
        <w:spacing w:after="50" w:line="480" w:lineRule="exact"/>
        <w:ind w:firstLine="560"/>
        <w:rPr>
          <w:rFonts w:ascii="仿宋" w:eastAsia="仿宋" w:hAnsi="仿宋" w:cs="仿宋"/>
          <w:sz w:val="28"/>
        </w:rPr>
      </w:pPr>
      <w:r>
        <w:rPr>
          <w:rFonts w:ascii="仿宋" w:eastAsia="仿宋" w:hAnsi="仿宋" w:cs="仿宋" w:hint="eastAsia"/>
          <w:sz w:val="28"/>
        </w:rPr>
        <w:t>依照《中华人民共和国企业破产法》的规定，</w:t>
      </w:r>
      <w:r w:rsidR="00591018">
        <w:rPr>
          <w:rFonts w:ascii="仿宋" w:eastAsia="仿宋" w:hAnsi="仿宋" w:cs="仿宋" w:hint="eastAsia"/>
          <w:sz w:val="28"/>
        </w:rPr>
        <w:t>福建联合电工电瓷集团有限公司</w:t>
      </w:r>
      <w:r>
        <w:rPr>
          <w:rFonts w:ascii="仿宋" w:eastAsia="仿宋" w:hAnsi="仿宋" w:cs="仿宋" w:hint="eastAsia"/>
          <w:sz w:val="28"/>
        </w:rPr>
        <w:t>各债权人应当在人民法院确定的债权申报期限内申报债权，未在确定的债权申报期限内申报债权的，可以在破产财产最后分配前补充申报，但应当承担因审查和确认补充申报债权而产生的费用。故此，为保障破产清算程序的顺利进行和全体债权人的利益，同时考虑到尽量减轻逾期申报人的费用成本，经研究决定，管理人将参照人民法院关于财产纠纷案件收费标准基础上下浮20%收取逾期补充申报债权的审查费用。收取逾期补充申报债权的审查费用的三分之一归入</w:t>
      </w:r>
      <w:r w:rsidR="00591018">
        <w:rPr>
          <w:rFonts w:ascii="仿宋" w:eastAsia="仿宋" w:hAnsi="仿宋" w:cs="仿宋" w:hint="eastAsia"/>
          <w:sz w:val="28"/>
        </w:rPr>
        <w:t>福建联合电工电瓷集团有限公司</w:t>
      </w:r>
      <w:r w:rsidR="00CF3414">
        <w:rPr>
          <w:rFonts w:ascii="仿宋" w:eastAsia="仿宋" w:hAnsi="仿宋" w:cs="仿宋" w:hint="eastAsia"/>
          <w:sz w:val="28"/>
        </w:rPr>
        <w:t>破产</w:t>
      </w:r>
      <w:r>
        <w:rPr>
          <w:rFonts w:ascii="仿宋" w:eastAsia="仿宋" w:hAnsi="仿宋" w:cs="仿宋" w:hint="eastAsia"/>
          <w:sz w:val="28"/>
        </w:rPr>
        <w:t>财产范围，三分之</w:t>
      </w:r>
      <w:r w:rsidR="004D724B">
        <w:rPr>
          <w:rFonts w:ascii="仿宋" w:eastAsia="仿宋" w:hAnsi="仿宋" w:cs="仿宋" w:hint="eastAsia"/>
          <w:sz w:val="28"/>
        </w:rPr>
        <w:t>二</w:t>
      </w:r>
      <w:r>
        <w:rPr>
          <w:rFonts w:ascii="仿宋" w:eastAsia="仿宋" w:hAnsi="仿宋" w:cs="仿宋" w:hint="eastAsia"/>
          <w:sz w:val="28"/>
        </w:rPr>
        <w:t>归入</w:t>
      </w:r>
      <w:r w:rsidR="00591018">
        <w:rPr>
          <w:rFonts w:ascii="仿宋" w:eastAsia="仿宋" w:hAnsi="仿宋" w:cs="仿宋" w:hint="eastAsia"/>
          <w:sz w:val="28"/>
        </w:rPr>
        <w:t>福建联合电工电瓷集团有限公司</w:t>
      </w:r>
      <w:r>
        <w:rPr>
          <w:rFonts w:ascii="仿宋" w:eastAsia="仿宋" w:hAnsi="仿宋" w:cs="仿宋" w:hint="eastAsia"/>
          <w:sz w:val="28"/>
        </w:rPr>
        <w:t>管理人所有。逾期申报人不按照本办法缴纳相关审查费用的，属于未依法申报债权的情形，管理人将不作为债权登记，逾期申报人也不得依照《中华人民共和国企业破产法》规定的程序行使权利。</w:t>
      </w:r>
    </w:p>
    <w:p w14:paraId="3826F2C1" w14:textId="77777777" w:rsidR="00850407" w:rsidRDefault="00AD69BC" w:rsidP="00F50F5B">
      <w:pPr>
        <w:spacing w:after="50" w:line="480" w:lineRule="exact"/>
        <w:ind w:firstLine="560"/>
        <w:rPr>
          <w:rFonts w:ascii="仿宋" w:eastAsia="仿宋" w:hAnsi="仿宋" w:cs="仿宋"/>
          <w:b/>
          <w:sz w:val="28"/>
          <w:u w:val="single"/>
        </w:rPr>
      </w:pPr>
      <w:r>
        <w:rPr>
          <w:rFonts w:ascii="仿宋" w:eastAsia="仿宋" w:hAnsi="仿宋" w:cs="仿宋" w:hint="eastAsia"/>
          <w:sz w:val="28"/>
        </w:rPr>
        <w:t>特此告知</w:t>
      </w:r>
    </w:p>
    <w:p w14:paraId="606B7A71" w14:textId="77777777" w:rsidR="002114BF" w:rsidRDefault="00591018" w:rsidP="00F50F5B">
      <w:pPr>
        <w:pStyle w:val="a7"/>
        <w:widowControl/>
        <w:spacing w:beforeAutospacing="0" w:after="50" w:afterAutospacing="0" w:line="480" w:lineRule="exact"/>
        <w:ind w:firstLine="420"/>
        <w:jc w:val="right"/>
        <w:rPr>
          <w:rStyle w:val="a8"/>
          <w:rFonts w:ascii="仿宋" w:eastAsia="仿宋" w:hAnsi="仿宋" w:cs="仿宋"/>
          <w:sz w:val="28"/>
          <w:szCs w:val="28"/>
        </w:rPr>
      </w:pPr>
      <w:bookmarkStart w:id="0" w:name="OLE_LINK1"/>
      <w:r>
        <w:rPr>
          <w:rStyle w:val="a8"/>
          <w:rFonts w:ascii="仿宋" w:eastAsia="仿宋" w:hAnsi="仿宋" w:cs="仿宋" w:hint="eastAsia"/>
          <w:sz w:val="28"/>
          <w:szCs w:val="28"/>
        </w:rPr>
        <w:t>福建联合电工电瓷集团有限公司</w:t>
      </w:r>
      <w:r w:rsidR="00AD69BC" w:rsidRPr="00CF3414">
        <w:rPr>
          <w:rStyle w:val="a8"/>
          <w:rFonts w:ascii="仿宋" w:eastAsia="仿宋" w:hAnsi="仿宋" w:cs="仿宋" w:hint="eastAsia"/>
          <w:sz w:val="28"/>
          <w:szCs w:val="28"/>
        </w:rPr>
        <w:t>管理人</w:t>
      </w:r>
      <w:bookmarkEnd w:id="0"/>
    </w:p>
    <w:p w14:paraId="493BB07A" w14:textId="78FF36A1" w:rsidR="00850407" w:rsidRDefault="00AD69BC" w:rsidP="002114BF">
      <w:pPr>
        <w:pStyle w:val="a7"/>
        <w:widowControl/>
        <w:spacing w:beforeAutospacing="0" w:after="50" w:afterAutospacing="0" w:line="480" w:lineRule="exact"/>
        <w:ind w:left="3780" w:firstLine="420"/>
        <w:jc w:val="center"/>
        <w:rPr>
          <w:rStyle w:val="a8"/>
          <w:rFonts w:ascii="仿宋" w:eastAsia="仿宋" w:hAnsi="仿宋" w:cs="仿宋"/>
          <w:sz w:val="28"/>
          <w:szCs w:val="28"/>
        </w:rPr>
      </w:pPr>
      <w:r>
        <w:rPr>
          <w:rStyle w:val="a8"/>
          <w:rFonts w:ascii="仿宋" w:eastAsia="仿宋" w:hAnsi="仿宋" w:cs="仿宋" w:hint="eastAsia"/>
          <w:sz w:val="28"/>
          <w:szCs w:val="28"/>
        </w:rPr>
        <w:t>二〇一八年</w:t>
      </w:r>
      <w:r w:rsidR="001870ED">
        <w:rPr>
          <w:rStyle w:val="a8"/>
          <w:rFonts w:ascii="仿宋" w:eastAsia="仿宋" w:hAnsi="仿宋" w:cs="仿宋" w:hint="eastAsia"/>
          <w:sz w:val="28"/>
          <w:szCs w:val="28"/>
        </w:rPr>
        <w:t>八</w:t>
      </w:r>
      <w:r>
        <w:rPr>
          <w:rStyle w:val="a8"/>
          <w:rFonts w:ascii="仿宋" w:eastAsia="仿宋" w:hAnsi="仿宋" w:cs="仿宋" w:hint="eastAsia"/>
          <w:sz w:val="28"/>
          <w:szCs w:val="28"/>
        </w:rPr>
        <w:t>月</w:t>
      </w:r>
      <w:r w:rsidR="002114BF">
        <w:rPr>
          <w:rStyle w:val="a8"/>
          <w:rFonts w:ascii="仿宋" w:eastAsia="仿宋" w:hAnsi="仿宋" w:cs="仿宋" w:hint="eastAsia"/>
          <w:sz w:val="28"/>
          <w:szCs w:val="28"/>
        </w:rPr>
        <w:t>二</w:t>
      </w:r>
      <w:r>
        <w:rPr>
          <w:rStyle w:val="a8"/>
          <w:rFonts w:ascii="仿宋" w:eastAsia="仿宋" w:hAnsi="仿宋" w:cs="仿宋" w:hint="eastAsia"/>
          <w:sz w:val="28"/>
          <w:szCs w:val="28"/>
        </w:rPr>
        <w:t>日</w:t>
      </w:r>
    </w:p>
    <w:p w14:paraId="71DFAEA7" w14:textId="2D3C39BA" w:rsidR="002114BF" w:rsidRDefault="002114BF" w:rsidP="002114BF">
      <w:pPr>
        <w:pStyle w:val="a7"/>
        <w:widowControl/>
        <w:spacing w:beforeAutospacing="0" w:after="50" w:afterAutospacing="0" w:line="480" w:lineRule="exact"/>
        <w:ind w:left="3780" w:firstLine="420"/>
        <w:jc w:val="center"/>
        <w:rPr>
          <w:rStyle w:val="a8"/>
          <w:rFonts w:ascii="仿宋" w:eastAsia="仿宋" w:hAnsi="仿宋" w:cs="仿宋"/>
          <w:sz w:val="28"/>
          <w:szCs w:val="28"/>
        </w:rPr>
      </w:pPr>
    </w:p>
    <w:p w14:paraId="7A7F4E30" w14:textId="77777777" w:rsidR="002114BF" w:rsidRDefault="002114BF" w:rsidP="002114BF">
      <w:pPr>
        <w:pStyle w:val="a7"/>
        <w:widowControl/>
        <w:spacing w:beforeAutospacing="0" w:after="50" w:afterAutospacing="0" w:line="480" w:lineRule="exact"/>
        <w:ind w:left="3780" w:firstLine="420"/>
        <w:jc w:val="center"/>
        <w:rPr>
          <w:rStyle w:val="a8"/>
          <w:rFonts w:ascii="仿宋" w:eastAsia="仿宋" w:hAnsi="仿宋" w:cs="仿宋" w:hint="eastAsia"/>
          <w:sz w:val="28"/>
          <w:szCs w:val="28"/>
        </w:rPr>
      </w:pPr>
      <w:bookmarkStart w:id="1" w:name="_GoBack"/>
      <w:bookmarkEnd w:id="1"/>
    </w:p>
    <w:p w14:paraId="11EE1469" w14:textId="77777777" w:rsidR="00850407" w:rsidRDefault="00AD69BC" w:rsidP="00F50F5B">
      <w:pPr>
        <w:pStyle w:val="a7"/>
        <w:widowControl/>
        <w:spacing w:beforeAutospacing="0" w:after="50" w:afterAutospacing="0" w:line="480" w:lineRule="exact"/>
        <w:rPr>
          <w:rFonts w:ascii="仿宋" w:eastAsia="仿宋" w:hAnsi="仿宋" w:cs="仿宋"/>
          <w:sz w:val="28"/>
          <w:szCs w:val="28"/>
        </w:rPr>
      </w:pPr>
      <w:r>
        <w:rPr>
          <w:rStyle w:val="a8"/>
          <w:rFonts w:ascii="仿宋" w:eastAsia="仿宋" w:hAnsi="仿宋" w:cs="仿宋" w:hint="eastAsia"/>
          <w:sz w:val="28"/>
          <w:szCs w:val="28"/>
        </w:rPr>
        <w:lastRenderedPageBreak/>
        <w:t>附：人民法院关于财产纠纷案件收费标准</w:t>
      </w:r>
    </w:p>
    <w:p w14:paraId="7591BCAF" w14:textId="77777777" w:rsidR="00850407" w:rsidRDefault="00AD69BC" w:rsidP="00F50F5B">
      <w:pPr>
        <w:pStyle w:val="a7"/>
        <w:widowControl/>
        <w:spacing w:beforeAutospacing="0" w:after="50" w:afterAutospacing="0" w:line="480" w:lineRule="exact"/>
        <w:rPr>
          <w:rFonts w:ascii="仿宋" w:eastAsia="仿宋" w:hAnsi="仿宋" w:cs="仿宋"/>
          <w:sz w:val="28"/>
          <w:szCs w:val="28"/>
        </w:rPr>
      </w:pPr>
      <w:r>
        <w:rPr>
          <w:rFonts w:ascii="仿宋" w:eastAsia="仿宋" w:hAnsi="仿宋" w:cs="仿宋" w:hint="eastAsia"/>
          <w:sz w:val="28"/>
          <w:szCs w:val="28"/>
        </w:rPr>
        <w:t xml:space="preserve">    财产案件根据诉讼请求的金额或者价额，按照下列比例分段累计交纳：</w:t>
      </w:r>
      <w:r>
        <w:rPr>
          <w:rFonts w:ascii="仿宋" w:eastAsia="仿宋" w:hAnsi="仿宋" w:cs="仿宋" w:hint="eastAsia"/>
          <w:sz w:val="28"/>
          <w:szCs w:val="28"/>
        </w:rPr>
        <w:br/>
        <w:t>1.</w:t>
      </w:r>
      <w:r>
        <w:rPr>
          <w:rFonts w:ascii="仿宋" w:eastAsia="仿宋" w:hAnsi="仿宋" w:cs="仿宋"/>
          <w:sz w:val="28"/>
          <w:szCs w:val="28"/>
        </w:rPr>
        <w:t xml:space="preserve"> </w:t>
      </w:r>
      <w:r>
        <w:rPr>
          <w:rFonts w:ascii="仿宋" w:eastAsia="仿宋" w:hAnsi="仿宋" w:cs="仿宋" w:hint="eastAsia"/>
          <w:sz w:val="28"/>
          <w:szCs w:val="28"/>
        </w:rPr>
        <w:t>不超过1万元的，每件交纳50元；</w:t>
      </w:r>
      <w:r>
        <w:rPr>
          <w:rFonts w:ascii="仿宋" w:eastAsia="仿宋" w:hAnsi="仿宋" w:cs="仿宋" w:hint="eastAsia"/>
          <w:sz w:val="28"/>
          <w:szCs w:val="28"/>
        </w:rPr>
        <w:br/>
        <w:t>2.</w:t>
      </w:r>
      <w:r>
        <w:rPr>
          <w:rFonts w:ascii="仿宋" w:eastAsia="仿宋" w:hAnsi="仿宋" w:cs="仿宋"/>
          <w:sz w:val="28"/>
          <w:szCs w:val="28"/>
        </w:rPr>
        <w:t xml:space="preserve"> </w:t>
      </w:r>
      <w:r>
        <w:rPr>
          <w:rFonts w:ascii="仿宋" w:eastAsia="仿宋" w:hAnsi="仿宋" w:cs="仿宋" w:hint="eastAsia"/>
          <w:sz w:val="28"/>
          <w:szCs w:val="28"/>
        </w:rPr>
        <w:t>超过1万元至10万元的部分，按照2.5％交纳；</w:t>
      </w:r>
      <w:r>
        <w:rPr>
          <w:rFonts w:ascii="仿宋" w:eastAsia="仿宋" w:hAnsi="仿宋" w:cs="仿宋" w:hint="eastAsia"/>
          <w:sz w:val="28"/>
          <w:szCs w:val="28"/>
        </w:rPr>
        <w:br/>
        <w:t>3.</w:t>
      </w:r>
      <w:r>
        <w:rPr>
          <w:rFonts w:ascii="仿宋" w:eastAsia="仿宋" w:hAnsi="仿宋" w:cs="仿宋"/>
          <w:sz w:val="28"/>
          <w:szCs w:val="28"/>
        </w:rPr>
        <w:t xml:space="preserve"> </w:t>
      </w:r>
      <w:r>
        <w:rPr>
          <w:rFonts w:ascii="仿宋" w:eastAsia="仿宋" w:hAnsi="仿宋" w:cs="仿宋" w:hint="eastAsia"/>
          <w:sz w:val="28"/>
          <w:szCs w:val="28"/>
        </w:rPr>
        <w:t>超过10万元至20万元的部分，按照2％交纳；</w:t>
      </w:r>
      <w:r>
        <w:rPr>
          <w:rFonts w:ascii="仿宋" w:eastAsia="仿宋" w:hAnsi="仿宋" w:cs="仿宋" w:hint="eastAsia"/>
          <w:sz w:val="28"/>
          <w:szCs w:val="28"/>
        </w:rPr>
        <w:br/>
        <w:t>4.</w:t>
      </w:r>
      <w:r>
        <w:rPr>
          <w:rFonts w:ascii="仿宋" w:eastAsia="仿宋" w:hAnsi="仿宋" w:cs="仿宋"/>
          <w:sz w:val="28"/>
          <w:szCs w:val="28"/>
        </w:rPr>
        <w:t xml:space="preserve"> </w:t>
      </w:r>
      <w:r>
        <w:rPr>
          <w:rFonts w:ascii="仿宋" w:eastAsia="仿宋" w:hAnsi="仿宋" w:cs="仿宋" w:hint="eastAsia"/>
          <w:sz w:val="28"/>
          <w:szCs w:val="28"/>
        </w:rPr>
        <w:t>超过20万元至50万元的部分，按照1.5％交纳；</w:t>
      </w:r>
      <w:r>
        <w:rPr>
          <w:rFonts w:ascii="仿宋" w:eastAsia="仿宋" w:hAnsi="仿宋" w:cs="仿宋" w:hint="eastAsia"/>
          <w:sz w:val="28"/>
          <w:szCs w:val="28"/>
        </w:rPr>
        <w:br/>
        <w:t>5.</w:t>
      </w:r>
      <w:r>
        <w:rPr>
          <w:rFonts w:ascii="仿宋" w:eastAsia="仿宋" w:hAnsi="仿宋" w:cs="仿宋"/>
          <w:sz w:val="28"/>
          <w:szCs w:val="28"/>
        </w:rPr>
        <w:t xml:space="preserve"> </w:t>
      </w:r>
      <w:r>
        <w:rPr>
          <w:rFonts w:ascii="仿宋" w:eastAsia="仿宋" w:hAnsi="仿宋" w:cs="仿宋" w:hint="eastAsia"/>
          <w:sz w:val="28"/>
          <w:szCs w:val="28"/>
        </w:rPr>
        <w:t>超过50万元至100万元的部分，按照1％交纳；</w:t>
      </w:r>
      <w:r>
        <w:rPr>
          <w:rFonts w:ascii="仿宋" w:eastAsia="仿宋" w:hAnsi="仿宋" w:cs="仿宋" w:hint="eastAsia"/>
          <w:sz w:val="28"/>
          <w:szCs w:val="28"/>
        </w:rPr>
        <w:br/>
        <w:t>6.</w:t>
      </w:r>
      <w:r>
        <w:rPr>
          <w:rFonts w:ascii="仿宋" w:eastAsia="仿宋" w:hAnsi="仿宋" w:cs="仿宋"/>
          <w:sz w:val="28"/>
          <w:szCs w:val="28"/>
        </w:rPr>
        <w:t xml:space="preserve"> </w:t>
      </w:r>
      <w:r>
        <w:rPr>
          <w:rFonts w:ascii="仿宋" w:eastAsia="仿宋" w:hAnsi="仿宋" w:cs="仿宋" w:hint="eastAsia"/>
          <w:sz w:val="28"/>
          <w:szCs w:val="28"/>
        </w:rPr>
        <w:t>超过100万元至200万元的部分，按照0.9％交纳；</w:t>
      </w:r>
      <w:r>
        <w:rPr>
          <w:rFonts w:ascii="仿宋" w:eastAsia="仿宋" w:hAnsi="仿宋" w:cs="仿宋" w:hint="eastAsia"/>
          <w:sz w:val="28"/>
          <w:szCs w:val="28"/>
        </w:rPr>
        <w:br/>
        <w:t>7.</w:t>
      </w:r>
      <w:r>
        <w:rPr>
          <w:rFonts w:ascii="仿宋" w:eastAsia="仿宋" w:hAnsi="仿宋" w:cs="仿宋"/>
          <w:sz w:val="28"/>
          <w:szCs w:val="28"/>
        </w:rPr>
        <w:t xml:space="preserve"> </w:t>
      </w:r>
      <w:r>
        <w:rPr>
          <w:rFonts w:ascii="仿宋" w:eastAsia="仿宋" w:hAnsi="仿宋" w:cs="仿宋" w:hint="eastAsia"/>
          <w:sz w:val="28"/>
          <w:szCs w:val="28"/>
        </w:rPr>
        <w:t>超过200万元至500万元的部分，按照0.8％交纳；</w:t>
      </w:r>
      <w:r>
        <w:rPr>
          <w:rFonts w:ascii="仿宋" w:eastAsia="仿宋" w:hAnsi="仿宋" w:cs="仿宋" w:hint="eastAsia"/>
          <w:sz w:val="28"/>
          <w:szCs w:val="28"/>
        </w:rPr>
        <w:br/>
        <w:t>8.</w:t>
      </w:r>
      <w:r>
        <w:rPr>
          <w:rFonts w:ascii="仿宋" w:eastAsia="仿宋" w:hAnsi="仿宋" w:cs="仿宋"/>
          <w:sz w:val="28"/>
          <w:szCs w:val="28"/>
        </w:rPr>
        <w:t xml:space="preserve"> </w:t>
      </w:r>
      <w:r>
        <w:rPr>
          <w:rFonts w:ascii="仿宋" w:eastAsia="仿宋" w:hAnsi="仿宋" w:cs="仿宋" w:hint="eastAsia"/>
          <w:sz w:val="28"/>
          <w:szCs w:val="28"/>
        </w:rPr>
        <w:t>超过500万元至1000万元的部分，按照0.7％交纳；</w:t>
      </w:r>
      <w:r>
        <w:rPr>
          <w:rFonts w:ascii="仿宋" w:eastAsia="仿宋" w:hAnsi="仿宋" w:cs="仿宋" w:hint="eastAsia"/>
          <w:sz w:val="28"/>
          <w:szCs w:val="28"/>
        </w:rPr>
        <w:br/>
        <w:t>9.</w:t>
      </w:r>
      <w:r>
        <w:rPr>
          <w:rFonts w:ascii="仿宋" w:eastAsia="仿宋" w:hAnsi="仿宋" w:cs="仿宋"/>
          <w:sz w:val="28"/>
          <w:szCs w:val="28"/>
        </w:rPr>
        <w:t xml:space="preserve"> </w:t>
      </w:r>
      <w:r>
        <w:rPr>
          <w:rFonts w:ascii="仿宋" w:eastAsia="仿宋" w:hAnsi="仿宋" w:cs="仿宋" w:hint="eastAsia"/>
          <w:sz w:val="28"/>
          <w:szCs w:val="28"/>
        </w:rPr>
        <w:t>超过1000万元至2000万元的部分，按照0.6％交纳；</w:t>
      </w:r>
      <w:r>
        <w:rPr>
          <w:rFonts w:ascii="仿宋" w:eastAsia="仿宋" w:hAnsi="仿宋" w:cs="仿宋" w:hint="eastAsia"/>
          <w:sz w:val="28"/>
          <w:szCs w:val="28"/>
        </w:rPr>
        <w:br/>
        <w:t>10.</w:t>
      </w:r>
      <w:r>
        <w:rPr>
          <w:rFonts w:ascii="仿宋" w:eastAsia="仿宋" w:hAnsi="仿宋" w:cs="仿宋"/>
          <w:sz w:val="28"/>
          <w:szCs w:val="28"/>
        </w:rPr>
        <w:t xml:space="preserve"> </w:t>
      </w:r>
      <w:r>
        <w:rPr>
          <w:rFonts w:ascii="仿宋" w:eastAsia="仿宋" w:hAnsi="仿宋" w:cs="仿宋" w:hint="eastAsia"/>
          <w:sz w:val="28"/>
          <w:szCs w:val="28"/>
        </w:rPr>
        <w:t>超过2000万元的部分，按照0.5％交纳。</w:t>
      </w:r>
    </w:p>
    <w:p w14:paraId="73007CC8" w14:textId="77777777" w:rsidR="00850407" w:rsidRDefault="00850407" w:rsidP="00F50F5B">
      <w:pPr>
        <w:spacing w:after="50" w:line="480" w:lineRule="exact"/>
        <w:rPr>
          <w:rFonts w:ascii="仿宋" w:eastAsia="仿宋" w:hAnsi="仿宋" w:cs="仿宋"/>
          <w:sz w:val="28"/>
          <w:szCs w:val="28"/>
        </w:rPr>
      </w:pPr>
    </w:p>
    <w:sectPr w:rsidR="008504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74656" w14:textId="77777777" w:rsidR="00BA5FC0" w:rsidRDefault="00BA5FC0">
      <w:r>
        <w:separator/>
      </w:r>
    </w:p>
  </w:endnote>
  <w:endnote w:type="continuationSeparator" w:id="0">
    <w:p w14:paraId="6421B776" w14:textId="77777777" w:rsidR="00BA5FC0" w:rsidRDefault="00BA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8571954"/>
      <w:docPartObj>
        <w:docPartGallery w:val="Page Numbers (Bottom of Page)"/>
        <w:docPartUnique/>
      </w:docPartObj>
    </w:sdtPr>
    <w:sdtEndPr/>
    <w:sdtContent>
      <w:p w14:paraId="6E013ACD" w14:textId="77777777" w:rsidR="006500BD" w:rsidRDefault="006500BD">
        <w:pPr>
          <w:pStyle w:val="a3"/>
          <w:jc w:val="center"/>
        </w:pPr>
        <w:r>
          <w:fldChar w:fldCharType="begin"/>
        </w:r>
        <w:r>
          <w:instrText>PAGE   \* MERGEFORMAT</w:instrText>
        </w:r>
        <w:r>
          <w:fldChar w:fldCharType="separate"/>
        </w:r>
        <w:r w:rsidR="00F50F5B" w:rsidRPr="00F50F5B">
          <w:rPr>
            <w:noProof/>
            <w:lang w:val="zh-CN"/>
          </w:rPr>
          <w:t>2</w:t>
        </w:r>
        <w:r>
          <w:fldChar w:fldCharType="end"/>
        </w:r>
      </w:p>
    </w:sdtContent>
  </w:sdt>
  <w:p w14:paraId="4039CB80" w14:textId="77777777" w:rsidR="00850407" w:rsidRDefault="0085040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E1D1C" w14:textId="77777777" w:rsidR="00BA5FC0" w:rsidRDefault="00BA5FC0">
      <w:r>
        <w:separator/>
      </w:r>
    </w:p>
  </w:footnote>
  <w:footnote w:type="continuationSeparator" w:id="0">
    <w:p w14:paraId="20151E35" w14:textId="77777777" w:rsidR="00BA5FC0" w:rsidRDefault="00BA5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A551108"/>
    <w:rsid w:val="0006085D"/>
    <w:rsid w:val="0008120A"/>
    <w:rsid w:val="001072AE"/>
    <w:rsid w:val="00152F29"/>
    <w:rsid w:val="00157252"/>
    <w:rsid w:val="001619EB"/>
    <w:rsid w:val="001870ED"/>
    <w:rsid w:val="001B59C2"/>
    <w:rsid w:val="002114BF"/>
    <w:rsid w:val="00384FB6"/>
    <w:rsid w:val="003C415C"/>
    <w:rsid w:val="004C1C54"/>
    <w:rsid w:val="004D724B"/>
    <w:rsid w:val="00591018"/>
    <w:rsid w:val="00604049"/>
    <w:rsid w:val="006500BD"/>
    <w:rsid w:val="00746564"/>
    <w:rsid w:val="00827C8A"/>
    <w:rsid w:val="00837140"/>
    <w:rsid w:val="00850407"/>
    <w:rsid w:val="008A29DA"/>
    <w:rsid w:val="00954BEE"/>
    <w:rsid w:val="00A2697A"/>
    <w:rsid w:val="00A87F3B"/>
    <w:rsid w:val="00AD69BC"/>
    <w:rsid w:val="00B51A5C"/>
    <w:rsid w:val="00BA5FC0"/>
    <w:rsid w:val="00BB147D"/>
    <w:rsid w:val="00C10B3A"/>
    <w:rsid w:val="00CF3414"/>
    <w:rsid w:val="00D12103"/>
    <w:rsid w:val="00D732F0"/>
    <w:rsid w:val="00DC4002"/>
    <w:rsid w:val="00EE6AE8"/>
    <w:rsid w:val="00EF2D56"/>
    <w:rsid w:val="00F50F5B"/>
    <w:rsid w:val="00FC2A1E"/>
    <w:rsid w:val="0D6748F7"/>
    <w:rsid w:val="0DFB2FE7"/>
    <w:rsid w:val="0FDD014C"/>
    <w:rsid w:val="216A58F8"/>
    <w:rsid w:val="220412B4"/>
    <w:rsid w:val="257B699E"/>
    <w:rsid w:val="34025BC2"/>
    <w:rsid w:val="346F5941"/>
    <w:rsid w:val="38B74411"/>
    <w:rsid w:val="4B3507DD"/>
    <w:rsid w:val="559D3DB3"/>
    <w:rsid w:val="5A551108"/>
    <w:rsid w:val="6CDE3845"/>
    <w:rsid w:val="6EB3699C"/>
    <w:rsid w:val="77887259"/>
    <w:rsid w:val="7A141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B04268"/>
  <w15:docId w15:val="{075B2F5A-A949-4432-8A7C-95813DA1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rPr>
  </w:style>
  <w:style w:type="paragraph" w:styleId="a9">
    <w:name w:val="Balloon Text"/>
    <w:basedOn w:val="a"/>
    <w:link w:val="aa"/>
    <w:semiHidden/>
    <w:unhideWhenUsed/>
    <w:rsid w:val="004D724B"/>
    <w:rPr>
      <w:sz w:val="18"/>
      <w:szCs w:val="18"/>
    </w:rPr>
  </w:style>
  <w:style w:type="character" w:customStyle="1" w:styleId="aa">
    <w:name w:val="批注框文本 字符"/>
    <w:basedOn w:val="a0"/>
    <w:link w:val="a9"/>
    <w:semiHidden/>
    <w:rsid w:val="004D724B"/>
    <w:rPr>
      <w:rFonts w:asciiTheme="minorHAnsi" w:eastAsiaTheme="minorEastAsia" w:hAnsiTheme="minorHAnsi" w:cstheme="minorBidi"/>
      <w:kern w:val="2"/>
      <w:sz w:val="18"/>
      <w:szCs w:val="18"/>
    </w:rPr>
  </w:style>
  <w:style w:type="paragraph" w:styleId="ab">
    <w:name w:val="Date"/>
    <w:basedOn w:val="a"/>
    <w:next w:val="a"/>
    <w:link w:val="ac"/>
    <w:rsid w:val="002114BF"/>
    <w:pPr>
      <w:ind w:leftChars="2500" w:left="100"/>
    </w:pPr>
  </w:style>
  <w:style w:type="character" w:customStyle="1" w:styleId="ac">
    <w:name w:val="日期 字符"/>
    <w:basedOn w:val="a0"/>
    <w:link w:val="ab"/>
    <w:rsid w:val="002114BF"/>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华 占梅</cp:lastModifiedBy>
  <cp:revision>11</cp:revision>
  <cp:lastPrinted>2017-07-26T06:09:00Z</cp:lastPrinted>
  <dcterms:created xsi:type="dcterms:W3CDTF">2018-04-24T07:11:00Z</dcterms:created>
  <dcterms:modified xsi:type="dcterms:W3CDTF">2018-08-02T12:36:00Z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