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F32F6" w:rsidRDefault="00E51748">
      <w:pPr>
        <w:widowControl/>
        <w:spacing w:line="300" w:lineRule="atLeast"/>
        <w:jc w:val="center"/>
        <w:rPr>
          <w:rFonts w:ascii="宋体" w:eastAsia="宋体" w:hAnsi="宋体"/>
          <w:b/>
          <w:sz w:val="36"/>
          <w:szCs w:val="36"/>
        </w:rPr>
      </w:pPr>
      <w:r>
        <w:rPr>
          <w:rFonts w:ascii="宋体" w:eastAsia="宋体" w:hAnsi="宋体" w:hint="eastAsia"/>
          <w:b/>
          <w:sz w:val="36"/>
          <w:szCs w:val="36"/>
        </w:rPr>
        <w:t>苏州达亿装饰工程有限公司</w:t>
      </w:r>
    </w:p>
    <w:p w:rsidR="009F32F6" w:rsidRDefault="00E51748">
      <w:pPr>
        <w:widowControl/>
        <w:spacing w:line="300" w:lineRule="atLeast"/>
        <w:jc w:val="center"/>
        <w:rPr>
          <w:rFonts w:ascii="宋体" w:eastAsia="宋体" w:hAnsi="宋体" w:cs="Helvetica"/>
          <w:color w:val="999999"/>
          <w:kern w:val="0"/>
          <w:sz w:val="36"/>
          <w:szCs w:val="36"/>
        </w:rPr>
      </w:pPr>
      <w:r>
        <w:rPr>
          <w:rFonts w:ascii="宋体" w:eastAsia="宋体" w:hAnsi="宋体" w:hint="eastAsia"/>
          <w:b/>
          <w:sz w:val="36"/>
          <w:szCs w:val="36"/>
        </w:rPr>
        <w:t>投资人招募公告</w:t>
      </w:r>
    </w:p>
    <w:p w:rsidR="007277E2" w:rsidRDefault="007277E2">
      <w:pPr>
        <w:spacing w:line="360" w:lineRule="auto"/>
        <w:ind w:firstLineChars="200" w:firstLine="723"/>
        <w:rPr>
          <w:rFonts w:ascii="宋体" w:hAnsi="宋体"/>
          <w:b/>
          <w:sz w:val="36"/>
          <w:szCs w:val="36"/>
        </w:rPr>
      </w:pP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苏州达亿装饰工程有限公司（以下简称“达亿装饰”）成立于</w:t>
      </w:r>
      <w:r>
        <w:rPr>
          <w:rFonts w:ascii="宋体" w:hAnsi="宋体" w:hint="eastAsia"/>
          <w:sz w:val="24"/>
          <w:szCs w:val="24"/>
        </w:rPr>
        <w:t>2000</w:t>
      </w:r>
      <w:r>
        <w:rPr>
          <w:rFonts w:ascii="宋体" w:hAnsi="宋体" w:hint="eastAsia"/>
          <w:sz w:val="24"/>
          <w:szCs w:val="24"/>
        </w:rPr>
        <w:t>年</w:t>
      </w:r>
      <w:r>
        <w:rPr>
          <w:rFonts w:ascii="宋体" w:hAnsi="宋体" w:hint="eastAsia"/>
          <w:sz w:val="24"/>
          <w:szCs w:val="24"/>
        </w:rPr>
        <w:t>3</w:t>
      </w:r>
      <w:r>
        <w:rPr>
          <w:rFonts w:ascii="宋体" w:hAnsi="宋体" w:hint="eastAsia"/>
          <w:sz w:val="24"/>
          <w:szCs w:val="24"/>
        </w:rPr>
        <w:t>月</w:t>
      </w:r>
      <w:r>
        <w:rPr>
          <w:rFonts w:ascii="宋体" w:hAnsi="宋体" w:hint="eastAsia"/>
          <w:sz w:val="24"/>
          <w:szCs w:val="24"/>
        </w:rPr>
        <w:t>24</w:t>
      </w:r>
      <w:r>
        <w:rPr>
          <w:rFonts w:ascii="宋体" w:hAnsi="宋体" w:hint="eastAsia"/>
          <w:sz w:val="24"/>
          <w:szCs w:val="24"/>
        </w:rPr>
        <w:t>日</w:t>
      </w:r>
      <w:r>
        <w:rPr>
          <w:rFonts w:ascii="宋体" w:hAnsi="宋体"/>
          <w:color w:val="3E3E3E"/>
          <w:kern w:val="0"/>
          <w:sz w:val="24"/>
          <w:szCs w:val="24"/>
        </w:rPr>
        <w:t>，</w:t>
      </w:r>
      <w:r>
        <w:rPr>
          <w:rFonts w:ascii="宋体" w:hAnsi="宋体" w:hint="eastAsia"/>
          <w:color w:val="3E3E3E"/>
          <w:kern w:val="0"/>
          <w:sz w:val="24"/>
          <w:szCs w:val="24"/>
        </w:rPr>
        <w:t>法定代表人周树荣，</w:t>
      </w:r>
      <w:r>
        <w:rPr>
          <w:rFonts w:ascii="宋体" w:hAnsi="宋体"/>
          <w:color w:val="3E3E3E"/>
          <w:kern w:val="0"/>
          <w:sz w:val="24"/>
          <w:szCs w:val="24"/>
        </w:rPr>
        <w:t>住所地为</w:t>
      </w:r>
      <w:r>
        <w:rPr>
          <w:rFonts w:ascii="宋体" w:hAnsi="宋体"/>
          <w:sz w:val="24"/>
          <w:szCs w:val="24"/>
        </w:rPr>
        <w:t>苏州市</w:t>
      </w:r>
      <w:r>
        <w:rPr>
          <w:rFonts w:ascii="宋体" w:hAnsi="宋体" w:hint="eastAsia"/>
          <w:sz w:val="24"/>
          <w:szCs w:val="24"/>
        </w:rPr>
        <w:t>吴江经济开发区同里镇屯南村屯村东路</w:t>
      </w:r>
      <w:r>
        <w:rPr>
          <w:rFonts w:ascii="宋体" w:hAnsi="宋体" w:hint="eastAsia"/>
          <w:sz w:val="24"/>
          <w:szCs w:val="24"/>
        </w:rPr>
        <w:t>9</w:t>
      </w:r>
      <w:r>
        <w:rPr>
          <w:rFonts w:ascii="宋体" w:hAnsi="宋体" w:hint="eastAsia"/>
          <w:sz w:val="24"/>
          <w:szCs w:val="24"/>
        </w:rPr>
        <w:t>号，企业类型为有限责任公司，注册资本</w:t>
      </w:r>
      <w:r>
        <w:rPr>
          <w:rFonts w:ascii="宋体" w:hAnsi="宋体" w:hint="eastAsia"/>
          <w:sz w:val="24"/>
          <w:szCs w:val="24"/>
        </w:rPr>
        <w:t>1108</w:t>
      </w:r>
      <w:r>
        <w:rPr>
          <w:rFonts w:ascii="宋体" w:hAnsi="宋体" w:hint="eastAsia"/>
          <w:sz w:val="24"/>
          <w:szCs w:val="24"/>
        </w:rPr>
        <w:t>万元人民币，经营范围为室内外装饰装潢工程（依法须经批准的项目，经相关部门批准后方可开展经营活动）。</w:t>
      </w:r>
    </w:p>
    <w:p w:rsidR="009F32F6" w:rsidRDefault="00E51748">
      <w:pPr>
        <w:spacing w:line="360" w:lineRule="auto"/>
        <w:ind w:firstLineChars="200" w:firstLine="482"/>
        <w:outlineLvl w:val="0"/>
        <w:rPr>
          <w:rFonts w:ascii="宋体" w:hAnsi="宋体"/>
          <w:b/>
          <w:bCs/>
          <w:sz w:val="24"/>
          <w:szCs w:val="24"/>
        </w:rPr>
      </w:pPr>
      <w:r>
        <w:rPr>
          <w:rFonts w:ascii="宋体" w:hAnsi="宋体" w:hint="eastAsia"/>
          <w:b/>
          <w:bCs/>
          <w:sz w:val="24"/>
          <w:szCs w:val="24"/>
        </w:rPr>
        <w:t>（一）背景介绍</w:t>
      </w:r>
    </w:p>
    <w:p w:rsidR="009F32F6" w:rsidRDefault="00E51748">
      <w:pPr>
        <w:spacing w:line="360" w:lineRule="auto"/>
        <w:ind w:firstLineChars="200" w:firstLine="480"/>
        <w:rPr>
          <w:rFonts w:ascii="宋体" w:hAnsi="宋体"/>
          <w:bCs/>
          <w:sz w:val="24"/>
          <w:szCs w:val="24"/>
        </w:rPr>
      </w:pPr>
      <w:r>
        <w:rPr>
          <w:rFonts w:ascii="宋体" w:hAnsi="宋体"/>
          <w:bCs/>
          <w:sz w:val="24"/>
          <w:szCs w:val="24"/>
        </w:rPr>
        <w:t>2018</w:t>
      </w:r>
      <w:r>
        <w:rPr>
          <w:rFonts w:ascii="宋体" w:hAnsi="宋体"/>
          <w:bCs/>
          <w:sz w:val="24"/>
          <w:szCs w:val="24"/>
        </w:rPr>
        <w:t>年</w:t>
      </w:r>
      <w:r>
        <w:rPr>
          <w:rFonts w:ascii="宋体" w:hAnsi="宋体"/>
          <w:bCs/>
          <w:sz w:val="24"/>
          <w:szCs w:val="24"/>
        </w:rPr>
        <w:t>8</w:t>
      </w:r>
      <w:r>
        <w:rPr>
          <w:rFonts w:ascii="宋体" w:hAnsi="宋体"/>
          <w:bCs/>
          <w:sz w:val="24"/>
          <w:szCs w:val="24"/>
        </w:rPr>
        <w:t>月</w:t>
      </w:r>
      <w:r>
        <w:rPr>
          <w:rFonts w:ascii="宋体" w:hAnsi="宋体"/>
          <w:bCs/>
          <w:sz w:val="24"/>
          <w:szCs w:val="24"/>
        </w:rPr>
        <w:t>14</w:t>
      </w:r>
      <w:r>
        <w:rPr>
          <w:rFonts w:ascii="宋体" w:hAnsi="宋体"/>
          <w:bCs/>
          <w:sz w:val="24"/>
          <w:szCs w:val="24"/>
        </w:rPr>
        <w:t>日，苏</w:t>
      </w:r>
      <w:r>
        <w:rPr>
          <w:rFonts w:ascii="宋体" w:hAnsi="宋体"/>
          <w:bCs/>
          <w:color w:val="000000"/>
          <w:sz w:val="24"/>
          <w:szCs w:val="24"/>
        </w:rPr>
        <w:t>州市</w:t>
      </w:r>
      <w:r>
        <w:rPr>
          <w:rFonts w:ascii="宋体" w:hAnsi="宋体" w:hint="eastAsia"/>
          <w:bCs/>
          <w:color w:val="000000"/>
          <w:sz w:val="24"/>
          <w:szCs w:val="24"/>
        </w:rPr>
        <w:t>吴江区</w:t>
      </w:r>
      <w:r>
        <w:rPr>
          <w:rFonts w:ascii="宋体" w:hAnsi="宋体"/>
          <w:bCs/>
          <w:color w:val="000000"/>
          <w:sz w:val="24"/>
          <w:szCs w:val="24"/>
        </w:rPr>
        <w:t>人民法院依法裁定受理</w:t>
      </w:r>
      <w:r>
        <w:rPr>
          <w:rFonts w:ascii="宋体" w:hAnsi="宋体" w:hint="eastAsia"/>
          <w:bCs/>
          <w:sz w:val="24"/>
          <w:szCs w:val="24"/>
        </w:rPr>
        <w:t>达亿装饰</w:t>
      </w:r>
      <w:r>
        <w:rPr>
          <w:rFonts w:ascii="宋体" w:hAnsi="宋体"/>
          <w:bCs/>
          <w:sz w:val="24"/>
          <w:szCs w:val="24"/>
        </w:rPr>
        <w:t>破产</w:t>
      </w:r>
      <w:r>
        <w:rPr>
          <w:rFonts w:ascii="宋体" w:hAnsi="宋体" w:hint="eastAsia"/>
          <w:bCs/>
          <w:sz w:val="24"/>
          <w:szCs w:val="24"/>
        </w:rPr>
        <w:t>重整</w:t>
      </w:r>
      <w:r>
        <w:rPr>
          <w:rFonts w:ascii="宋体" w:hAnsi="宋体"/>
          <w:bCs/>
          <w:sz w:val="24"/>
          <w:szCs w:val="24"/>
        </w:rPr>
        <w:t>一案，并于同日指定</w:t>
      </w:r>
      <w:r>
        <w:rPr>
          <w:rFonts w:ascii="宋体" w:hAnsi="宋体" w:hint="eastAsia"/>
          <w:bCs/>
          <w:sz w:val="24"/>
          <w:szCs w:val="24"/>
        </w:rPr>
        <w:t>苏</w:t>
      </w:r>
      <w:r>
        <w:rPr>
          <w:rFonts w:ascii="宋体" w:hAnsi="宋体"/>
          <w:bCs/>
          <w:color w:val="000000"/>
          <w:sz w:val="24"/>
          <w:szCs w:val="24"/>
        </w:rPr>
        <w:t>州</w:t>
      </w:r>
      <w:r>
        <w:rPr>
          <w:rFonts w:ascii="宋体" w:hAnsi="宋体" w:hint="eastAsia"/>
          <w:bCs/>
          <w:color w:val="000000"/>
          <w:sz w:val="24"/>
          <w:szCs w:val="24"/>
        </w:rPr>
        <w:t>达亿装饰工程有限公司</w:t>
      </w:r>
      <w:r>
        <w:rPr>
          <w:rFonts w:ascii="宋体" w:hAnsi="宋体" w:hint="eastAsia"/>
          <w:bCs/>
          <w:sz w:val="24"/>
          <w:szCs w:val="24"/>
        </w:rPr>
        <w:t>清算组</w:t>
      </w:r>
      <w:r>
        <w:rPr>
          <w:rFonts w:ascii="宋体" w:hAnsi="宋体"/>
          <w:bCs/>
          <w:sz w:val="24"/>
          <w:szCs w:val="24"/>
        </w:rPr>
        <w:t>担任</w:t>
      </w:r>
      <w:r>
        <w:rPr>
          <w:rFonts w:ascii="宋体" w:hAnsi="宋体" w:hint="eastAsia"/>
          <w:bCs/>
          <w:color w:val="000000"/>
          <w:sz w:val="24"/>
          <w:szCs w:val="24"/>
        </w:rPr>
        <w:t>达亿装饰</w:t>
      </w:r>
      <w:r>
        <w:rPr>
          <w:rFonts w:ascii="宋体" w:hAnsi="宋体"/>
          <w:bCs/>
          <w:color w:val="000000"/>
          <w:sz w:val="24"/>
          <w:szCs w:val="24"/>
        </w:rPr>
        <w:t>的管理人</w:t>
      </w:r>
      <w:r>
        <w:rPr>
          <w:rFonts w:ascii="宋体" w:hAnsi="宋体"/>
          <w:bCs/>
          <w:sz w:val="24"/>
          <w:szCs w:val="24"/>
        </w:rPr>
        <w:t>（以下简称</w:t>
      </w:r>
      <w:r>
        <w:rPr>
          <w:rFonts w:ascii="宋体" w:hAnsi="宋体"/>
          <w:bCs/>
          <w:sz w:val="24"/>
          <w:szCs w:val="24"/>
        </w:rPr>
        <w:t>“</w:t>
      </w:r>
      <w:r>
        <w:rPr>
          <w:rFonts w:ascii="宋体" w:hAnsi="宋体" w:hint="eastAsia"/>
          <w:bCs/>
          <w:sz w:val="24"/>
          <w:szCs w:val="24"/>
        </w:rPr>
        <w:t>管</w:t>
      </w:r>
      <w:r>
        <w:rPr>
          <w:rFonts w:ascii="宋体" w:hAnsi="宋体"/>
          <w:bCs/>
          <w:sz w:val="24"/>
          <w:szCs w:val="24"/>
        </w:rPr>
        <w:t>理人</w:t>
      </w:r>
      <w:r>
        <w:rPr>
          <w:rFonts w:ascii="宋体" w:hAnsi="宋体"/>
          <w:bCs/>
          <w:sz w:val="24"/>
          <w:szCs w:val="24"/>
        </w:rPr>
        <w:t>”</w:t>
      </w:r>
      <w:r>
        <w:rPr>
          <w:rFonts w:ascii="宋体" w:hAnsi="宋体"/>
          <w:bCs/>
          <w:sz w:val="24"/>
          <w:szCs w:val="24"/>
        </w:rPr>
        <w:t>）。目前，管理人</w:t>
      </w:r>
      <w:r>
        <w:rPr>
          <w:rFonts w:ascii="宋体" w:hAnsi="宋体" w:hint="eastAsia"/>
          <w:bCs/>
          <w:sz w:val="24"/>
          <w:szCs w:val="24"/>
        </w:rPr>
        <w:t>已对达亿装饰</w:t>
      </w:r>
      <w:r>
        <w:rPr>
          <w:rFonts w:ascii="宋体" w:hAnsi="宋体"/>
          <w:bCs/>
          <w:sz w:val="24"/>
          <w:szCs w:val="24"/>
        </w:rPr>
        <w:t>名下的资产及负债等情况</w:t>
      </w:r>
      <w:r>
        <w:rPr>
          <w:rFonts w:ascii="宋体" w:hAnsi="宋体" w:hint="eastAsia"/>
          <w:bCs/>
          <w:sz w:val="24"/>
          <w:szCs w:val="24"/>
        </w:rPr>
        <w:t>进行</w:t>
      </w:r>
      <w:r>
        <w:rPr>
          <w:rFonts w:ascii="宋体" w:hAnsi="宋体"/>
          <w:bCs/>
          <w:sz w:val="24"/>
          <w:szCs w:val="24"/>
        </w:rPr>
        <w:t>全面</w:t>
      </w:r>
      <w:r>
        <w:rPr>
          <w:rFonts w:ascii="宋体" w:hAnsi="宋体" w:hint="eastAsia"/>
          <w:bCs/>
          <w:sz w:val="24"/>
          <w:szCs w:val="24"/>
        </w:rPr>
        <w:t>梳理</w:t>
      </w:r>
      <w:r>
        <w:rPr>
          <w:rFonts w:ascii="宋体" w:hAnsi="宋体"/>
          <w:bCs/>
          <w:sz w:val="24"/>
          <w:szCs w:val="24"/>
        </w:rPr>
        <w:t>，为最大</w:t>
      </w:r>
      <w:r>
        <w:rPr>
          <w:rFonts w:ascii="宋体" w:hAnsi="宋体" w:hint="eastAsia"/>
          <w:bCs/>
          <w:sz w:val="24"/>
          <w:szCs w:val="24"/>
        </w:rPr>
        <w:t>限</w:t>
      </w:r>
      <w:r>
        <w:rPr>
          <w:rFonts w:ascii="宋体" w:hAnsi="宋体"/>
          <w:bCs/>
          <w:sz w:val="24"/>
          <w:szCs w:val="24"/>
        </w:rPr>
        <w:t>度地保护有关各方的合法权益，充分实现</w:t>
      </w:r>
      <w:r>
        <w:rPr>
          <w:rFonts w:ascii="宋体" w:hAnsi="宋体" w:hint="eastAsia"/>
          <w:bCs/>
          <w:sz w:val="24"/>
          <w:szCs w:val="24"/>
        </w:rPr>
        <w:t>资产</w:t>
      </w:r>
      <w:r>
        <w:rPr>
          <w:rFonts w:ascii="宋体" w:hAnsi="宋体"/>
          <w:bCs/>
          <w:sz w:val="24"/>
          <w:szCs w:val="24"/>
        </w:rPr>
        <w:t>价值，</w:t>
      </w:r>
      <w:r>
        <w:rPr>
          <w:rFonts w:ascii="宋体" w:hAnsi="宋体" w:hint="eastAsia"/>
          <w:bCs/>
          <w:sz w:val="24"/>
          <w:szCs w:val="24"/>
        </w:rPr>
        <w:t>管</w:t>
      </w:r>
      <w:r>
        <w:rPr>
          <w:rFonts w:ascii="宋体" w:hAnsi="宋体"/>
          <w:bCs/>
          <w:sz w:val="24"/>
          <w:szCs w:val="24"/>
        </w:rPr>
        <w:t>理人现面向社会公开</w:t>
      </w:r>
      <w:r>
        <w:rPr>
          <w:rFonts w:ascii="宋体" w:hAnsi="宋体" w:hint="eastAsia"/>
          <w:bCs/>
          <w:sz w:val="24"/>
          <w:szCs w:val="24"/>
        </w:rPr>
        <w:t>推介达亿装饰资产并招募投资人</w:t>
      </w:r>
      <w:r>
        <w:rPr>
          <w:rFonts w:ascii="宋体" w:hAnsi="宋体"/>
          <w:bCs/>
          <w:sz w:val="24"/>
          <w:szCs w:val="24"/>
        </w:rPr>
        <w:t>。具体如下：</w:t>
      </w:r>
    </w:p>
    <w:p w:rsidR="009F32F6" w:rsidRDefault="009F32F6">
      <w:pPr>
        <w:spacing w:line="360" w:lineRule="auto"/>
        <w:ind w:firstLineChars="200" w:firstLine="480"/>
        <w:rPr>
          <w:rFonts w:ascii="宋体" w:hAnsi="宋体"/>
          <w:bCs/>
          <w:sz w:val="24"/>
          <w:szCs w:val="24"/>
        </w:rPr>
      </w:pPr>
      <w:bookmarkStart w:id="0" w:name="_GoBack"/>
      <w:bookmarkEnd w:id="0"/>
    </w:p>
    <w:p w:rsidR="009F32F6" w:rsidRDefault="00E51748">
      <w:pPr>
        <w:spacing w:line="360" w:lineRule="auto"/>
        <w:ind w:firstLineChars="200" w:firstLine="480"/>
        <w:rPr>
          <w:rFonts w:ascii="宋体" w:hAnsi="宋体"/>
          <w:bCs/>
          <w:sz w:val="24"/>
          <w:szCs w:val="24"/>
        </w:rPr>
      </w:pPr>
      <w:r>
        <w:rPr>
          <w:rFonts w:ascii="宋体" w:hAnsi="宋体" w:hint="eastAsia"/>
          <w:bCs/>
          <w:noProof/>
          <w:sz w:val="24"/>
          <w:szCs w:val="24"/>
        </w:rPr>
        <w:drawing>
          <wp:inline distT="0" distB="0" distL="114300" distR="114300">
            <wp:extent cx="5271135" cy="3618230"/>
            <wp:effectExtent l="0" t="0" r="5715" b="1270"/>
            <wp:docPr id="6" name="图片 6" descr="631107831866134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631107831866134523"/>
                    <pic:cNvPicPr>
                      <a:picLocks noChangeAspect="1"/>
                    </pic:cNvPicPr>
                  </pic:nvPicPr>
                  <pic:blipFill>
                    <a:blip r:embed="rId7"/>
                    <a:stretch>
                      <a:fillRect/>
                    </a:stretch>
                  </pic:blipFill>
                  <pic:spPr>
                    <a:xfrm>
                      <a:off x="0" y="0"/>
                      <a:ext cx="5271135" cy="3618230"/>
                    </a:xfrm>
                    <a:prstGeom prst="rect">
                      <a:avLst/>
                    </a:prstGeom>
                  </pic:spPr>
                </pic:pic>
              </a:graphicData>
            </a:graphic>
          </wp:inline>
        </w:drawing>
      </w:r>
    </w:p>
    <w:p w:rsidR="009F32F6" w:rsidRDefault="00E51748">
      <w:pPr>
        <w:spacing w:line="360" w:lineRule="auto"/>
        <w:ind w:firstLineChars="200" w:firstLine="482"/>
        <w:outlineLvl w:val="0"/>
        <w:rPr>
          <w:rFonts w:ascii="宋体" w:hAnsi="宋体" w:cs="Helvetica"/>
          <w:b/>
          <w:bCs/>
          <w:color w:val="3E3E3E"/>
          <w:kern w:val="0"/>
          <w:sz w:val="24"/>
          <w:szCs w:val="24"/>
        </w:rPr>
      </w:pPr>
      <w:r>
        <w:rPr>
          <w:rFonts w:ascii="宋体" w:hAnsi="宋体" w:cs="Helvetica" w:hint="eastAsia"/>
          <w:b/>
          <w:bCs/>
          <w:color w:val="3E3E3E"/>
          <w:kern w:val="0"/>
          <w:sz w:val="24"/>
          <w:szCs w:val="24"/>
        </w:rPr>
        <w:t>（二）主要资产</w:t>
      </w:r>
    </w:p>
    <w:p w:rsidR="009F32F6" w:rsidRDefault="00E51748">
      <w:pPr>
        <w:spacing w:line="360" w:lineRule="auto"/>
        <w:ind w:firstLineChars="200" w:firstLine="480"/>
        <w:rPr>
          <w:rFonts w:ascii="宋体" w:hAnsi="宋体"/>
          <w:sz w:val="24"/>
          <w:szCs w:val="24"/>
        </w:rPr>
      </w:pPr>
      <w:r>
        <w:rPr>
          <w:rFonts w:ascii="宋体" w:hAnsi="宋体"/>
          <w:bCs/>
          <w:sz w:val="24"/>
          <w:szCs w:val="24"/>
        </w:rPr>
        <w:t>1</w:t>
      </w:r>
      <w:r>
        <w:rPr>
          <w:rFonts w:ascii="宋体" w:hAnsi="宋体" w:hint="eastAsia"/>
          <w:bCs/>
          <w:sz w:val="24"/>
          <w:szCs w:val="24"/>
        </w:rPr>
        <w:t>、</w:t>
      </w:r>
      <w:r>
        <w:rPr>
          <w:rFonts w:ascii="宋体" w:hAnsi="宋体"/>
          <w:bCs/>
          <w:sz w:val="24"/>
          <w:szCs w:val="24"/>
        </w:rPr>
        <w:t>土地使用权：产权证号为</w:t>
      </w:r>
      <w:r>
        <w:rPr>
          <w:rFonts w:ascii="宋体" w:hAnsi="宋体"/>
          <w:bCs/>
          <w:sz w:val="24"/>
          <w:szCs w:val="24"/>
        </w:rPr>
        <w:t>“</w:t>
      </w:r>
      <w:r>
        <w:rPr>
          <w:rFonts w:ascii="宋体" w:hAnsi="宋体" w:hint="eastAsia"/>
          <w:bCs/>
          <w:sz w:val="24"/>
          <w:szCs w:val="24"/>
        </w:rPr>
        <w:t>吴国</w:t>
      </w:r>
      <w:r>
        <w:rPr>
          <w:rFonts w:ascii="宋体" w:hAnsi="宋体"/>
          <w:bCs/>
          <w:sz w:val="24"/>
          <w:szCs w:val="24"/>
        </w:rPr>
        <w:t>用（</w:t>
      </w:r>
      <w:r>
        <w:rPr>
          <w:rFonts w:ascii="宋体" w:hAnsi="宋体"/>
          <w:bCs/>
          <w:sz w:val="24"/>
          <w:szCs w:val="24"/>
        </w:rPr>
        <w:t>2015</w:t>
      </w:r>
      <w:r>
        <w:rPr>
          <w:rFonts w:ascii="宋体" w:hAnsi="宋体"/>
          <w:bCs/>
          <w:sz w:val="24"/>
          <w:szCs w:val="24"/>
        </w:rPr>
        <w:t>）第</w:t>
      </w:r>
      <w:r>
        <w:rPr>
          <w:rFonts w:ascii="宋体" w:hAnsi="宋体" w:hint="eastAsia"/>
          <w:bCs/>
          <w:sz w:val="24"/>
          <w:szCs w:val="24"/>
        </w:rPr>
        <w:t>1010351</w:t>
      </w:r>
      <w:r>
        <w:rPr>
          <w:rFonts w:ascii="宋体" w:hAnsi="宋体"/>
          <w:bCs/>
          <w:sz w:val="24"/>
          <w:szCs w:val="24"/>
        </w:rPr>
        <w:t>号</w:t>
      </w:r>
      <w:r>
        <w:rPr>
          <w:rFonts w:ascii="宋体" w:hAnsi="宋体"/>
          <w:bCs/>
          <w:sz w:val="24"/>
          <w:szCs w:val="24"/>
        </w:rPr>
        <w:t>”</w:t>
      </w:r>
      <w:r>
        <w:rPr>
          <w:rFonts w:ascii="宋体" w:hAnsi="宋体"/>
          <w:bCs/>
          <w:sz w:val="24"/>
          <w:szCs w:val="24"/>
        </w:rPr>
        <w:t>。坐落于苏</w:t>
      </w:r>
      <w:r>
        <w:rPr>
          <w:rFonts w:ascii="宋体" w:hAnsi="宋体"/>
          <w:bCs/>
          <w:sz w:val="24"/>
          <w:szCs w:val="24"/>
        </w:rPr>
        <w:lastRenderedPageBreak/>
        <w:t>州市</w:t>
      </w:r>
      <w:r>
        <w:rPr>
          <w:rFonts w:ascii="宋体" w:hAnsi="宋体" w:hint="eastAsia"/>
          <w:bCs/>
          <w:sz w:val="24"/>
          <w:szCs w:val="24"/>
        </w:rPr>
        <w:t>吴江区同里镇屯南村屯村东路</w:t>
      </w:r>
      <w:r>
        <w:rPr>
          <w:rFonts w:ascii="宋体" w:hAnsi="宋体" w:hint="eastAsia"/>
          <w:bCs/>
          <w:sz w:val="24"/>
          <w:szCs w:val="24"/>
        </w:rPr>
        <w:t>9</w:t>
      </w:r>
      <w:r>
        <w:rPr>
          <w:rFonts w:ascii="宋体" w:hAnsi="宋体" w:hint="eastAsia"/>
          <w:bCs/>
          <w:sz w:val="24"/>
          <w:szCs w:val="24"/>
        </w:rPr>
        <w:t>号</w:t>
      </w:r>
      <w:r>
        <w:rPr>
          <w:rFonts w:ascii="宋体" w:hAnsi="宋体"/>
          <w:bCs/>
          <w:sz w:val="24"/>
          <w:szCs w:val="24"/>
        </w:rPr>
        <w:t>，土地使用权面积</w:t>
      </w:r>
      <w:r>
        <w:rPr>
          <w:rFonts w:ascii="宋体" w:hAnsi="宋体" w:hint="eastAsia"/>
          <w:bCs/>
          <w:sz w:val="24"/>
          <w:szCs w:val="24"/>
        </w:rPr>
        <w:t>为</w:t>
      </w:r>
      <w:r>
        <w:rPr>
          <w:rFonts w:ascii="宋体" w:hAnsi="宋体" w:hint="eastAsia"/>
          <w:bCs/>
          <w:sz w:val="24"/>
          <w:szCs w:val="24"/>
        </w:rPr>
        <w:t>22241</w:t>
      </w:r>
      <w:r>
        <w:rPr>
          <w:rFonts w:ascii="宋体" w:hAnsi="宋体"/>
          <w:bCs/>
          <w:sz w:val="24"/>
          <w:szCs w:val="24"/>
        </w:rPr>
        <w:t>.3</w:t>
      </w:r>
      <w:r>
        <w:rPr>
          <w:rFonts w:ascii="宋体" w:hAnsi="宋体"/>
          <w:bCs/>
          <w:sz w:val="24"/>
          <w:szCs w:val="24"/>
        </w:rPr>
        <w:t>平方米</w:t>
      </w:r>
      <w:r>
        <w:rPr>
          <w:rFonts w:ascii="宋体" w:hAnsi="宋体" w:hint="eastAsia"/>
          <w:bCs/>
          <w:sz w:val="24"/>
          <w:szCs w:val="24"/>
        </w:rPr>
        <w:t>（合</w:t>
      </w:r>
      <w:r>
        <w:rPr>
          <w:rFonts w:ascii="宋体" w:hAnsi="宋体" w:hint="eastAsia"/>
          <w:bCs/>
          <w:sz w:val="24"/>
          <w:szCs w:val="24"/>
        </w:rPr>
        <w:t>33.36</w:t>
      </w:r>
      <w:r>
        <w:rPr>
          <w:rFonts w:ascii="宋体" w:hAnsi="宋体" w:hint="eastAsia"/>
          <w:bCs/>
          <w:sz w:val="24"/>
          <w:szCs w:val="24"/>
        </w:rPr>
        <w:t>亩）</w:t>
      </w:r>
      <w:r>
        <w:rPr>
          <w:rFonts w:ascii="宋体" w:hAnsi="宋体"/>
          <w:bCs/>
          <w:sz w:val="24"/>
          <w:szCs w:val="24"/>
        </w:rPr>
        <w:t>，土地用途为工业用地，权利类型为国有建设用地使用权，使用年限</w:t>
      </w:r>
      <w:r>
        <w:rPr>
          <w:rFonts w:ascii="宋体" w:hAnsi="宋体" w:hint="eastAsia"/>
          <w:bCs/>
          <w:sz w:val="24"/>
          <w:szCs w:val="24"/>
        </w:rPr>
        <w:t>至</w:t>
      </w:r>
      <w:r>
        <w:rPr>
          <w:rFonts w:ascii="宋体" w:hAnsi="宋体"/>
          <w:bCs/>
          <w:sz w:val="24"/>
          <w:szCs w:val="24"/>
        </w:rPr>
        <w:t>2061</w:t>
      </w:r>
      <w:r>
        <w:rPr>
          <w:rFonts w:ascii="宋体" w:hAnsi="宋体"/>
          <w:bCs/>
          <w:sz w:val="24"/>
          <w:szCs w:val="24"/>
        </w:rPr>
        <w:t>年</w:t>
      </w:r>
      <w:r>
        <w:rPr>
          <w:rFonts w:ascii="宋体" w:hAnsi="宋体"/>
          <w:bCs/>
          <w:sz w:val="24"/>
          <w:szCs w:val="24"/>
        </w:rPr>
        <w:t>2</w:t>
      </w:r>
      <w:r>
        <w:rPr>
          <w:rFonts w:ascii="宋体" w:hAnsi="宋体"/>
          <w:bCs/>
          <w:sz w:val="24"/>
          <w:szCs w:val="24"/>
        </w:rPr>
        <w:t>月</w:t>
      </w:r>
      <w:r>
        <w:rPr>
          <w:rFonts w:ascii="宋体" w:hAnsi="宋体"/>
          <w:bCs/>
          <w:sz w:val="24"/>
          <w:szCs w:val="24"/>
        </w:rPr>
        <w:t>15</w:t>
      </w:r>
      <w:r>
        <w:rPr>
          <w:rFonts w:ascii="宋体" w:hAnsi="宋体"/>
          <w:bCs/>
          <w:sz w:val="24"/>
          <w:szCs w:val="24"/>
        </w:rPr>
        <w:t>日。宗地红线内</w:t>
      </w:r>
      <w:r>
        <w:rPr>
          <w:rFonts w:ascii="宋体" w:hAnsi="宋体"/>
          <w:sz w:val="24"/>
          <w:szCs w:val="24"/>
        </w:rPr>
        <w:t>“</w:t>
      </w:r>
      <w:r>
        <w:rPr>
          <w:rFonts w:ascii="宋体" w:hAnsi="宋体"/>
          <w:sz w:val="24"/>
          <w:szCs w:val="24"/>
        </w:rPr>
        <w:t>五通一平</w:t>
      </w:r>
      <w:r>
        <w:rPr>
          <w:rFonts w:ascii="宋体" w:hAnsi="宋体"/>
          <w:sz w:val="24"/>
          <w:szCs w:val="24"/>
        </w:rPr>
        <w:t>”</w:t>
      </w:r>
      <w:r>
        <w:rPr>
          <w:rFonts w:ascii="宋体" w:hAnsi="宋体"/>
          <w:sz w:val="24"/>
          <w:szCs w:val="24"/>
        </w:rPr>
        <w:t>。</w:t>
      </w:r>
    </w:p>
    <w:p w:rsidR="009F32F6" w:rsidRDefault="00E51748">
      <w:pPr>
        <w:spacing w:line="360" w:lineRule="auto"/>
        <w:ind w:firstLineChars="200" w:firstLine="480"/>
        <w:rPr>
          <w:rFonts w:ascii="宋体" w:hAnsi="宋体"/>
          <w:sz w:val="24"/>
          <w:szCs w:val="24"/>
        </w:rPr>
      </w:pPr>
      <w:r>
        <w:rPr>
          <w:rFonts w:ascii="宋体" w:hAnsi="宋体"/>
          <w:sz w:val="24"/>
          <w:szCs w:val="24"/>
        </w:rPr>
        <w:t>2</w:t>
      </w:r>
      <w:r>
        <w:rPr>
          <w:rFonts w:ascii="宋体" w:hAnsi="宋体" w:hint="eastAsia"/>
          <w:sz w:val="24"/>
          <w:szCs w:val="24"/>
        </w:rPr>
        <w:t>、</w:t>
      </w:r>
      <w:r>
        <w:rPr>
          <w:rFonts w:ascii="宋体" w:hAnsi="宋体"/>
          <w:sz w:val="24"/>
          <w:szCs w:val="24"/>
        </w:rPr>
        <w:t>房产：所有权证号</w:t>
      </w:r>
      <w:r>
        <w:rPr>
          <w:rFonts w:ascii="宋体" w:hAnsi="宋体"/>
          <w:sz w:val="24"/>
          <w:szCs w:val="24"/>
        </w:rPr>
        <w:t>“25076539</w:t>
      </w:r>
      <w:r>
        <w:rPr>
          <w:rFonts w:ascii="宋体" w:hAnsi="宋体"/>
          <w:sz w:val="24"/>
          <w:szCs w:val="24"/>
        </w:rPr>
        <w:t>号</w:t>
      </w:r>
      <w:r>
        <w:rPr>
          <w:rFonts w:ascii="宋体" w:hAnsi="宋体"/>
          <w:sz w:val="24"/>
          <w:szCs w:val="24"/>
        </w:rPr>
        <w:t>”</w:t>
      </w:r>
      <w:r>
        <w:rPr>
          <w:rFonts w:ascii="宋体" w:hAnsi="宋体" w:hint="eastAsia"/>
          <w:sz w:val="24"/>
          <w:szCs w:val="24"/>
        </w:rPr>
        <w:t>的地块上现建有</w:t>
      </w:r>
      <w:r>
        <w:rPr>
          <w:rFonts w:ascii="宋体" w:hAnsi="宋体" w:hint="eastAsia"/>
          <w:sz w:val="24"/>
          <w:szCs w:val="24"/>
        </w:rPr>
        <w:t>3</w:t>
      </w:r>
      <w:r>
        <w:rPr>
          <w:rFonts w:ascii="宋体" w:hAnsi="宋体" w:hint="eastAsia"/>
          <w:sz w:val="24"/>
          <w:szCs w:val="24"/>
        </w:rPr>
        <w:t>幢有证房屋，分别为：</w:t>
      </w:r>
      <w:r>
        <w:rPr>
          <w:rFonts w:ascii="宋体" w:hAnsi="宋体" w:hint="eastAsia"/>
          <w:sz w:val="24"/>
          <w:szCs w:val="24"/>
        </w:rPr>
        <w:t>5</w:t>
      </w:r>
      <w:r>
        <w:rPr>
          <w:rFonts w:ascii="宋体" w:hAnsi="宋体" w:hint="eastAsia"/>
          <w:sz w:val="24"/>
          <w:szCs w:val="24"/>
        </w:rPr>
        <w:t>层钢混结构宿舍楼，面积为</w:t>
      </w:r>
      <w:r>
        <w:rPr>
          <w:rFonts w:ascii="宋体" w:hAnsi="宋体"/>
          <w:sz w:val="24"/>
          <w:szCs w:val="24"/>
        </w:rPr>
        <w:t>6344.44</w:t>
      </w:r>
      <w:r>
        <w:rPr>
          <w:rFonts w:ascii="宋体" w:hAnsi="宋体" w:hint="eastAsia"/>
          <w:sz w:val="24"/>
          <w:szCs w:val="24"/>
        </w:rPr>
        <w:t>平方米，</w:t>
      </w:r>
      <w:r>
        <w:rPr>
          <w:rFonts w:ascii="宋体" w:hAnsi="宋体" w:hint="eastAsia"/>
          <w:sz w:val="24"/>
          <w:szCs w:val="24"/>
        </w:rPr>
        <w:t>3</w:t>
      </w:r>
      <w:r>
        <w:rPr>
          <w:rFonts w:ascii="宋体" w:hAnsi="宋体" w:hint="eastAsia"/>
          <w:sz w:val="24"/>
          <w:szCs w:val="24"/>
        </w:rPr>
        <w:t>层钢混结构办公楼，面积为</w:t>
      </w:r>
      <w:r>
        <w:rPr>
          <w:rFonts w:ascii="宋体" w:hAnsi="宋体"/>
          <w:sz w:val="24"/>
          <w:szCs w:val="24"/>
        </w:rPr>
        <w:t>3198.08</w:t>
      </w:r>
      <w:r>
        <w:rPr>
          <w:rFonts w:ascii="宋体" w:hAnsi="宋体" w:hint="eastAsia"/>
          <w:sz w:val="24"/>
          <w:szCs w:val="24"/>
        </w:rPr>
        <w:t>平方米，</w:t>
      </w:r>
      <w:r>
        <w:rPr>
          <w:rFonts w:ascii="宋体" w:hAnsi="宋体" w:hint="eastAsia"/>
          <w:sz w:val="24"/>
          <w:szCs w:val="24"/>
        </w:rPr>
        <w:t>1</w:t>
      </w:r>
      <w:r>
        <w:rPr>
          <w:rFonts w:ascii="宋体" w:hAnsi="宋体" w:hint="eastAsia"/>
          <w:sz w:val="24"/>
          <w:szCs w:val="24"/>
        </w:rPr>
        <w:t>层钢混结构车间用房，面积为</w:t>
      </w:r>
      <w:r>
        <w:rPr>
          <w:rFonts w:ascii="宋体" w:hAnsi="宋体"/>
          <w:sz w:val="24"/>
          <w:szCs w:val="24"/>
        </w:rPr>
        <w:t>3805.38</w:t>
      </w:r>
      <w:r>
        <w:rPr>
          <w:rFonts w:ascii="宋体" w:hAnsi="宋体" w:hint="eastAsia"/>
          <w:sz w:val="24"/>
          <w:szCs w:val="24"/>
        </w:rPr>
        <w:t>平方米</w:t>
      </w:r>
      <w:r>
        <w:rPr>
          <w:rFonts w:ascii="宋体" w:hAnsi="宋体"/>
          <w:sz w:val="24"/>
          <w:szCs w:val="24"/>
        </w:rPr>
        <w:t>。</w:t>
      </w:r>
      <w:r>
        <w:rPr>
          <w:rFonts w:hint="eastAsia"/>
          <w:sz w:val="24"/>
          <w:szCs w:val="24"/>
        </w:rPr>
        <w:t>除此之外，达亿装饰位于同里镇屯南村的厂区尚有无证建筑物</w:t>
      </w:r>
      <w:r>
        <w:rPr>
          <w:sz w:val="24"/>
          <w:szCs w:val="24"/>
        </w:rPr>
        <w:t>16569.90</w:t>
      </w:r>
      <w:r>
        <w:rPr>
          <w:rFonts w:hint="eastAsia"/>
          <w:sz w:val="24"/>
          <w:szCs w:val="24"/>
        </w:rPr>
        <w:t>平方米（建筑</w:t>
      </w:r>
      <w:r>
        <w:rPr>
          <w:sz w:val="24"/>
          <w:szCs w:val="24"/>
        </w:rPr>
        <w:t>面积</w:t>
      </w:r>
      <w:r>
        <w:rPr>
          <w:rFonts w:hint="eastAsia"/>
          <w:sz w:val="24"/>
          <w:szCs w:val="24"/>
        </w:rPr>
        <w:t>为评估机构现场</w:t>
      </w:r>
      <w:r>
        <w:rPr>
          <w:sz w:val="24"/>
          <w:szCs w:val="24"/>
        </w:rPr>
        <w:t>实测</w:t>
      </w:r>
      <w:r>
        <w:rPr>
          <w:rFonts w:hint="eastAsia"/>
          <w:sz w:val="24"/>
          <w:szCs w:val="24"/>
        </w:rPr>
        <w:t>所得），其中包括门庭</w:t>
      </w:r>
      <w:r>
        <w:rPr>
          <w:rFonts w:hint="eastAsia"/>
          <w:sz w:val="24"/>
          <w:szCs w:val="24"/>
        </w:rPr>
        <w:t>1</w:t>
      </w:r>
      <w:r>
        <w:rPr>
          <w:rFonts w:hint="eastAsia"/>
          <w:sz w:val="24"/>
          <w:szCs w:val="24"/>
        </w:rPr>
        <w:t>个，仓库</w:t>
      </w:r>
      <w:r>
        <w:rPr>
          <w:rFonts w:hint="eastAsia"/>
          <w:sz w:val="24"/>
          <w:szCs w:val="24"/>
        </w:rPr>
        <w:t>2</w:t>
      </w:r>
      <w:r>
        <w:rPr>
          <w:rFonts w:hint="eastAsia"/>
          <w:sz w:val="24"/>
          <w:szCs w:val="24"/>
        </w:rPr>
        <w:t>个，附房</w:t>
      </w:r>
      <w:r>
        <w:rPr>
          <w:rFonts w:hint="eastAsia"/>
          <w:sz w:val="24"/>
          <w:szCs w:val="24"/>
        </w:rPr>
        <w:t>2</w:t>
      </w:r>
      <w:r>
        <w:rPr>
          <w:rFonts w:hint="eastAsia"/>
          <w:sz w:val="24"/>
          <w:szCs w:val="24"/>
        </w:rPr>
        <w:t>个，厕所、配电房各</w:t>
      </w:r>
      <w:r>
        <w:rPr>
          <w:rFonts w:hint="eastAsia"/>
          <w:sz w:val="24"/>
          <w:szCs w:val="24"/>
        </w:rPr>
        <w:t>1</w:t>
      </w:r>
      <w:r>
        <w:rPr>
          <w:rFonts w:hint="eastAsia"/>
          <w:sz w:val="24"/>
          <w:szCs w:val="24"/>
        </w:rPr>
        <w:t>个。除上述建筑物外，还有部分装修、构筑物和绿化</w:t>
      </w:r>
      <w:r>
        <w:rPr>
          <w:rFonts w:ascii="宋体" w:hAnsi="宋体" w:hint="eastAsia"/>
          <w:sz w:val="24"/>
          <w:szCs w:val="24"/>
        </w:rPr>
        <w:t>。</w:t>
      </w:r>
    </w:p>
    <w:p w:rsidR="009F32F6" w:rsidRDefault="00E51748">
      <w:pPr>
        <w:spacing w:line="360" w:lineRule="auto"/>
        <w:ind w:firstLineChars="200" w:firstLine="480"/>
        <w:rPr>
          <w:sz w:val="24"/>
          <w:szCs w:val="24"/>
        </w:rPr>
      </w:pPr>
      <w:r>
        <w:rPr>
          <w:rFonts w:ascii="宋体" w:hAnsi="宋体"/>
          <w:bCs/>
          <w:sz w:val="24"/>
          <w:szCs w:val="24"/>
        </w:rPr>
        <w:t>3</w:t>
      </w:r>
      <w:r>
        <w:rPr>
          <w:rFonts w:ascii="宋体" w:hAnsi="宋体" w:hint="eastAsia"/>
          <w:bCs/>
          <w:sz w:val="24"/>
          <w:szCs w:val="24"/>
        </w:rPr>
        <w:t>、商标。</w:t>
      </w:r>
      <w:r>
        <w:rPr>
          <w:rFonts w:hint="eastAsia"/>
          <w:sz w:val="24"/>
          <w:szCs w:val="24"/>
        </w:rPr>
        <w:t>达亿装饰持有以下注册</w:t>
      </w:r>
      <w:r>
        <w:rPr>
          <w:sz w:val="24"/>
          <w:szCs w:val="24"/>
        </w:rPr>
        <w:t>商标</w:t>
      </w:r>
      <w:r>
        <w:rPr>
          <w:rFonts w:hint="eastAsia"/>
          <w:sz w:val="24"/>
          <w:szCs w:val="24"/>
        </w:rPr>
        <w:t>，该等注册商标的商标权人名称系达亿装饰变更</w:t>
      </w:r>
      <w:r>
        <w:rPr>
          <w:rFonts w:hint="eastAsia"/>
          <w:sz w:val="24"/>
          <w:szCs w:val="24"/>
        </w:rPr>
        <w:t>公司名称前的名称“苏州市亿达净化实验室设备有限公司”：</w:t>
      </w:r>
    </w:p>
    <w:tbl>
      <w:tblPr>
        <w:tblW w:w="8364" w:type="dxa"/>
        <w:jc w:val="center"/>
        <w:shd w:val="clear" w:color="FFFFFF" w:fill="auto"/>
        <w:tblLayout w:type="fixed"/>
        <w:tblLook w:val="04A0" w:firstRow="1" w:lastRow="0" w:firstColumn="1" w:lastColumn="0" w:noHBand="0" w:noVBand="1"/>
      </w:tblPr>
      <w:tblGrid>
        <w:gridCol w:w="877"/>
        <w:gridCol w:w="1453"/>
        <w:gridCol w:w="1524"/>
        <w:gridCol w:w="2268"/>
        <w:gridCol w:w="2242"/>
      </w:tblGrid>
      <w:tr w:rsidR="009F32F6">
        <w:trPr>
          <w:trHeight w:val="288"/>
          <w:jc w:val="center"/>
        </w:trPr>
        <w:tc>
          <w:tcPr>
            <w:tcW w:w="877" w:type="dxa"/>
            <w:tcBorders>
              <w:top w:val="single" w:sz="6" w:space="0" w:color="auto"/>
              <w:left w:val="single" w:sz="6" w:space="0" w:color="auto"/>
              <w:bottom w:val="single" w:sz="6" w:space="0" w:color="auto"/>
              <w:right w:val="single" w:sz="6" w:space="0" w:color="auto"/>
              <w:tl2br w:val="nil"/>
              <w:tr2bl w:val="nil"/>
            </w:tcBorders>
            <w:shd w:val="clear" w:color="FFFFFF" w:fill="D0CECE"/>
            <w:vAlign w:val="center"/>
          </w:tcPr>
          <w:p w:rsidR="009F32F6" w:rsidRDefault="00E51748">
            <w:pPr>
              <w:adjustRightInd w:val="0"/>
              <w:snapToGrid w:val="0"/>
              <w:jc w:val="center"/>
              <w:rPr>
                <w:rFonts w:ascii="楷体" w:eastAsia="Kaiti SC" w:hAnsi="楷体" w:cs="DengXian"/>
                <w:b/>
                <w:bCs/>
                <w:sz w:val="24"/>
                <w:szCs w:val="24"/>
              </w:rPr>
            </w:pPr>
            <w:r>
              <w:rPr>
                <w:rFonts w:ascii="楷体" w:eastAsia="Kaiti SC" w:hAnsi="楷体" w:cs="DengXian"/>
                <w:b/>
                <w:bCs/>
                <w:sz w:val="24"/>
                <w:szCs w:val="24"/>
              </w:rPr>
              <w:t>序号</w:t>
            </w:r>
          </w:p>
        </w:tc>
        <w:tc>
          <w:tcPr>
            <w:tcW w:w="1453" w:type="dxa"/>
            <w:tcBorders>
              <w:top w:val="single" w:sz="6" w:space="0" w:color="auto"/>
              <w:left w:val="single" w:sz="6" w:space="0" w:color="auto"/>
              <w:bottom w:val="single" w:sz="6" w:space="0" w:color="auto"/>
              <w:right w:val="single" w:sz="6" w:space="0" w:color="auto"/>
              <w:tl2br w:val="nil"/>
              <w:tr2bl w:val="nil"/>
            </w:tcBorders>
            <w:shd w:val="clear" w:color="FFFFFF" w:fill="D0CECE"/>
            <w:vAlign w:val="center"/>
          </w:tcPr>
          <w:p w:rsidR="009F32F6" w:rsidRDefault="00E51748">
            <w:pPr>
              <w:adjustRightInd w:val="0"/>
              <w:snapToGrid w:val="0"/>
              <w:jc w:val="center"/>
              <w:rPr>
                <w:rFonts w:ascii="楷体" w:eastAsia="Kaiti SC" w:hAnsi="楷体" w:cs="DengXian"/>
                <w:b/>
                <w:bCs/>
                <w:sz w:val="24"/>
                <w:szCs w:val="24"/>
              </w:rPr>
            </w:pPr>
            <w:r>
              <w:rPr>
                <w:rFonts w:ascii="楷体" w:eastAsia="Kaiti SC" w:hAnsi="楷体" w:cs="DengXian"/>
                <w:b/>
                <w:bCs/>
                <w:sz w:val="24"/>
                <w:szCs w:val="24"/>
              </w:rPr>
              <w:t>申请</w:t>
            </w:r>
            <w:r>
              <w:rPr>
                <w:rFonts w:ascii="楷体" w:eastAsia="Kaiti SC" w:hAnsi="楷体" w:cs="DengXian"/>
                <w:b/>
                <w:bCs/>
                <w:sz w:val="24"/>
                <w:szCs w:val="24"/>
              </w:rPr>
              <w:t>/</w:t>
            </w:r>
            <w:r>
              <w:rPr>
                <w:rFonts w:ascii="楷体" w:eastAsia="Kaiti SC" w:hAnsi="楷体" w:cs="DengXian"/>
                <w:b/>
                <w:bCs/>
                <w:sz w:val="24"/>
                <w:szCs w:val="24"/>
              </w:rPr>
              <w:t>注册号</w:t>
            </w:r>
          </w:p>
        </w:tc>
        <w:tc>
          <w:tcPr>
            <w:tcW w:w="1524" w:type="dxa"/>
            <w:tcBorders>
              <w:top w:val="single" w:sz="6" w:space="0" w:color="auto"/>
              <w:left w:val="single" w:sz="6" w:space="0" w:color="auto"/>
              <w:bottom w:val="single" w:sz="6" w:space="0" w:color="auto"/>
              <w:right w:val="single" w:sz="6" w:space="0" w:color="auto"/>
              <w:tl2br w:val="nil"/>
              <w:tr2bl w:val="nil"/>
            </w:tcBorders>
            <w:shd w:val="clear" w:color="FFFFFF" w:fill="D0CECE"/>
            <w:vAlign w:val="center"/>
          </w:tcPr>
          <w:p w:rsidR="009F32F6" w:rsidRDefault="00E51748">
            <w:pPr>
              <w:adjustRightInd w:val="0"/>
              <w:snapToGrid w:val="0"/>
              <w:jc w:val="center"/>
              <w:rPr>
                <w:rFonts w:ascii="楷体" w:eastAsia="Kaiti SC" w:hAnsi="楷体" w:cs="DengXian"/>
                <w:b/>
                <w:bCs/>
                <w:sz w:val="24"/>
                <w:szCs w:val="24"/>
              </w:rPr>
            </w:pPr>
            <w:r>
              <w:rPr>
                <w:rFonts w:ascii="楷体" w:eastAsia="Kaiti SC" w:hAnsi="楷体" w:cs="DengXian"/>
                <w:b/>
                <w:bCs/>
                <w:sz w:val="24"/>
                <w:szCs w:val="24"/>
              </w:rPr>
              <w:t>国际分类</w:t>
            </w:r>
          </w:p>
        </w:tc>
        <w:tc>
          <w:tcPr>
            <w:tcW w:w="2268" w:type="dxa"/>
            <w:tcBorders>
              <w:top w:val="single" w:sz="6" w:space="0" w:color="auto"/>
              <w:left w:val="single" w:sz="6" w:space="0" w:color="auto"/>
              <w:bottom w:val="single" w:sz="6" w:space="0" w:color="auto"/>
              <w:right w:val="single" w:sz="6" w:space="0" w:color="auto"/>
              <w:tl2br w:val="nil"/>
              <w:tr2bl w:val="nil"/>
            </w:tcBorders>
            <w:shd w:val="clear" w:color="FFFFFF" w:fill="D0CECE"/>
            <w:vAlign w:val="center"/>
          </w:tcPr>
          <w:p w:rsidR="009F32F6" w:rsidRDefault="00E51748">
            <w:pPr>
              <w:adjustRightInd w:val="0"/>
              <w:snapToGrid w:val="0"/>
              <w:jc w:val="center"/>
              <w:rPr>
                <w:rFonts w:ascii="楷体" w:eastAsia="Kaiti SC" w:hAnsi="楷体" w:cs="DengXian"/>
                <w:b/>
                <w:bCs/>
                <w:sz w:val="24"/>
                <w:szCs w:val="24"/>
              </w:rPr>
            </w:pPr>
            <w:r>
              <w:rPr>
                <w:rFonts w:ascii="楷体" w:eastAsia="Kaiti SC" w:hAnsi="楷体" w:cs="DengXian"/>
                <w:b/>
                <w:bCs/>
                <w:sz w:val="24"/>
                <w:szCs w:val="24"/>
              </w:rPr>
              <w:t>商标名称</w:t>
            </w:r>
          </w:p>
        </w:tc>
        <w:tc>
          <w:tcPr>
            <w:tcW w:w="2242" w:type="dxa"/>
            <w:tcBorders>
              <w:top w:val="single" w:sz="6" w:space="0" w:color="auto"/>
              <w:left w:val="single" w:sz="6" w:space="0" w:color="auto"/>
              <w:bottom w:val="single" w:sz="6" w:space="0" w:color="auto"/>
              <w:right w:val="single" w:sz="6" w:space="0" w:color="auto"/>
              <w:tl2br w:val="nil"/>
              <w:tr2bl w:val="nil"/>
            </w:tcBorders>
            <w:shd w:val="clear" w:color="FFFFFF" w:fill="D0CECE"/>
            <w:vAlign w:val="center"/>
          </w:tcPr>
          <w:p w:rsidR="009F32F6" w:rsidRDefault="00E51748">
            <w:pPr>
              <w:adjustRightInd w:val="0"/>
              <w:snapToGrid w:val="0"/>
              <w:jc w:val="center"/>
              <w:rPr>
                <w:rFonts w:ascii="楷体" w:eastAsia="Kaiti SC" w:hAnsi="楷体" w:cs="DengXian"/>
                <w:b/>
                <w:bCs/>
                <w:sz w:val="24"/>
                <w:szCs w:val="24"/>
              </w:rPr>
            </w:pPr>
            <w:r>
              <w:rPr>
                <w:rFonts w:ascii="楷体" w:eastAsia="Kaiti SC" w:hAnsi="楷体" w:cs="DengXian"/>
                <w:b/>
                <w:bCs/>
                <w:sz w:val="24"/>
                <w:szCs w:val="24"/>
              </w:rPr>
              <w:t>商标状态</w:t>
            </w:r>
          </w:p>
        </w:tc>
      </w:tr>
      <w:tr w:rsidR="009F32F6">
        <w:trPr>
          <w:trHeight w:val="288"/>
          <w:jc w:val="center"/>
        </w:trPr>
        <w:tc>
          <w:tcPr>
            <w:tcW w:w="877" w:type="dxa"/>
            <w:tcBorders>
              <w:top w:val="single" w:sz="6" w:space="0" w:color="auto"/>
              <w:left w:val="single" w:sz="6" w:space="0" w:color="auto"/>
              <w:bottom w:val="single" w:sz="6" w:space="0" w:color="auto"/>
              <w:right w:val="single" w:sz="6" w:space="0" w:color="auto"/>
              <w:tl2br w:val="nil"/>
              <w:tr2bl w:val="nil"/>
            </w:tcBorders>
            <w:shd w:val="clear" w:color="FFFFFF" w:fill="auto"/>
          </w:tcPr>
          <w:p w:rsidR="009F32F6" w:rsidRDefault="00E51748">
            <w:pPr>
              <w:adjustRightInd w:val="0"/>
              <w:snapToGrid w:val="0"/>
              <w:jc w:val="right"/>
              <w:rPr>
                <w:rFonts w:ascii="楷体" w:eastAsia="Kaiti SC" w:hAnsi="楷体" w:cs="DengXian"/>
                <w:sz w:val="24"/>
                <w:szCs w:val="24"/>
              </w:rPr>
            </w:pPr>
            <w:r>
              <w:rPr>
                <w:rFonts w:ascii="楷体" w:eastAsia="Kaiti SC" w:hAnsi="楷体" w:cs="DengXian"/>
                <w:sz w:val="24"/>
                <w:szCs w:val="24"/>
              </w:rPr>
              <w:t>1</w:t>
            </w:r>
          </w:p>
        </w:tc>
        <w:tc>
          <w:tcPr>
            <w:tcW w:w="1453" w:type="dxa"/>
            <w:tcBorders>
              <w:top w:val="single" w:sz="6" w:space="0" w:color="auto"/>
              <w:left w:val="single" w:sz="6" w:space="0" w:color="auto"/>
              <w:bottom w:val="single" w:sz="6" w:space="0" w:color="auto"/>
              <w:right w:val="single" w:sz="6" w:space="0" w:color="auto"/>
              <w:tl2br w:val="nil"/>
              <w:tr2bl w:val="nil"/>
            </w:tcBorders>
            <w:shd w:val="clear" w:color="FFFFFF" w:fill="auto"/>
          </w:tcPr>
          <w:p w:rsidR="009F32F6" w:rsidRDefault="00E51748">
            <w:pPr>
              <w:adjustRightInd w:val="0"/>
              <w:snapToGrid w:val="0"/>
              <w:jc w:val="right"/>
              <w:rPr>
                <w:rFonts w:ascii="楷体" w:eastAsia="Kaiti SC" w:hAnsi="楷体" w:cs="DengXian"/>
                <w:sz w:val="24"/>
                <w:szCs w:val="24"/>
              </w:rPr>
            </w:pPr>
            <w:r>
              <w:rPr>
                <w:rFonts w:ascii="楷体" w:eastAsia="Kaiti SC" w:hAnsi="楷体" w:cs="DengXian"/>
                <w:sz w:val="24"/>
                <w:szCs w:val="24"/>
              </w:rPr>
              <w:t>4380728</w:t>
            </w:r>
          </w:p>
        </w:tc>
        <w:tc>
          <w:tcPr>
            <w:tcW w:w="1524" w:type="dxa"/>
            <w:tcBorders>
              <w:top w:val="single" w:sz="6" w:space="0" w:color="auto"/>
              <w:left w:val="single" w:sz="6" w:space="0" w:color="auto"/>
              <w:bottom w:val="single" w:sz="6" w:space="0" w:color="auto"/>
              <w:right w:val="single" w:sz="6" w:space="0" w:color="auto"/>
              <w:tl2br w:val="nil"/>
              <w:tr2bl w:val="nil"/>
            </w:tcBorders>
            <w:shd w:val="clear" w:color="FFFFFF" w:fill="auto"/>
            <w:vAlign w:val="center"/>
          </w:tcPr>
          <w:p w:rsidR="009F32F6" w:rsidRDefault="00E51748">
            <w:pPr>
              <w:adjustRightInd w:val="0"/>
              <w:snapToGrid w:val="0"/>
              <w:jc w:val="center"/>
              <w:rPr>
                <w:rFonts w:ascii="楷体" w:eastAsia="Kaiti SC" w:hAnsi="楷体" w:cs="DengXian"/>
                <w:sz w:val="24"/>
                <w:szCs w:val="24"/>
              </w:rPr>
            </w:pPr>
            <w:r>
              <w:rPr>
                <w:rFonts w:ascii="楷体" w:eastAsia="Kaiti SC" w:hAnsi="楷体" w:cs="DengXian"/>
                <w:sz w:val="24"/>
                <w:szCs w:val="24"/>
              </w:rPr>
              <w:t>11</w:t>
            </w:r>
          </w:p>
        </w:tc>
        <w:tc>
          <w:tcPr>
            <w:tcW w:w="2268" w:type="dxa"/>
            <w:tcBorders>
              <w:top w:val="single" w:sz="6" w:space="0" w:color="auto"/>
              <w:left w:val="single" w:sz="6" w:space="0" w:color="auto"/>
              <w:bottom w:val="single" w:sz="6" w:space="0" w:color="auto"/>
              <w:right w:val="single" w:sz="6" w:space="0" w:color="auto"/>
              <w:tl2br w:val="nil"/>
              <w:tr2bl w:val="nil"/>
            </w:tcBorders>
            <w:shd w:val="clear" w:color="FFFFFF" w:fill="auto"/>
          </w:tcPr>
          <w:p w:rsidR="009F32F6" w:rsidRDefault="00E51748">
            <w:pPr>
              <w:adjustRightInd w:val="0"/>
              <w:snapToGrid w:val="0"/>
              <w:rPr>
                <w:rFonts w:ascii="楷体" w:eastAsia="Kaiti SC" w:hAnsi="楷体" w:cs="DengXian"/>
                <w:sz w:val="24"/>
                <w:szCs w:val="24"/>
              </w:rPr>
            </w:pPr>
            <w:r>
              <w:rPr>
                <w:rFonts w:ascii="楷体" w:eastAsia="Kaiti SC" w:hAnsi="楷体" w:cs="DengXian"/>
                <w:sz w:val="24"/>
                <w:szCs w:val="24"/>
              </w:rPr>
              <w:t>苏亿达</w:t>
            </w:r>
          </w:p>
        </w:tc>
        <w:tc>
          <w:tcPr>
            <w:tcW w:w="2242" w:type="dxa"/>
            <w:tcBorders>
              <w:top w:val="single" w:sz="6" w:space="0" w:color="auto"/>
              <w:left w:val="single" w:sz="6" w:space="0" w:color="auto"/>
              <w:bottom w:val="single" w:sz="6" w:space="0" w:color="auto"/>
              <w:right w:val="single" w:sz="6" w:space="0" w:color="auto"/>
              <w:tl2br w:val="nil"/>
              <w:tr2bl w:val="nil"/>
            </w:tcBorders>
            <w:shd w:val="clear" w:color="FFFFFF" w:fill="auto"/>
            <w:vAlign w:val="center"/>
          </w:tcPr>
          <w:p w:rsidR="009F32F6" w:rsidRDefault="00E51748">
            <w:pPr>
              <w:adjustRightInd w:val="0"/>
              <w:snapToGrid w:val="0"/>
              <w:rPr>
                <w:rFonts w:ascii="楷体" w:eastAsia="Kaiti SC" w:hAnsi="楷体" w:cs="DengXian"/>
                <w:sz w:val="24"/>
                <w:szCs w:val="24"/>
              </w:rPr>
            </w:pPr>
            <w:r>
              <w:rPr>
                <w:rFonts w:ascii="楷体" w:eastAsia="Kaiti SC" w:hAnsi="楷体" w:cs="DengXian"/>
                <w:sz w:val="24"/>
                <w:szCs w:val="24"/>
              </w:rPr>
              <w:t>注册</w:t>
            </w:r>
          </w:p>
        </w:tc>
      </w:tr>
      <w:tr w:rsidR="009F32F6">
        <w:trPr>
          <w:trHeight w:val="288"/>
          <w:jc w:val="center"/>
        </w:trPr>
        <w:tc>
          <w:tcPr>
            <w:tcW w:w="877" w:type="dxa"/>
            <w:tcBorders>
              <w:top w:val="single" w:sz="6" w:space="0" w:color="auto"/>
              <w:left w:val="single" w:sz="6" w:space="0" w:color="auto"/>
              <w:bottom w:val="single" w:sz="6" w:space="0" w:color="auto"/>
              <w:right w:val="single" w:sz="6" w:space="0" w:color="auto"/>
              <w:tl2br w:val="nil"/>
              <w:tr2bl w:val="nil"/>
            </w:tcBorders>
            <w:shd w:val="clear" w:color="FFFFFF" w:fill="auto"/>
          </w:tcPr>
          <w:p w:rsidR="009F32F6" w:rsidRDefault="00E51748">
            <w:pPr>
              <w:adjustRightInd w:val="0"/>
              <w:snapToGrid w:val="0"/>
              <w:jc w:val="right"/>
              <w:rPr>
                <w:rFonts w:ascii="楷体" w:eastAsia="Kaiti SC" w:hAnsi="楷体" w:cs="DengXian"/>
                <w:sz w:val="24"/>
                <w:szCs w:val="24"/>
              </w:rPr>
            </w:pPr>
            <w:r>
              <w:rPr>
                <w:rFonts w:ascii="楷体" w:eastAsia="Kaiti SC" w:hAnsi="楷体" w:cs="DengXian"/>
                <w:sz w:val="24"/>
                <w:szCs w:val="24"/>
              </w:rPr>
              <w:t>2</w:t>
            </w:r>
          </w:p>
        </w:tc>
        <w:tc>
          <w:tcPr>
            <w:tcW w:w="1453" w:type="dxa"/>
            <w:tcBorders>
              <w:top w:val="single" w:sz="6" w:space="0" w:color="auto"/>
              <w:left w:val="single" w:sz="6" w:space="0" w:color="auto"/>
              <w:bottom w:val="single" w:sz="6" w:space="0" w:color="auto"/>
              <w:right w:val="single" w:sz="6" w:space="0" w:color="auto"/>
              <w:tl2br w:val="nil"/>
              <w:tr2bl w:val="nil"/>
            </w:tcBorders>
            <w:shd w:val="clear" w:color="FFFFFF" w:fill="auto"/>
          </w:tcPr>
          <w:p w:rsidR="009F32F6" w:rsidRDefault="00E51748">
            <w:pPr>
              <w:adjustRightInd w:val="0"/>
              <w:snapToGrid w:val="0"/>
              <w:jc w:val="right"/>
              <w:rPr>
                <w:rFonts w:ascii="楷体" w:eastAsia="Kaiti SC" w:hAnsi="楷体" w:cs="DengXian"/>
                <w:sz w:val="24"/>
                <w:szCs w:val="24"/>
              </w:rPr>
            </w:pPr>
            <w:r>
              <w:rPr>
                <w:rFonts w:ascii="楷体" w:eastAsia="Kaiti SC" w:hAnsi="楷体" w:cs="DengXian"/>
                <w:sz w:val="24"/>
                <w:szCs w:val="24"/>
              </w:rPr>
              <w:t>4380727</w:t>
            </w:r>
          </w:p>
        </w:tc>
        <w:tc>
          <w:tcPr>
            <w:tcW w:w="1524" w:type="dxa"/>
            <w:tcBorders>
              <w:top w:val="single" w:sz="6" w:space="0" w:color="auto"/>
              <w:left w:val="single" w:sz="6" w:space="0" w:color="auto"/>
              <w:bottom w:val="single" w:sz="6" w:space="0" w:color="auto"/>
              <w:right w:val="single" w:sz="6" w:space="0" w:color="auto"/>
              <w:tl2br w:val="nil"/>
              <w:tr2bl w:val="nil"/>
            </w:tcBorders>
            <w:shd w:val="clear" w:color="FFFFFF" w:fill="auto"/>
            <w:vAlign w:val="center"/>
          </w:tcPr>
          <w:p w:rsidR="009F32F6" w:rsidRDefault="00E51748">
            <w:pPr>
              <w:adjustRightInd w:val="0"/>
              <w:snapToGrid w:val="0"/>
              <w:jc w:val="center"/>
              <w:rPr>
                <w:rFonts w:ascii="楷体" w:eastAsia="Kaiti SC" w:hAnsi="楷体" w:cs="DengXian"/>
                <w:sz w:val="24"/>
                <w:szCs w:val="24"/>
              </w:rPr>
            </w:pPr>
            <w:r>
              <w:rPr>
                <w:rFonts w:ascii="楷体" w:eastAsia="Kaiti SC" w:hAnsi="楷体" w:cs="DengXian"/>
                <w:sz w:val="24"/>
                <w:szCs w:val="24"/>
              </w:rPr>
              <w:t>20</w:t>
            </w:r>
          </w:p>
        </w:tc>
        <w:tc>
          <w:tcPr>
            <w:tcW w:w="2268" w:type="dxa"/>
            <w:tcBorders>
              <w:top w:val="single" w:sz="6" w:space="0" w:color="auto"/>
              <w:left w:val="single" w:sz="6" w:space="0" w:color="auto"/>
              <w:bottom w:val="single" w:sz="6" w:space="0" w:color="auto"/>
              <w:right w:val="single" w:sz="6" w:space="0" w:color="auto"/>
              <w:tl2br w:val="nil"/>
              <w:tr2bl w:val="nil"/>
            </w:tcBorders>
            <w:shd w:val="clear" w:color="FFFFFF" w:fill="auto"/>
          </w:tcPr>
          <w:p w:rsidR="009F32F6" w:rsidRDefault="00E51748">
            <w:pPr>
              <w:adjustRightInd w:val="0"/>
              <w:snapToGrid w:val="0"/>
              <w:rPr>
                <w:rFonts w:ascii="楷体" w:eastAsia="Kaiti SC" w:hAnsi="楷体" w:cs="DengXian"/>
                <w:sz w:val="24"/>
                <w:szCs w:val="24"/>
              </w:rPr>
            </w:pPr>
            <w:r>
              <w:rPr>
                <w:rFonts w:ascii="楷体" w:eastAsia="Kaiti SC" w:hAnsi="楷体" w:cs="DengXian"/>
                <w:sz w:val="24"/>
                <w:szCs w:val="24"/>
              </w:rPr>
              <w:t>苏亿达</w:t>
            </w:r>
          </w:p>
        </w:tc>
        <w:tc>
          <w:tcPr>
            <w:tcW w:w="2242" w:type="dxa"/>
            <w:tcBorders>
              <w:top w:val="single" w:sz="6" w:space="0" w:color="auto"/>
              <w:left w:val="single" w:sz="6" w:space="0" w:color="auto"/>
              <w:bottom w:val="single" w:sz="6" w:space="0" w:color="auto"/>
              <w:right w:val="single" w:sz="6" w:space="0" w:color="auto"/>
              <w:tl2br w:val="nil"/>
              <w:tr2bl w:val="nil"/>
            </w:tcBorders>
            <w:shd w:val="clear" w:color="FFFFFF" w:fill="auto"/>
            <w:vAlign w:val="center"/>
          </w:tcPr>
          <w:p w:rsidR="009F32F6" w:rsidRDefault="00E51748">
            <w:pPr>
              <w:adjustRightInd w:val="0"/>
              <w:snapToGrid w:val="0"/>
              <w:rPr>
                <w:rFonts w:ascii="楷体" w:eastAsia="Kaiti SC" w:hAnsi="楷体" w:cs="DengXian"/>
                <w:sz w:val="24"/>
                <w:szCs w:val="24"/>
              </w:rPr>
            </w:pPr>
            <w:r>
              <w:rPr>
                <w:rFonts w:ascii="楷体" w:eastAsia="Kaiti SC" w:hAnsi="楷体" w:cs="DengXian"/>
                <w:sz w:val="24"/>
                <w:szCs w:val="24"/>
              </w:rPr>
              <w:t>注册</w:t>
            </w:r>
          </w:p>
        </w:tc>
      </w:tr>
    </w:tbl>
    <w:p w:rsidR="009F32F6" w:rsidRDefault="00E51748">
      <w:pPr>
        <w:widowControl/>
        <w:spacing w:line="360" w:lineRule="auto"/>
        <w:ind w:firstLineChars="200" w:firstLine="482"/>
        <w:jc w:val="left"/>
        <w:outlineLvl w:val="0"/>
        <w:rPr>
          <w:rFonts w:ascii="宋体" w:hAnsi="宋体" w:cs="Helvetica"/>
          <w:b/>
          <w:bCs/>
          <w:color w:val="3E3E3E"/>
          <w:kern w:val="0"/>
          <w:sz w:val="24"/>
          <w:szCs w:val="24"/>
        </w:rPr>
      </w:pPr>
      <w:r>
        <w:rPr>
          <w:rFonts w:ascii="宋体" w:hAnsi="宋体" w:cs="Helvetica" w:hint="eastAsia"/>
          <w:b/>
          <w:bCs/>
          <w:color w:val="3E3E3E"/>
          <w:kern w:val="0"/>
          <w:sz w:val="24"/>
          <w:szCs w:val="24"/>
        </w:rPr>
        <w:t>（三）项目</w:t>
      </w:r>
      <w:r>
        <w:rPr>
          <w:rFonts w:ascii="宋体" w:hAnsi="宋体" w:cs="Helvetica"/>
          <w:b/>
          <w:bCs/>
          <w:color w:val="3E3E3E"/>
          <w:kern w:val="0"/>
          <w:sz w:val="24"/>
          <w:szCs w:val="24"/>
        </w:rPr>
        <w:t>优势</w:t>
      </w:r>
    </w:p>
    <w:p w:rsidR="009F32F6" w:rsidRDefault="00E51748">
      <w:pPr>
        <w:widowControl/>
        <w:spacing w:line="360" w:lineRule="auto"/>
        <w:ind w:firstLineChars="200" w:firstLine="480"/>
        <w:jc w:val="left"/>
        <w:rPr>
          <w:rFonts w:ascii="宋体" w:hAnsi="宋体" w:cs="MS Mincho"/>
          <w:color w:val="333333"/>
          <w:kern w:val="0"/>
          <w:sz w:val="24"/>
          <w:szCs w:val="24"/>
          <w:shd w:val="clear" w:color="auto" w:fill="FFFFFF"/>
        </w:rPr>
      </w:pPr>
      <w:r>
        <w:rPr>
          <w:rFonts w:ascii="宋体" w:hAnsi="宋体"/>
          <w:color w:val="3E3E3E"/>
          <w:kern w:val="0"/>
          <w:sz w:val="24"/>
          <w:szCs w:val="24"/>
        </w:rPr>
        <w:t>1</w:t>
      </w:r>
      <w:r>
        <w:rPr>
          <w:rFonts w:ascii="宋体" w:hAnsi="宋体" w:hint="eastAsia"/>
          <w:color w:val="3E3E3E"/>
          <w:kern w:val="0"/>
          <w:sz w:val="24"/>
          <w:szCs w:val="24"/>
        </w:rPr>
        <w:t>、</w:t>
      </w:r>
      <w:r>
        <w:rPr>
          <w:rFonts w:ascii="宋体" w:hAnsi="宋体" w:hint="eastAsia"/>
          <w:bCs/>
          <w:sz w:val="24"/>
          <w:szCs w:val="24"/>
        </w:rPr>
        <w:t>区位优势：项目位于历史文化古镇吴江同里镇，地处吴江经济技术产业开发区内，系</w:t>
      </w:r>
      <w:r>
        <w:rPr>
          <w:rFonts w:ascii="宋体" w:hAnsi="宋体" w:cs="MS Mincho"/>
          <w:color w:val="333333"/>
          <w:kern w:val="0"/>
          <w:sz w:val="24"/>
          <w:szCs w:val="24"/>
          <w:shd w:val="clear" w:color="auto" w:fill="FFFFFF"/>
        </w:rPr>
        <w:t>江浙</w:t>
      </w:r>
      <w:r>
        <w:rPr>
          <w:rFonts w:ascii="宋体" w:hAnsi="宋体" w:cs="MS Mincho" w:hint="eastAsia"/>
          <w:color w:val="333333"/>
          <w:kern w:val="0"/>
          <w:sz w:val="24"/>
          <w:szCs w:val="24"/>
          <w:shd w:val="clear" w:color="auto" w:fill="FFFFFF"/>
        </w:rPr>
        <w:t>沪</w:t>
      </w:r>
      <w:r>
        <w:rPr>
          <w:rFonts w:ascii="宋体" w:hAnsi="宋体" w:cs="MS Mincho"/>
          <w:color w:val="333333"/>
          <w:kern w:val="0"/>
          <w:sz w:val="24"/>
          <w:szCs w:val="24"/>
          <w:shd w:val="clear" w:color="auto" w:fill="FFFFFF"/>
        </w:rPr>
        <w:t>金三角腹地，是中国沿海和</w:t>
      </w:r>
      <w:r>
        <w:rPr>
          <w:rFonts w:ascii="宋体" w:hAnsi="宋体" w:cs="宋体"/>
          <w:color w:val="333333"/>
          <w:kern w:val="0"/>
          <w:sz w:val="24"/>
          <w:szCs w:val="24"/>
          <w:shd w:val="clear" w:color="auto" w:fill="FFFFFF"/>
        </w:rPr>
        <w:t>长</w:t>
      </w:r>
      <w:r>
        <w:rPr>
          <w:rFonts w:ascii="宋体" w:hAnsi="宋体" w:cs="MS Mincho"/>
          <w:color w:val="333333"/>
          <w:kern w:val="0"/>
          <w:sz w:val="24"/>
          <w:szCs w:val="24"/>
          <w:shd w:val="clear" w:color="auto" w:fill="FFFFFF"/>
        </w:rPr>
        <w:t>江三角洲</w:t>
      </w:r>
      <w:r>
        <w:rPr>
          <w:rFonts w:ascii="宋体" w:hAnsi="宋体" w:cs="宋体"/>
          <w:color w:val="333333"/>
          <w:kern w:val="0"/>
          <w:sz w:val="24"/>
          <w:szCs w:val="24"/>
          <w:shd w:val="clear" w:color="auto" w:fill="FFFFFF"/>
        </w:rPr>
        <w:t>经济</w:t>
      </w:r>
      <w:r>
        <w:rPr>
          <w:rFonts w:ascii="宋体" w:hAnsi="宋体" w:cs="MS Mincho"/>
          <w:color w:val="333333"/>
          <w:kern w:val="0"/>
          <w:sz w:val="24"/>
          <w:szCs w:val="24"/>
          <w:shd w:val="clear" w:color="auto" w:fill="FFFFFF"/>
        </w:rPr>
        <w:t>圈的中心区域。开</w:t>
      </w:r>
      <w:r>
        <w:rPr>
          <w:rFonts w:ascii="宋体" w:hAnsi="宋体" w:cs="宋体"/>
          <w:color w:val="333333"/>
          <w:kern w:val="0"/>
          <w:sz w:val="24"/>
          <w:szCs w:val="24"/>
          <w:shd w:val="clear" w:color="auto" w:fill="FFFFFF"/>
        </w:rPr>
        <w:t>发</w:t>
      </w:r>
      <w:r>
        <w:rPr>
          <w:rFonts w:ascii="宋体" w:hAnsi="宋体" w:cs="MS Mincho"/>
          <w:color w:val="333333"/>
          <w:kern w:val="0"/>
          <w:sz w:val="24"/>
          <w:szCs w:val="24"/>
          <w:shd w:val="clear" w:color="auto" w:fill="FFFFFF"/>
        </w:rPr>
        <w:t>区</w:t>
      </w:r>
      <w:r>
        <w:rPr>
          <w:rFonts w:ascii="宋体" w:hAnsi="宋体" w:cs="MS Mincho" w:hint="eastAsia"/>
          <w:color w:val="333333"/>
          <w:kern w:val="0"/>
          <w:sz w:val="24"/>
          <w:szCs w:val="24"/>
          <w:shd w:val="clear" w:color="auto" w:fill="FFFFFF"/>
        </w:rPr>
        <w:t>内</w:t>
      </w:r>
      <w:r>
        <w:rPr>
          <w:rFonts w:ascii="宋体" w:hAnsi="宋体" w:cs="MS Mincho"/>
          <w:color w:val="333333"/>
          <w:kern w:val="0"/>
          <w:sz w:val="24"/>
          <w:szCs w:val="24"/>
          <w:shd w:val="clear" w:color="auto" w:fill="FFFFFF"/>
        </w:rPr>
        <w:t>交通便捷，</w:t>
      </w:r>
      <w:r>
        <w:rPr>
          <w:rFonts w:ascii="宋体" w:hAnsi="宋体" w:cs="Arial"/>
          <w:color w:val="333333"/>
          <w:kern w:val="0"/>
          <w:sz w:val="24"/>
          <w:szCs w:val="24"/>
          <w:shd w:val="clear" w:color="auto" w:fill="FFFFFF"/>
        </w:rPr>
        <w:t>318</w:t>
      </w:r>
      <w:r>
        <w:rPr>
          <w:rFonts w:ascii="宋体" w:hAnsi="宋体" w:cs="MS Mincho"/>
          <w:color w:val="333333"/>
          <w:kern w:val="0"/>
          <w:sz w:val="24"/>
          <w:szCs w:val="24"/>
          <w:shd w:val="clear" w:color="auto" w:fill="FFFFFF"/>
        </w:rPr>
        <w:t>国道</w:t>
      </w:r>
      <w:r>
        <w:rPr>
          <w:rFonts w:ascii="宋体" w:hAnsi="宋体" w:cs="宋体"/>
          <w:color w:val="333333"/>
          <w:kern w:val="0"/>
          <w:sz w:val="24"/>
          <w:szCs w:val="24"/>
          <w:shd w:val="clear" w:color="auto" w:fill="FFFFFF"/>
        </w:rPr>
        <w:t>东</w:t>
      </w:r>
      <w:r>
        <w:rPr>
          <w:rFonts w:ascii="宋体" w:hAnsi="宋体" w:cs="MS Mincho"/>
          <w:color w:val="333333"/>
          <w:kern w:val="0"/>
          <w:sz w:val="24"/>
          <w:szCs w:val="24"/>
          <w:shd w:val="clear" w:color="auto" w:fill="FFFFFF"/>
        </w:rPr>
        <w:t>西横穿全境，</w:t>
      </w:r>
      <w:r>
        <w:rPr>
          <w:rFonts w:ascii="宋体" w:hAnsi="宋体" w:cs="宋体"/>
          <w:color w:val="333333"/>
          <w:kern w:val="0"/>
          <w:sz w:val="24"/>
          <w:szCs w:val="24"/>
          <w:shd w:val="clear" w:color="auto" w:fill="FFFFFF"/>
        </w:rPr>
        <w:t>苏</w:t>
      </w:r>
      <w:r>
        <w:rPr>
          <w:rFonts w:ascii="宋体" w:hAnsi="宋体" w:cs="MS Mincho"/>
          <w:color w:val="333333"/>
          <w:kern w:val="0"/>
          <w:sz w:val="24"/>
          <w:szCs w:val="24"/>
          <w:shd w:val="clear" w:color="auto" w:fill="FFFFFF"/>
        </w:rPr>
        <w:t>嘉杭高速公路、</w:t>
      </w:r>
      <w:r>
        <w:rPr>
          <w:rFonts w:ascii="宋体" w:hAnsi="宋体" w:cs="Arial"/>
          <w:color w:val="333333"/>
          <w:kern w:val="0"/>
          <w:sz w:val="24"/>
          <w:szCs w:val="24"/>
          <w:shd w:val="clear" w:color="auto" w:fill="FFFFFF"/>
        </w:rPr>
        <w:t>227</w:t>
      </w:r>
      <w:r>
        <w:rPr>
          <w:rFonts w:ascii="宋体" w:hAnsi="宋体" w:cs="MS Mincho"/>
          <w:color w:val="333333"/>
          <w:kern w:val="0"/>
          <w:sz w:val="24"/>
          <w:szCs w:val="24"/>
          <w:shd w:val="clear" w:color="auto" w:fill="FFFFFF"/>
        </w:rPr>
        <w:t>省道、</w:t>
      </w:r>
      <w:r>
        <w:rPr>
          <w:rFonts w:ascii="宋体" w:hAnsi="宋体" w:cs="宋体"/>
          <w:color w:val="333333"/>
          <w:kern w:val="0"/>
          <w:sz w:val="24"/>
          <w:szCs w:val="24"/>
          <w:shd w:val="clear" w:color="auto" w:fill="FFFFFF"/>
        </w:rPr>
        <w:t>苏</w:t>
      </w:r>
      <w:r>
        <w:rPr>
          <w:rFonts w:ascii="宋体" w:hAnsi="宋体" w:cs="MS Mincho"/>
          <w:color w:val="333333"/>
          <w:kern w:val="0"/>
          <w:sz w:val="24"/>
          <w:szCs w:val="24"/>
          <w:shd w:val="clear" w:color="auto" w:fill="FFFFFF"/>
        </w:rPr>
        <w:t>同黎一</w:t>
      </w:r>
      <w:r>
        <w:rPr>
          <w:rFonts w:ascii="宋体" w:hAnsi="宋体" w:cs="宋体"/>
          <w:color w:val="333333"/>
          <w:kern w:val="0"/>
          <w:sz w:val="24"/>
          <w:szCs w:val="24"/>
          <w:shd w:val="clear" w:color="auto" w:fill="FFFFFF"/>
        </w:rPr>
        <w:t>级</w:t>
      </w:r>
      <w:r>
        <w:rPr>
          <w:rFonts w:ascii="宋体" w:hAnsi="宋体" w:cs="MS Mincho"/>
          <w:color w:val="333333"/>
          <w:kern w:val="0"/>
          <w:sz w:val="24"/>
          <w:szCs w:val="24"/>
          <w:shd w:val="clear" w:color="auto" w:fill="FFFFFF"/>
        </w:rPr>
        <w:t>公路</w:t>
      </w:r>
      <w:r>
        <w:rPr>
          <w:rFonts w:ascii="宋体" w:hAnsi="宋体" w:cs="宋体" w:hint="eastAsia"/>
          <w:color w:val="333333"/>
          <w:kern w:val="0"/>
          <w:sz w:val="24"/>
          <w:szCs w:val="24"/>
          <w:shd w:val="clear" w:color="auto" w:fill="FFFFFF"/>
        </w:rPr>
        <w:t>贯穿其中</w:t>
      </w:r>
      <w:r>
        <w:rPr>
          <w:rFonts w:ascii="宋体" w:hAnsi="宋体" w:cs="MS Mincho" w:hint="eastAsia"/>
          <w:color w:val="333333"/>
          <w:kern w:val="0"/>
          <w:sz w:val="24"/>
          <w:szCs w:val="24"/>
          <w:shd w:val="clear" w:color="auto" w:fill="FFFFFF"/>
        </w:rPr>
        <w:t>。</w:t>
      </w:r>
    </w:p>
    <w:p w:rsidR="009F32F6" w:rsidRDefault="00E51748">
      <w:pPr>
        <w:widowControl/>
        <w:autoSpaceDE w:val="0"/>
        <w:autoSpaceDN w:val="0"/>
        <w:adjustRightInd w:val="0"/>
        <w:spacing w:line="360" w:lineRule="auto"/>
        <w:ind w:firstLineChars="200" w:firstLine="480"/>
        <w:jc w:val="left"/>
        <w:rPr>
          <w:rFonts w:ascii="宋体" w:hAnsi="宋体" w:cs="Times"/>
          <w:color w:val="000000"/>
          <w:kern w:val="0"/>
          <w:sz w:val="24"/>
          <w:szCs w:val="24"/>
        </w:rPr>
      </w:pPr>
      <w:r>
        <w:rPr>
          <w:rFonts w:ascii="宋体" w:hAnsi="宋体" w:hint="eastAsia"/>
          <w:color w:val="3E3E3E"/>
          <w:kern w:val="0"/>
          <w:sz w:val="24"/>
          <w:szCs w:val="24"/>
        </w:rPr>
        <w:t>2</w:t>
      </w:r>
      <w:r>
        <w:rPr>
          <w:rFonts w:ascii="宋体" w:hAnsi="宋体" w:hint="eastAsia"/>
          <w:color w:val="3E3E3E"/>
          <w:kern w:val="0"/>
          <w:sz w:val="24"/>
          <w:szCs w:val="24"/>
        </w:rPr>
        <w:t>、基础设施：厂区所属的开发区在供排水、用电、电讯方面设施完善，使用方便。道路等级以主干道为主，</w:t>
      </w:r>
      <w:r>
        <w:rPr>
          <w:rFonts w:ascii="宋体" w:hAnsi="宋体" w:cs="Times"/>
          <w:color w:val="000000"/>
          <w:kern w:val="0"/>
          <w:sz w:val="24"/>
          <w:szCs w:val="24"/>
        </w:rPr>
        <w:t>柏油、水泥路面保养维修状况较好，道路质量较优。区域内基本无交通噪音，污染物排放基本达标，污染治理状况较优。</w:t>
      </w:r>
    </w:p>
    <w:p w:rsidR="009F32F6" w:rsidRDefault="00E51748">
      <w:pPr>
        <w:widowControl/>
        <w:spacing w:line="360" w:lineRule="auto"/>
        <w:ind w:firstLineChars="200" w:firstLine="480"/>
        <w:rPr>
          <w:rFonts w:ascii="宋体" w:hAnsi="宋体"/>
          <w:color w:val="3E3E3E"/>
          <w:kern w:val="0"/>
          <w:sz w:val="24"/>
          <w:szCs w:val="24"/>
        </w:rPr>
      </w:pPr>
      <w:r>
        <w:rPr>
          <w:rFonts w:ascii="宋体" w:hAnsi="宋体" w:hint="eastAsia"/>
          <w:color w:val="3E3E3E"/>
          <w:kern w:val="0"/>
          <w:sz w:val="24"/>
          <w:szCs w:val="24"/>
        </w:rPr>
        <w:t>3</w:t>
      </w:r>
      <w:r>
        <w:rPr>
          <w:rFonts w:ascii="宋体" w:hAnsi="宋体" w:hint="eastAsia"/>
          <w:color w:val="3E3E3E"/>
          <w:kern w:val="0"/>
          <w:sz w:val="24"/>
          <w:szCs w:val="24"/>
        </w:rPr>
        <w:t>、项目</w:t>
      </w:r>
      <w:r>
        <w:rPr>
          <w:rFonts w:ascii="宋体" w:hAnsi="宋体" w:cs="Times"/>
          <w:color w:val="000000"/>
          <w:kern w:val="0"/>
          <w:sz w:val="24"/>
          <w:szCs w:val="24"/>
        </w:rPr>
        <w:t>相关附属物：</w:t>
      </w:r>
      <w:r>
        <w:rPr>
          <w:rFonts w:ascii="宋体" w:hAnsi="宋体" w:cs="Times" w:hint="eastAsia"/>
          <w:color w:val="000000"/>
          <w:kern w:val="0"/>
          <w:sz w:val="24"/>
          <w:szCs w:val="24"/>
        </w:rPr>
        <w:t>项目内</w:t>
      </w:r>
      <w:r>
        <w:rPr>
          <w:rFonts w:ascii="宋体" w:hAnsi="宋体" w:cs="Times"/>
          <w:color w:val="000000"/>
          <w:kern w:val="0"/>
          <w:sz w:val="24"/>
          <w:szCs w:val="24"/>
        </w:rPr>
        <w:t>地上建筑物及附属物设施、建筑物墙、屋架基本完好牢固，梁、板、柱、墙面、屋面基本完好，各种设施通畅，处于有效状态，维护使用状况较优。</w:t>
      </w:r>
      <w:r>
        <w:rPr>
          <w:rFonts w:ascii="宋体" w:hAnsi="宋体" w:cs="Times"/>
          <w:color w:val="000000"/>
          <w:kern w:val="0"/>
          <w:sz w:val="24"/>
          <w:szCs w:val="24"/>
        </w:rPr>
        <w:t xml:space="preserve"> </w:t>
      </w:r>
    </w:p>
    <w:p w:rsidR="009F32F6" w:rsidRDefault="00E51748">
      <w:pPr>
        <w:widowControl/>
        <w:autoSpaceDE w:val="0"/>
        <w:autoSpaceDN w:val="0"/>
        <w:adjustRightInd w:val="0"/>
        <w:spacing w:line="360" w:lineRule="auto"/>
        <w:ind w:firstLineChars="200" w:firstLine="480"/>
        <w:jc w:val="left"/>
        <w:rPr>
          <w:rFonts w:ascii="宋体" w:hAnsi="宋体" w:cs="Times"/>
          <w:color w:val="000000"/>
          <w:kern w:val="0"/>
          <w:sz w:val="24"/>
          <w:szCs w:val="24"/>
        </w:rPr>
      </w:pPr>
      <w:r>
        <w:rPr>
          <w:rFonts w:ascii="宋体" w:hAnsi="宋体" w:hint="eastAsia"/>
          <w:color w:val="000000"/>
          <w:kern w:val="0"/>
          <w:sz w:val="24"/>
          <w:szCs w:val="24"/>
        </w:rPr>
        <w:t>4</w:t>
      </w:r>
      <w:r>
        <w:rPr>
          <w:rFonts w:ascii="宋体" w:hAnsi="宋体" w:hint="eastAsia"/>
          <w:color w:val="000000"/>
          <w:kern w:val="0"/>
          <w:sz w:val="24"/>
          <w:szCs w:val="24"/>
        </w:rPr>
        <w:t>、产业</w:t>
      </w:r>
      <w:r>
        <w:rPr>
          <w:rFonts w:ascii="宋体" w:hAnsi="宋体" w:cs="Times"/>
          <w:color w:val="000000"/>
          <w:kern w:val="0"/>
          <w:sz w:val="24"/>
          <w:szCs w:val="24"/>
        </w:rPr>
        <w:t>聚集度</w:t>
      </w:r>
      <w:r>
        <w:rPr>
          <w:rFonts w:ascii="宋体" w:hAnsi="宋体" w:cs="Times" w:hint="eastAsia"/>
          <w:color w:val="000000"/>
          <w:kern w:val="0"/>
          <w:sz w:val="24"/>
          <w:szCs w:val="24"/>
        </w:rPr>
        <w:t>高：项目</w:t>
      </w:r>
      <w:r>
        <w:rPr>
          <w:rFonts w:ascii="宋体" w:hAnsi="宋体" w:cs="Times"/>
          <w:color w:val="000000"/>
          <w:kern w:val="0"/>
          <w:sz w:val="24"/>
          <w:szCs w:val="24"/>
        </w:rPr>
        <w:t>所在区域内有苏州华耀新材料科技有限公司、苏州市天方空调净化有限公司等多家</w:t>
      </w:r>
      <w:r>
        <w:rPr>
          <w:rFonts w:ascii="宋体" w:hAnsi="宋体" w:cs="Times" w:hint="eastAsia"/>
          <w:color w:val="000000"/>
          <w:kern w:val="0"/>
          <w:sz w:val="24"/>
          <w:szCs w:val="24"/>
        </w:rPr>
        <w:t>同类型</w:t>
      </w:r>
      <w:r>
        <w:rPr>
          <w:rFonts w:ascii="宋体" w:hAnsi="宋体" w:cs="Times"/>
          <w:color w:val="000000"/>
          <w:kern w:val="0"/>
          <w:sz w:val="24"/>
          <w:szCs w:val="24"/>
        </w:rPr>
        <w:t>工业企业，区域产业聚集</w:t>
      </w:r>
      <w:r>
        <w:rPr>
          <w:rFonts w:ascii="宋体" w:hAnsi="宋体" w:cs="Times" w:hint="eastAsia"/>
          <w:color w:val="000000"/>
          <w:kern w:val="0"/>
          <w:sz w:val="24"/>
          <w:szCs w:val="24"/>
        </w:rPr>
        <w:t>密度</w:t>
      </w:r>
      <w:r>
        <w:rPr>
          <w:rFonts w:ascii="宋体" w:hAnsi="宋体" w:cs="Times"/>
          <w:color w:val="000000"/>
          <w:kern w:val="0"/>
          <w:sz w:val="24"/>
          <w:szCs w:val="24"/>
        </w:rPr>
        <w:t>较</w:t>
      </w:r>
      <w:r>
        <w:rPr>
          <w:rFonts w:ascii="宋体" w:hAnsi="宋体" w:cs="Times" w:hint="eastAsia"/>
          <w:color w:val="000000"/>
          <w:kern w:val="0"/>
          <w:sz w:val="24"/>
          <w:szCs w:val="24"/>
        </w:rPr>
        <w:t>高</w:t>
      </w:r>
      <w:r>
        <w:rPr>
          <w:rFonts w:ascii="宋体" w:hAnsi="宋体" w:cs="Times"/>
          <w:color w:val="000000"/>
          <w:kern w:val="0"/>
          <w:sz w:val="24"/>
          <w:szCs w:val="24"/>
        </w:rPr>
        <w:t>。</w:t>
      </w:r>
      <w:r>
        <w:rPr>
          <w:rFonts w:ascii="宋体" w:hAnsi="宋体" w:cs="Times"/>
          <w:color w:val="000000"/>
          <w:kern w:val="0"/>
          <w:sz w:val="24"/>
          <w:szCs w:val="24"/>
        </w:rPr>
        <w:t xml:space="preserve"> </w:t>
      </w:r>
    </w:p>
    <w:p w:rsidR="009F32F6" w:rsidRDefault="009F32F6">
      <w:pPr>
        <w:widowControl/>
        <w:autoSpaceDE w:val="0"/>
        <w:autoSpaceDN w:val="0"/>
        <w:adjustRightInd w:val="0"/>
        <w:spacing w:line="360" w:lineRule="auto"/>
        <w:ind w:firstLineChars="200" w:firstLine="480"/>
        <w:jc w:val="left"/>
        <w:rPr>
          <w:rFonts w:ascii="宋体" w:hAnsi="宋体" w:cs="Times"/>
          <w:color w:val="000000"/>
          <w:kern w:val="0"/>
          <w:sz w:val="24"/>
          <w:szCs w:val="24"/>
        </w:rPr>
      </w:pPr>
    </w:p>
    <w:p w:rsidR="009F32F6" w:rsidRDefault="00E51748">
      <w:pPr>
        <w:widowControl/>
        <w:autoSpaceDE w:val="0"/>
        <w:autoSpaceDN w:val="0"/>
        <w:adjustRightInd w:val="0"/>
        <w:spacing w:line="360" w:lineRule="auto"/>
        <w:ind w:firstLineChars="200" w:firstLine="480"/>
        <w:jc w:val="left"/>
        <w:rPr>
          <w:rFonts w:ascii="宋体" w:hAnsi="宋体" w:cs="Times"/>
          <w:color w:val="000000"/>
          <w:kern w:val="0"/>
          <w:sz w:val="24"/>
          <w:szCs w:val="24"/>
        </w:rPr>
      </w:pPr>
      <w:r>
        <w:rPr>
          <w:rFonts w:ascii="宋体" w:hAnsi="宋体" w:cs="Times" w:hint="eastAsia"/>
          <w:noProof/>
          <w:color w:val="000000"/>
          <w:kern w:val="0"/>
          <w:sz w:val="24"/>
          <w:szCs w:val="24"/>
        </w:rPr>
        <w:lastRenderedPageBreak/>
        <w:drawing>
          <wp:inline distT="0" distB="0" distL="114300" distR="114300">
            <wp:extent cx="3477260" cy="2886710"/>
            <wp:effectExtent l="0" t="0" r="8890" b="8890"/>
            <wp:docPr id="7" name="图片 7" descr="663994760907535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663994760907535176"/>
                    <pic:cNvPicPr>
                      <a:picLocks noChangeAspect="1"/>
                    </pic:cNvPicPr>
                  </pic:nvPicPr>
                  <pic:blipFill>
                    <a:blip r:embed="rId8"/>
                    <a:stretch>
                      <a:fillRect/>
                    </a:stretch>
                  </pic:blipFill>
                  <pic:spPr>
                    <a:xfrm>
                      <a:off x="0" y="0"/>
                      <a:ext cx="3477260" cy="2886710"/>
                    </a:xfrm>
                    <a:prstGeom prst="rect">
                      <a:avLst/>
                    </a:prstGeom>
                  </pic:spPr>
                </pic:pic>
              </a:graphicData>
            </a:graphic>
          </wp:inline>
        </w:drawing>
      </w:r>
    </w:p>
    <w:p w:rsidR="009F32F6" w:rsidRDefault="009F32F6">
      <w:pPr>
        <w:widowControl/>
        <w:autoSpaceDE w:val="0"/>
        <w:autoSpaceDN w:val="0"/>
        <w:adjustRightInd w:val="0"/>
        <w:spacing w:line="360" w:lineRule="auto"/>
        <w:ind w:firstLineChars="200" w:firstLine="480"/>
        <w:jc w:val="left"/>
        <w:rPr>
          <w:rFonts w:ascii="宋体" w:hAnsi="宋体" w:cs="Times"/>
          <w:color w:val="000000"/>
          <w:kern w:val="0"/>
          <w:sz w:val="24"/>
          <w:szCs w:val="24"/>
        </w:rPr>
      </w:pPr>
    </w:p>
    <w:p w:rsidR="009F32F6" w:rsidRDefault="00E51748">
      <w:pPr>
        <w:spacing w:line="520" w:lineRule="exact"/>
        <w:ind w:firstLineChars="200" w:firstLine="482"/>
        <w:rPr>
          <w:rFonts w:ascii="宋体" w:hAnsi="宋体" w:cs="DengXian"/>
          <w:b/>
          <w:sz w:val="24"/>
          <w:szCs w:val="24"/>
        </w:rPr>
      </w:pPr>
      <w:r>
        <w:rPr>
          <w:rFonts w:ascii="宋体" w:hAnsi="宋体" w:cs="DengXian" w:hint="eastAsia"/>
          <w:b/>
          <w:sz w:val="24"/>
          <w:szCs w:val="24"/>
        </w:rPr>
        <w:t>（四）关于其他情况的说明</w:t>
      </w:r>
    </w:p>
    <w:p w:rsidR="009F32F6" w:rsidRDefault="00E51748">
      <w:pPr>
        <w:spacing w:line="520" w:lineRule="exact"/>
        <w:ind w:firstLineChars="200" w:firstLine="480"/>
        <w:rPr>
          <w:rFonts w:ascii="宋体" w:hAnsi="宋体" w:cs="DengXian"/>
          <w:sz w:val="24"/>
          <w:szCs w:val="24"/>
        </w:rPr>
      </w:pPr>
      <w:r>
        <w:rPr>
          <w:rFonts w:ascii="宋体" w:hAnsi="宋体" w:cs="DengXian"/>
          <w:sz w:val="24"/>
          <w:szCs w:val="24"/>
        </w:rPr>
        <w:t>1</w:t>
      </w:r>
      <w:r>
        <w:rPr>
          <w:rFonts w:ascii="宋体" w:hAnsi="宋体" w:cs="DengXian" w:hint="eastAsia"/>
          <w:sz w:val="24"/>
          <w:szCs w:val="24"/>
        </w:rPr>
        <w:t>、达亿装饰和亿丰洁净科技江苏股份有限公司（以下简称“亿丰洁净”）位于同一厂区内，目前亿丰洁净亦由吴江区人民法院受理破产重整，管理人优先考虑同时对亿丰洁净和达亿装饰一并进行投资的投资人。</w:t>
      </w:r>
    </w:p>
    <w:p w:rsidR="009F32F6" w:rsidRDefault="00E51748">
      <w:pPr>
        <w:spacing w:line="520" w:lineRule="exact"/>
        <w:ind w:firstLineChars="200" w:firstLine="480"/>
        <w:rPr>
          <w:rFonts w:ascii="宋体" w:hAnsi="宋体"/>
          <w:sz w:val="24"/>
          <w:szCs w:val="24"/>
        </w:rPr>
      </w:pPr>
      <w:r>
        <w:rPr>
          <w:rFonts w:ascii="宋体" w:hAnsi="宋体"/>
          <w:sz w:val="24"/>
          <w:szCs w:val="24"/>
        </w:rPr>
        <w:t>2</w:t>
      </w:r>
      <w:r>
        <w:rPr>
          <w:rFonts w:ascii="宋体" w:hAnsi="宋体" w:hint="eastAsia"/>
          <w:sz w:val="24"/>
          <w:szCs w:val="24"/>
        </w:rPr>
        <w:t>、达亿装饰重整相关的税费事宜请意向投资人自行向有关部门咨询，管理人不负责税务咨询及承担相关税务风险。</w:t>
      </w:r>
    </w:p>
    <w:p w:rsidR="009F32F6" w:rsidRDefault="00E51748">
      <w:pPr>
        <w:spacing w:line="520" w:lineRule="exact"/>
        <w:ind w:firstLineChars="200" w:firstLine="480"/>
        <w:rPr>
          <w:rFonts w:ascii="宋体" w:hAnsi="宋体"/>
          <w:sz w:val="24"/>
          <w:szCs w:val="24"/>
        </w:rPr>
      </w:pPr>
      <w:r>
        <w:rPr>
          <w:rFonts w:ascii="宋体" w:hAnsi="宋体"/>
          <w:sz w:val="24"/>
          <w:szCs w:val="24"/>
        </w:rPr>
        <w:t>3</w:t>
      </w:r>
      <w:r>
        <w:rPr>
          <w:rFonts w:ascii="宋体" w:hAnsi="宋体" w:hint="eastAsia"/>
          <w:sz w:val="24"/>
          <w:szCs w:val="24"/>
        </w:rPr>
        <w:t>、截至管理人向重整投资人移交完毕之日，债务人拥有的上述“二、主要资产”以外的资产，包括货币资金、银行存款以及其他账面未记载的债权，将与重整投资人提供的偿债资金一并用于支付破产费用、共益债务、债权清偿等费用。管理人将在重整计划草案中对相关清收和清偿工作作出安排。</w:t>
      </w:r>
    </w:p>
    <w:p w:rsidR="009F32F6" w:rsidRDefault="00E51748">
      <w:pPr>
        <w:spacing w:line="520" w:lineRule="exact"/>
        <w:ind w:firstLineChars="200" w:firstLine="480"/>
        <w:rPr>
          <w:rFonts w:ascii="宋体" w:hAnsi="宋体"/>
          <w:sz w:val="24"/>
          <w:szCs w:val="24"/>
        </w:rPr>
      </w:pPr>
      <w:r>
        <w:rPr>
          <w:rFonts w:ascii="宋体" w:hAnsi="宋体" w:hint="eastAsia"/>
          <w:noProof/>
          <w:sz w:val="24"/>
          <w:szCs w:val="24"/>
        </w:rPr>
        <w:lastRenderedPageBreak/>
        <w:drawing>
          <wp:anchor distT="0" distB="0" distL="114300" distR="114300" simplePos="0" relativeHeight="251664384" behindDoc="0" locked="0" layoutInCell="1" allowOverlap="1">
            <wp:simplePos x="0" y="0"/>
            <wp:positionH relativeFrom="column">
              <wp:posOffset>2720340</wp:posOffset>
            </wp:positionH>
            <wp:positionV relativeFrom="paragraph">
              <wp:posOffset>160020</wp:posOffset>
            </wp:positionV>
            <wp:extent cx="2543810" cy="3382010"/>
            <wp:effectExtent l="0" t="0" r="8890" b="8890"/>
            <wp:wrapSquare wrapText="bothSides"/>
            <wp:docPr id="9" name="图片 9" descr="79675645462578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96756454625781526"/>
                    <pic:cNvPicPr>
                      <a:picLocks noChangeAspect="1"/>
                    </pic:cNvPicPr>
                  </pic:nvPicPr>
                  <pic:blipFill>
                    <a:blip r:embed="rId9"/>
                    <a:stretch>
                      <a:fillRect/>
                    </a:stretch>
                  </pic:blipFill>
                  <pic:spPr>
                    <a:xfrm>
                      <a:off x="0" y="0"/>
                      <a:ext cx="2543810" cy="3382010"/>
                    </a:xfrm>
                    <a:prstGeom prst="rect">
                      <a:avLst/>
                    </a:prstGeom>
                  </pic:spPr>
                </pic:pic>
              </a:graphicData>
            </a:graphic>
          </wp:anchor>
        </w:drawing>
      </w:r>
      <w:r>
        <w:rPr>
          <w:rFonts w:ascii="宋体" w:hAnsi="宋体" w:hint="eastAsia"/>
          <w:noProof/>
          <w:sz w:val="24"/>
          <w:szCs w:val="24"/>
        </w:rPr>
        <w:drawing>
          <wp:anchor distT="0" distB="0" distL="114300" distR="114300" simplePos="0" relativeHeight="251665408" behindDoc="0" locked="0" layoutInCell="1" allowOverlap="1">
            <wp:simplePos x="0" y="0"/>
            <wp:positionH relativeFrom="column">
              <wp:posOffset>76200</wp:posOffset>
            </wp:positionH>
            <wp:positionV relativeFrom="paragraph">
              <wp:posOffset>158750</wp:posOffset>
            </wp:positionV>
            <wp:extent cx="2447290" cy="3353435"/>
            <wp:effectExtent l="0" t="0" r="10160" b="18415"/>
            <wp:wrapSquare wrapText="bothSides"/>
            <wp:docPr id="8" name="图片 8" descr="916689581951339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916689581951339030"/>
                    <pic:cNvPicPr>
                      <a:picLocks noChangeAspect="1"/>
                    </pic:cNvPicPr>
                  </pic:nvPicPr>
                  <pic:blipFill>
                    <a:blip r:embed="rId10"/>
                    <a:stretch>
                      <a:fillRect/>
                    </a:stretch>
                  </pic:blipFill>
                  <pic:spPr>
                    <a:xfrm>
                      <a:off x="0" y="0"/>
                      <a:ext cx="2447290" cy="3353435"/>
                    </a:xfrm>
                    <a:prstGeom prst="rect">
                      <a:avLst/>
                    </a:prstGeom>
                  </pic:spPr>
                </pic:pic>
              </a:graphicData>
            </a:graphic>
          </wp:anchor>
        </w:drawing>
      </w:r>
    </w:p>
    <w:p w:rsidR="009F32F6" w:rsidRDefault="00E51748">
      <w:pPr>
        <w:widowControl/>
        <w:autoSpaceDE w:val="0"/>
        <w:autoSpaceDN w:val="0"/>
        <w:adjustRightInd w:val="0"/>
        <w:spacing w:line="360" w:lineRule="auto"/>
        <w:ind w:firstLineChars="200" w:firstLine="482"/>
        <w:jc w:val="left"/>
        <w:rPr>
          <w:rFonts w:ascii="宋体" w:hAnsi="宋体"/>
          <w:sz w:val="24"/>
          <w:szCs w:val="24"/>
        </w:rPr>
      </w:pPr>
      <w:r>
        <w:rPr>
          <w:rFonts w:ascii="宋体" w:hAnsi="宋体" w:cs="DengXian" w:hint="eastAsia"/>
          <w:b/>
          <w:sz w:val="24"/>
          <w:szCs w:val="24"/>
        </w:rPr>
        <w:t>（五）招募方案</w:t>
      </w:r>
    </w:p>
    <w:p w:rsidR="009F32F6" w:rsidRDefault="00E51748">
      <w:pPr>
        <w:widowControl/>
        <w:autoSpaceDE w:val="0"/>
        <w:autoSpaceDN w:val="0"/>
        <w:adjustRightInd w:val="0"/>
        <w:spacing w:line="360" w:lineRule="auto"/>
        <w:ind w:firstLineChars="200" w:firstLine="482"/>
        <w:jc w:val="left"/>
        <w:rPr>
          <w:rFonts w:ascii="宋体" w:hAnsi="宋体"/>
          <w:sz w:val="24"/>
          <w:szCs w:val="24"/>
        </w:rPr>
      </w:pPr>
      <w:r>
        <w:rPr>
          <w:rFonts w:ascii="宋体" w:hAnsi="宋体" w:cs="黑体" w:hint="eastAsia"/>
          <w:b/>
          <w:bCs/>
          <w:sz w:val="24"/>
          <w:szCs w:val="24"/>
        </w:rPr>
        <w:t>1</w:t>
      </w:r>
      <w:r>
        <w:rPr>
          <w:rFonts w:ascii="宋体" w:hAnsi="宋体" w:cs="黑体" w:hint="eastAsia"/>
          <w:b/>
          <w:bCs/>
          <w:sz w:val="24"/>
          <w:szCs w:val="24"/>
        </w:rPr>
        <w:t>、重整投资人条件与报名</w:t>
      </w:r>
    </w:p>
    <w:p w:rsidR="009F32F6" w:rsidRDefault="00E51748">
      <w:pPr>
        <w:spacing w:line="360" w:lineRule="auto"/>
        <w:ind w:firstLineChars="200" w:firstLine="480"/>
        <w:rPr>
          <w:rFonts w:ascii="宋体" w:hAnsi="宋体" w:cs="DengXian"/>
          <w:sz w:val="24"/>
          <w:szCs w:val="24"/>
        </w:rPr>
      </w:pPr>
      <w:r>
        <w:rPr>
          <w:rFonts w:ascii="宋体" w:hAnsi="宋体" w:cs="DengXian" w:hint="eastAsia"/>
          <w:sz w:val="24"/>
          <w:szCs w:val="24"/>
        </w:rPr>
        <w:t>（</w:t>
      </w:r>
      <w:r>
        <w:rPr>
          <w:rFonts w:ascii="宋体" w:hAnsi="宋体" w:cs="DengXian" w:hint="eastAsia"/>
          <w:sz w:val="24"/>
          <w:szCs w:val="24"/>
        </w:rPr>
        <w:t>1</w:t>
      </w:r>
      <w:r>
        <w:rPr>
          <w:rFonts w:ascii="宋体" w:hAnsi="宋体" w:cs="DengXian" w:hint="eastAsia"/>
          <w:sz w:val="24"/>
          <w:szCs w:val="24"/>
        </w:rPr>
        <w:t>）具有较强的社会责任感和良好的商业信誉；</w:t>
      </w:r>
    </w:p>
    <w:p w:rsidR="009F32F6" w:rsidRDefault="00E51748">
      <w:pPr>
        <w:spacing w:line="360" w:lineRule="auto"/>
        <w:ind w:firstLineChars="200" w:firstLine="480"/>
        <w:rPr>
          <w:rFonts w:ascii="宋体" w:hAnsi="宋体" w:cs="DengXian"/>
          <w:sz w:val="24"/>
          <w:szCs w:val="24"/>
        </w:rPr>
      </w:pPr>
      <w:r>
        <w:rPr>
          <w:rFonts w:ascii="宋体" w:hAnsi="宋体" w:cs="DengXian" w:hint="eastAsia"/>
          <w:sz w:val="24"/>
          <w:szCs w:val="24"/>
        </w:rPr>
        <w:t>（</w:t>
      </w:r>
      <w:r>
        <w:rPr>
          <w:rFonts w:ascii="宋体" w:hAnsi="宋体" w:cs="DengXian" w:hint="eastAsia"/>
          <w:sz w:val="24"/>
          <w:szCs w:val="24"/>
        </w:rPr>
        <w:t>2</w:t>
      </w:r>
      <w:r>
        <w:rPr>
          <w:rFonts w:ascii="宋体" w:hAnsi="宋体" w:cs="DengXian" w:hint="eastAsia"/>
          <w:sz w:val="24"/>
          <w:szCs w:val="24"/>
        </w:rPr>
        <w:t>）拥有足够的资金实力进行重整投资，并能出具相应的资信证明或其他履约能力证明；拥有与债务人经营规模相适应的经营管理能力，拥有工业企业项目领域研发、生产和运</w:t>
      </w:r>
      <w:r>
        <w:rPr>
          <w:rFonts w:ascii="宋体" w:hAnsi="宋体" w:cs="DengXian" w:hint="eastAsia"/>
          <w:sz w:val="24"/>
          <w:szCs w:val="24"/>
        </w:rPr>
        <w:t>营管理相关经验者优先，保证重整后公司持续经营；</w:t>
      </w:r>
    </w:p>
    <w:p w:rsidR="009F32F6" w:rsidRDefault="00E51748">
      <w:pPr>
        <w:spacing w:line="360" w:lineRule="auto"/>
        <w:ind w:firstLineChars="200" w:firstLine="480"/>
        <w:rPr>
          <w:rFonts w:ascii="宋体" w:hAnsi="宋体" w:cs="DengXian"/>
          <w:sz w:val="24"/>
          <w:szCs w:val="24"/>
        </w:rPr>
      </w:pPr>
      <w:r>
        <w:rPr>
          <w:rFonts w:ascii="宋体" w:hAnsi="宋体" w:cs="DengXian" w:hint="eastAsia"/>
          <w:sz w:val="24"/>
          <w:szCs w:val="24"/>
        </w:rPr>
        <w:t>（</w:t>
      </w:r>
      <w:r>
        <w:rPr>
          <w:rFonts w:ascii="宋体" w:hAnsi="宋体" w:cs="DengXian" w:hint="eastAsia"/>
          <w:sz w:val="24"/>
          <w:szCs w:val="24"/>
        </w:rPr>
        <w:t>3</w:t>
      </w:r>
      <w:r>
        <w:rPr>
          <w:rFonts w:ascii="宋体" w:hAnsi="宋体" w:cs="DengXian" w:hint="eastAsia"/>
          <w:sz w:val="24"/>
          <w:szCs w:val="24"/>
        </w:rPr>
        <w:t>）两个或两个以上的公司可联合参与投资，需书面说明各自的角色分工，但至少有一个公司符合上述条件；</w:t>
      </w:r>
    </w:p>
    <w:p w:rsidR="009F32F6" w:rsidRDefault="00E51748">
      <w:pPr>
        <w:spacing w:line="360" w:lineRule="auto"/>
        <w:ind w:firstLineChars="200" w:firstLine="480"/>
        <w:rPr>
          <w:rFonts w:ascii="宋体" w:hAnsi="宋体" w:cs="DengXian"/>
          <w:sz w:val="24"/>
          <w:szCs w:val="24"/>
        </w:rPr>
      </w:pPr>
      <w:r>
        <w:rPr>
          <w:rFonts w:ascii="宋体" w:hAnsi="宋体" w:hint="eastAsia"/>
          <w:sz w:val="24"/>
          <w:szCs w:val="24"/>
        </w:rPr>
        <w:t>（</w:t>
      </w:r>
      <w:r>
        <w:rPr>
          <w:rFonts w:ascii="宋体" w:hAnsi="宋体"/>
          <w:sz w:val="24"/>
          <w:szCs w:val="24"/>
        </w:rPr>
        <w:t>4</w:t>
      </w:r>
      <w:r>
        <w:rPr>
          <w:rFonts w:ascii="宋体" w:hAnsi="宋体" w:hint="eastAsia"/>
          <w:sz w:val="24"/>
          <w:szCs w:val="24"/>
        </w:rPr>
        <w:t>）无数额较大到期未清偿债务，无作为被执行人的案件；最近三年无重大违法行为；最近三年未列入失信行为人；</w:t>
      </w:r>
    </w:p>
    <w:p w:rsidR="009F32F6" w:rsidRDefault="00E51748">
      <w:pPr>
        <w:spacing w:line="360" w:lineRule="auto"/>
        <w:ind w:firstLineChars="200" w:firstLine="480"/>
        <w:rPr>
          <w:rFonts w:ascii="宋体" w:hAnsi="宋体"/>
          <w:sz w:val="24"/>
          <w:szCs w:val="24"/>
        </w:rPr>
      </w:pPr>
      <w:r>
        <w:rPr>
          <w:rFonts w:ascii="宋体" w:hAnsi="宋体" w:cs="DengXian" w:hint="eastAsia"/>
          <w:sz w:val="24"/>
          <w:szCs w:val="24"/>
        </w:rPr>
        <w:t>（</w:t>
      </w:r>
      <w:r>
        <w:rPr>
          <w:rFonts w:ascii="宋体" w:hAnsi="宋体" w:cs="DengXian" w:hint="eastAsia"/>
          <w:sz w:val="24"/>
          <w:szCs w:val="24"/>
        </w:rPr>
        <w:t>5</w:t>
      </w:r>
      <w:r>
        <w:rPr>
          <w:rFonts w:ascii="宋体" w:hAnsi="宋体" w:cs="DengXian" w:hint="eastAsia"/>
          <w:sz w:val="24"/>
          <w:szCs w:val="24"/>
        </w:rPr>
        <w:t>）</w:t>
      </w:r>
      <w:r>
        <w:rPr>
          <w:rFonts w:ascii="宋体" w:hAnsi="宋体" w:hint="eastAsia"/>
          <w:sz w:val="24"/>
          <w:szCs w:val="24"/>
        </w:rPr>
        <w:t>意向投资人或其控股股东、实际控制人财务状况或信用记录不良的，管理人有权认定意向投资人不具备重整投资人资格。</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6</w:t>
      </w:r>
      <w:r>
        <w:rPr>
          <w:rFonts w:ascii="宋体" w:hAnsi="宋体" w:hint="eastAsia"/>
          <w:sz w:val="24"/>
          <w:szCs w:val="24"/>
        </w:rPr>
        <w:t>）意向投资人最迟应于</w:t>
      </w:r>
      <w:r>
        <w:rPr>
          <w:rFonts w:ascii="宋体" w:hAnsi="宋体" w:hint="eastAsia"/>
          <w:b/>
          <w:sz w:val="24"/>
          <w:szCs w:val="24"/>
        </w:rPr>
        <w:t>2018</w:t>
      </w:r>
      <w:r>
        <w:rPr>
          <w:rFonts w:ascii="宋体" w:hAnsi="宋体" w:hint="eastAsia"/>
          <w:b/>
          <w:sz w:val="24"/>
          <w:szCs w:val="24"/>
        </w:rPr>
        <w:t>年</w:t>
      </w:r>
      <w:r>
        <w:rPr>
          <w:rFonts w:ascii="宋体" w:hAnsi="宋体" w:hint="eastAsia"/>
          <w:b/>
          <w:sz w:val="24"/>
          <w:szCs w:val="24"/>
        </w:rPr>
        <w:t>1</w:t>
      </w:r>
      <w:r>
        <w:rPr>
          <w:rFonts w:ascii="宋体" w:hAnsi="宋体"/>
          <w:b/>
          <w:sz w:val="24"/>
          <w:szCs w:val="24"/>
        </w:rPr>
        <w:t>1</w:t>
      </w:r>
      <w:r>
        <w:rPr>
          <w:rFonts w:ascii="宋体" w:hAnsi="宋体" w:hint="eastAsia"/>
          <w:b/>
          <w:sz w:val="24"/>
          <w:szCs w:val="24"/>
        </w:rPr>
        <w:t>月</w:t>
      </w:r>
      <w:r>
        <w:rPr>
          <w:rFonts w:ascii="宋体" w:hAnsi="宋体"/>
          <w:b/>
          <w:sz w:val="24"/>
          <w:szCs w:val="24"/>
        </w:rPr>
        <w:t>30</w:t>
      </w:r>
      <w:r>
        <w:rPr>
          <w:rFonts w:ascii="宋体" w:hAnsi="宋体" w:hint="eastAsia"/>
          <w:b/>
          <w:sz w:val="24"/>
          <w:szCs w:val="24"/>
        </w:rPr>
        <w:t>日</w:t>
      </w:r>
      <w:r>
        <w:rPr>
          <w:rFonts w:ascii="宋体" w:hAnsi="宋体" w:hint="eastAsia"/>
          <w:b/>
          <w:sz w:val="24"/>
          <w:szCs w:val="24"/>
        </w:rPr>
        <w:t>16</w:t>
      </w:r>
      <w:r>
        <w:rPr>
          <w:rFonts w:ascii="宋体" w:hAnsi="宋体" w:hint="eastAsia"/>
          <w:b/>
          <w:sz w:val="24"/>
          <w:szCs w:val="24"/>
        </w:rPr>
        <w:t>点前</w:t>
      </w:r>
      <w:r>
        <w:rPr>
          <w:rFonts w:ascii="宋体" w:hAnsi="宋体" w:hint="eastAsia"/>
          <w:sz w:val="24"/>
          <w:szCs w:val="24"/>
        </w:rPr>
        <w:t>向管理人提交《参与重整投资的意向书》报名，并附以下材料：</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1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①</w:t>
      </w:r>
      <w:r>
        <w:rPr>
          <w:rFonts w:ascii="宋体" w:hAnsi="宋体"/>
          <w:sz w:val="24"/>
          <w:szCs w:val="24"/>
        </w:rPr>
        <w:fldChar w:fldCharType="end"/>
      </w:r>
      <w:r>
        <w:rPr>
          <w:rFonts w:ascii="宋体" w:hAnsi="宋体" w:hint="eastAsia"/>
          <w:sz w:val="24"/>
          <w:szCs w:val="24"/>
        </w:rPr>
        <w:t>意向投资人介绍（意向投资人主体资格、股权结构、历史沿革、经营范围等；如为联合投资人，需说明各主体的角色分工、权利义务等，联合投资人相互</w:t>
      </w:r>
      <w:r>
        <w:rPr>
          <w:rFonts w:ascii="宋体" w:hAnsi="宋体" w:hint="eastAsia"/>
          <w:sz w:val="24"/>
          <w:szCs w:val="24"/>
        </w:rPr>
        <w:lastRenderedPageBreak/>
        <w:t>之间应当承担连带责任）。</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2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②</w:t>
      </w:r>
      <w:r>
        <w:rPr>
          <w:rFonts w:ascii="宋体" w:hAnsi="宋体"/>
          <w:sz w:val="24"/>
          <w:szCs w:val="24"/>
        </w:rPr>
        <w:fldChar w:fldCharType="end"/>
      </w:r>
      <w:r>
        <w:rPr>
          <w:rFonts w:ascii="宋体" w:hAnsi="宋体" w:hint="eastAsia"/>
          <w:sz w:val="24"/>
          <w:szCs w:val="24"/>
        </w:rPr>
        <w:t>意向投资人的主要业务（业绩）情况和</w:t>
      </w:r>
      <w:r>
        <w:rPr>
          <w:rFonts w:ascii="宋体" w:hAnsi="宋体" w:hint="eastAsia"/>
          <w:sz w:val="24"/>
          <w:szCs w:val="24"/>
        </w:rPr>
        <w:t xml:space="preserve"> 2015-2017</w:t>
      </w:r>
      <w:r>
        <w:rPr>
          <w:rFonts w:ascii="宋体" w:hAnsi="宋体" w:hint="eastAsia"/>
          <w:sz w:val="24"/>
          <w:szCs w:val="24"/>
        </w:rPr>
        <w:t>年及</w:t>
      </w:r>
      <w:r>
        <w:rPr>
          <w:rFonts w:ascii="宋体" w:hAnsi="宋体" w:hint="eastAsia"/>
          <w:sz w:val="24"/>
          <w:szCs w:val="24"/>
        </w:rPr>
        <w:t>2018</w:t>
      </w:r>
      <w:r>
        <w:rPr>
          <w:rFonts w:ascii="宋体" w:hAnsi="宋体" w:hint="eastAsia"/>
          <w:sz w:val="24"/>
          <w:szCs w:val="24"/>
        </w:rPr>
        <w:t>年</w:t>
      </w:r>
      <w:r>
        <w:rPr>
          <w:rFonts w:ascii="宋体" w:hAnsi="宋体" w:hint="eastAsia"/>
          <w:sz w:val="24"/>
          <w:szCs w:val="24"/>
        </w:rPr>
        <w:t>1~9</w:t>
      </w:r>
      <w:r>
        <w:rPr>
          <w:rFonts w:ascii="宋体" w:hAnsi="宋体" w:hint="eastAsia"/>
          <w:sz w:val="24"/>
          <w:szCs w:val="24"/>
        </w:rPr>
        <w:t>月的主要财务指标（资产、负债、主营业务收入、净利润、现金流量等，如为联合投资人，需说明负责营业事务的投资主体的主要业务情况和主要财务指标）。</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3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③</w:t>
      </w:r>
      <w:r>
        <w:rPr>
          <w:rFonts w:ascii="宋体" w:hAnsi="宋体"/>
          <w:sz w:val="24"/>
          <w:szCs w:val="24"/>
        </w:rPr>
        <w:fldChar w:fldCharType="end"/>
      </w:r>
      <w:r>
        <w:rPr>
          <w:rFonts w:ascii="宋体" w:hAnsi="宋体" w:hint="eastAsia"/>
          <w:sz w:val="24"/>
          <w:szCs w:val="24"/>
        </w:rPr>
        <w:t>企业法人营业执照正副本或非法人企业注册登记证书复印件；</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4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④</w:t>
      </w:r>
      <w:r>
        <w:rPr>
          <w:rFonts w:ascii="宋体" w:hAnsi="宋体"/>
          <w:sz w:val="24"/>
          <w:szCs w:val="24"/>
        </w:rPr>
        <w:fldChar w:fldCharType="end"/>
      </w:r>
      <w:r>
        <w:rPr>
          <w:rFonts w:ascii="宋体" w:hAnsi="宋体" w:hint="eastAsia"/>
          <w:sz w:val="24"/>
          <w:szCs w:val="24"/>
        </w:rPr>
        <w:t>现行有效的企业法人或非法人企业章程复印件；</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5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⑤</w:t>
      </w:r>
      <w:r>
        <w:rPr>
          <w:rFonts w:ascii="宋体" w:hAnsi="宋体"/>
          <w:sz w:val="24"/>
          <w:szCs w:val="24"/>
        </w:rPr>
        <w:fldChar w:fldCharType="end"/>
      </w:r>
      <w:r>
        <w:rPr>
          <w:rFonts w:ascii="宋体" w:hAnsi="宋体" w:hint="eastAsia"/>
          <w:sz w:val="24"/>
          <w:szCs w:val="24"/>
        </w:rPr>
        <w:t>法定代表人或负责人身份证明原件、身份证复印件；</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6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⑥</w:t>
      </w:r>
      <w:r>
        <w:rPr>
          <w:rFonts w:ascii="宋体" w:hAnsi="宋体"/>
          <w:sz w:val="24"/>
          <w:szCs w:val="24"/>
        </w:rPr>
        <w:fldChar w:fldCharType="end"/>
      </w:r>
      <w:r>
        <w:rPr>
          <w:rFonts w:ascii="宋体" w:hAnsi="宋体" w:hint="eastAsia"/>
          <w:sz w:val="24"/>
          <w:szCs w:val="24"/>
        </w:rPr>
        <w:t>授权委托书原件和受委托人身份证复印件；</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7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⑦</w:t>
      </w:r>
      <w:r>
        <w:rPr>
          <w:rFonts w:ascii="宋体" w:hAnsi="宋体"/>
          <w:sz w:val="24"/>
          <w:szCs w:val="24"/>
        </w:rPr>
        <w:fldChar w:fldCharType="end"/>
      </w:r>
      <w:r>
        <w:rPr>
          <w:rFonts w:ascii="宋体" w:hAnsi="宋体" w:hint="eastAsia"/>
          <w:sz w:val="24"/>
          <w:szCs w:val="24"/>
        </w:rPr>
        <w:t>意向投资人董事会、股东（大）会等决策机构同意对达亿公司重整投资的决议原件；</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8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⑧</w:t>
      </w:r>
      <w:r>
        <w:rPr>
          <w:rFonts w:ascii="宋体" w:hAnsi="宋体"/>
          <w:sz w:val="24"/>
          <w:szCs w:val="24"/>
        </w:rPr>
        <w:fldChar w:fldCharType="end"/>
      </w:r>
      <w:r>
        <w:rPr>
          <w:rFonts w:ascii="宋体" w:hAnsi="宋体" w:hint="eastAsia"/>
          <w:sz w:val="24"/>
          <w:szCs w:val="24"/>
        </w:rPr>
        <w:t>载明联系人、联系电话、电子邮箱、传真号码、通信地址的法律文件送达地址确认书。</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如意向投资人为个人的，则相关身份证明为意向投资人身份证复印件，第</w:t>
      </w: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w:instrText>
      </w:r>
      <w:r>
        <w:rPr>
          <w:rFonts w:ascii="宋体" w:hAnsi="宋体" w:hint="eastAsia"/>
          <w:sz w:val="24"/>
          <w:szCs w:val="24"/>
        </w:rPr>
        <w:instrText xml:space="preserve"> 3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③</w:t>
      </w:r>
      <w:r>
        <w:rPr>
          <w:rFonts w:ascii="宋体" w:hAnsi="宋体"/>
          <w:sz w:val="24"/>
          <w:szCs w:val="24"/>
        </w:rPr>
        <w:fldChar w:fldCharType="end"/>
      </w:r>
      <w:r>
        <w:rPr>
          <w:rFonts w:ascii="宋体" w:hAnsi="宋体" w:hint="eastAsia"/>
          <w:sz w:val="24"/>
          <w:szCs w:val="24"/>
        </w:rPr>
        <w:t>、</w:t>
      </w: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4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④</w:t>
      </w:r>
      <w:r>
        <w:rPr>
          <w:rFonts w:ascii="宋体" w:hAnsi="宋体"/>
          <w:sz w:val="24"/>
          <w:szCs w:val="24"/>
        </w:rPr>
        <w:fldChar w:fldCharType="end"/>
      </w:r>
      <w:r>
        <w:rPr>
          <w:rFonts w:ascii="宋体" w:hAnsi="宋体" w:hint="eastAsia"/>
          <w:sz w:val="24"/>
          <w:szCs w:val="24"/>
        </w:rPr>
        <w:t>、</w:t>
      </w: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7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⑦</w:t>
      </w:r>
      <w:r>
        <w:rPr>
          <w:rFonts w:ascii="宋体" w:hAnsi="宋体"/>
          <w:sz w:val="24"/>
          <w:szCs w:val="24"/>
        </w:rPr>
        <w:fldChar w:fldCharType="end"/>
      </w:r>
      <w:r>
        <w:rPr>
          <w:rFonts w:ascii="宋体" w:hAnsi="宋体" w:hint="eastAsia"/>
          <w:sz w:val="24"/>
          <w:szCs w:val="24"/>
        </w:rPr>
        <w:t>项文件不需要。</w:t>
      </w:r>
    </w:p>
    <w:p w:rsidR="009F32F6" w:rsidRDefault="00E51748">
      <w:pPr>
        <w:spacing w:line="360" w:lineRule="auto"/>
        <w:ind w:firstLineChars="200" w:firstLine="482"/>
        <w:rPr>
          <w:rFonts w:ascii="宋体" w:hAnsi="宋体"/>
          <w:b/>
          <w:sz w:val="24"/>
          <w:szCs w:val="24"/>
        </w:rPr>
      </w:pPr>
      <w:r>
        <w:rPr>
          <w:rFonts w:ascii="宋体" w:hAnsi="宋体" w:hint="eastAsia"/>
          <w:b/>
          <w:sz w:val="24"/>
          <w:szCs w:val="24"/>
        </w:rPr>
        <w:t>2</w:t>
      </w:r>
      <w:r>
        <w:rPr>
          <w:rFonts w:ascii="宋体" w:hAnsi="宋体" w:hint="eastAsia"/>
          <w:b/>
          <w:sz w:val="24"/>
          <w:szCs w:val="24"/>
        </w:rPr>
        <w:t>、保证金</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）尽调保证金</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意向投资人如需管理人对本招募公告之相关内容进行补充说明，或需查阅债务人的财务审计、工程造价、债权申报、经营情况等详细资料或采取其他尽调措施的，应向管理人缴纳尽调保证金。管理人在意向投资人缴足尽调保证金并提交书面需求清单后或申请后</w:t>
      </w:r>
      <w:r>
        <w:rPr>
          <w:rFonts w:ascii="宋体" w:hAnsi="宋体" w:hint="eastAsia"/>
          <w:sz w:val="24"/>
          <w:szCs w:val="24"/>
        </w:rPr>
        <w:t>5</w:t>
      </w:r>
      <w:r>
        <w:rPr>
          <w:rFonts w:ascii="宋体" w:hAnsi="宋体" w:hint="eastAsia"/>
          <w:sz w:val="24"/>
          <w:szCs w:val="24"/>
        </w:rPr>
        <w:t>个工作日内予以配合或安排，除管理人故意虚假陈述、或故意提供虚假材料外，意向投资人应当独立地对尽调结果负责并承担最终法律责任。</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1 \*</w:instrText>
      </w:r>
      <w:r>
        <w:rPr>
          <w:rFonts w:ascii="宋体" w:hAnsi="宋体" w:hint="eastAsia"/>
          <w:sz w:val="24"/>
          <w:szCs w:val="24"/>
        </w:rPr>
        <w:instrText xml:space="preserve">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①</w:t>
      </w:r>
      <w:r>
        <w:rPr>
          <w:rFonts w:ascii="宋体" w:hAnsi="宋体"/>
          <w:sz w:val="24"/>
          <w:szCs w:val="24"/>
        </w:rPr>
        <w:fldChar w:fldCharType="end"/>
      </w:r>
      <w:r>
        <w:rPr>
          <w:rFonts w:ascii="宋体" w:hAnsi="宋体" w:hint="eastAsia"/>
          <w:sz w:val="24"/>
          <w:szCs w:val="24"/>
        </w:rPr>
        <w:t>尽调保证金的金额及缴纳方式</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意向投资人参与债务人重整投资人遴选的尽调保证金为</w:t>
      </w:r>
      <w:r>
        <w:rPr>
          <w:rFonts w:ascii="宋体" w:hAnsi="宋体" w:hint="eastAsia"/>
          <w:b/>
          <w:sz w:val="24"/>
          <w:szCs w:val="24"/>
        </w:rPr>
        <w:t>30</w:t>
      </w:r>
      <w:r>
        <w:rPr>
          <w:rFonts w:ascii="宋体" w:hAnsi="宋体" w:hint="eastAsia"/>
          <w:b/>
          <w:sz w:val="24"/>
          <w:szCs w:val="24"/>
        </w:rPr>
        <w:t>万元人民币</w:t>
      </w:r>
      <w:r>
        <w:rPr>
          <w:rFonts w:ascii="宋体" w:hAnsi="宋体" w:hint="eastAsia"/>
          <w:sz w:val="24"/>
          <w:szCs w:val="24"/>
        </w:rPr>
        <w:t>。意向投资人最迟应于</w:t>
      </w:r>
      <w:r>
        <w:rPr>
          <w:rFonts w:ascii="宋体" w:hAnsi="宋体" w:hint="eastAsia"/>
          <w:b/>
          <w:sz w:val="24"/>
          <w:szCs w:val="24"/>
        </w:rPr>
        <w:t>2018</w:t>
      </w:r>
      <w:r>
        <w:rPr>
          <w:rFonts w:ascii="宋体" w:hAnsi="宋体" w:hint="eastAsia"/>
          <w:b/>
          <w:sz w:val="24"/>
          <w:szCs w:val="24"/>
        </w:rPr>
        <w:t>年</w:t>
      </w:r>
      <w:r>
        <w:rPr>
          <w:rFonts w:ascii="宋体" w:hAnsi="宋体" w:hint="eastAsia"/>
          <w:b/>
          <w:sz w:val="24"/>
          <w:szCs w:val="24"/>
        </w:rPr>
        <w:t>1</w:t>
      </w:r>
      <w:r>
        <w:rPr>
          <w:rFonts w:ascii="宋体" w:hAnsi="宋体"/>
          <w:b/>
          <w:sz w:val="24"/>
          <w:szCs w:val="24"/>
        </w:rPr>
        <w:t>2</w:t>
      </w:r>
      <w:r>
        <w:rPr>
          <w:rFonts w:ascii="宋体" w:hAnsi="宋体" w:hint="eastAsia"/>
          <w:b/>
          <w:sz w:val="24"/>
          <w:szCs w:val="24"/>
        </w:rPr>
        <w:t>月</w:t>
      </w:r>
      <w:r>
        <w:rPr>
          <w:rFonts w:ascii="宋体" w:hAnsi="宋体"/>
          <w:b/>
          <w:sz w:val="24"/>
          <w:szCs w:val="24"/>
        </w:rPr>
        <w:t>13</w:t>
      </w:r>
      <w:r>
        <w:rPr>
          <w:rFonts w:ascii="宋体" w:hAnsi="宋体" w:hint="eastAsia"/>
          <w:b/>
          <w:sz w:val="24"/>
          <w:szCs w:val="24"/>
        </w:rPr>
        <w:t>日</w:t>
      </w:r>
      <w:r>
        <w:rPr>
          <w:rFonts w:ascii="宋体" w:hAnsi="宋体" w:hint="eastAsia"/>
          <w:b/>
          <w:sz w:val="24"/>
          <w:szCs w:val="24"/>
        </w:rPr>
        <w:t>16</w:t>
      </w:r>
      <w:r>
        <w:rPr>
          <w:rFonts w:ascii="宋体" w:hAnsi="宋体" w:hint="eastAsia"/>
          <w:b/>
          <w:sz w:val="24"/>
          <w:szCs w:val="24"/>
        </w:rPr>
        <w:t>点前</w:t>
      </w:r>
      <w:r>
        <w:rPr>
          <w:rFonts w:ascii="宋体" w:hAnsi="宋体" w:hint="eastAsia"/>
          <w:sz w:val="24"/>
          <w:szCs w:val="24"/>
        </w:rPr>
        <w:t>将尽调保证金汇入以下银行账户（意向投资人应与管理人核实尽调保证金是否到账，因银行系统原因导致未能按时到账的责任由意向投资人承担）。</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户名：苏州达亿装饰工程有限公司管理人</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开户行：苏州市苏州银行湖东支行</w:t>
      </w:r>
      <w:r>
        <w:rPr>
          <w:rFonts w:ascii="宋体" w:hAnsi="宋体"/>
          <w:sz w:val="24"/>
          <w:szCs w:val="24"/>
        </w:rPr>
        <w:t xml:space="preserve"> </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lastRenderedPageBreak/>
        <w:t>账号：</w:t>
      </w:r>
      <w:r>
        <w:rPr>
          <w:rFonts w:ascii="宋体" w:hAnsi="宋体" w:hint="eastAsia"/>
          <w:sz w:val="24"/>
          <w:szCs w:val="24"/>
        </w:rPr>
        <w:t>51455200000366</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2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②</w:t>
      </w:r>
      <w:r>
        <w:rPr>
          <w:rFonts w:ascii="宋体" w:hAnsi="宋体"/>
          <w:sz w:val="24"/>
          <w:szCs w:val="24"/>
        </w:rPr>
        <w:fldChar w:fldCharType="end"/>
      </w:r>
      <w:r>
        <w:rPr>
          <w:rFonts w:ascii="宋体" w:hAnsi="宋体" w:hint="eastAsia"/>
          <w:sz w:val="24"/>
          <w:szCs w:val="24"/>
        </w:rPr>
        <w:t>尽调保证金的没收</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意向投资人应在缴纳尽调保证金前与管理人签订保密协议，未按期签订但缴纳尽调保证金的，视为认可保密协议的全部内容。意向投资人违反保密协议约定的，管理人有权没收该意向投资人缴纳的尽调保证金，取消其参与重整投资人遴选资格。</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3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③</w:t>
      </w:r>
      <w:r>
        <w:rPr>
          <w:rFonts w:ascii="宋体" w:hAnsi="宋体"/>
          <w:sz w:val="24"/>
          <w:szCs w:val="24"/>
        </w:rPr>
        <w:fldChar w:fldCharType="end"/>
      </w:r>
      <w:r>
        <w:rPr>
          <w:rFonts w:ascii="宋体" w:hAnsi="宋体" w:hint="eastAsia"/>
          <w:sz w:val="24"/>
          <w:szCs w:val="24"/>
        </w:rPr>
        <w:t>尽调保证金的使用</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意向投资人缴纳尽调保证金的，且意向投资人决定继续报名参加下步重整计划，该意向投资人所缴的尽调保证金转为其应缴纳的等额投资保证金，缺额部分须一次性补足。</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4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④</w:t>
      </w:r>
      <w:r>
        <w:rPr>
          <w:rFonts w:ascii="宋体" w:hAnsi="宋体"/>
          <w:sz w:val="24"/>
          <w:szCs w:val="24"/>
        </w:rPr>
        <w:fldChar w:fldCharType="end"/>
      </w:r>
      <w:r>
        <w:rPr>
          <w:rFonts w:ascii="宋体" w:hAnsi="宋体" w:hint="eastAsia"/>
          <w:sz w:val="24"/>
          <w:szCs w:val="24"/>
        </w:rPr>
        <w:t>尽调保证金的退还</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意向投资人未按期缴纳投资保证金，或未按期提交</w:t>
      </w:r>
      <w:r>
        <w:rPr>
          <w:rFonts w:ascii="宋体" w:hAnsi="宋体" w:hint="eastAsia"/>
          <w:sz w:val="24"/>
          <w:szCs w:val="24"/>
        </w:rPr>
        <w:t>重整投资文件的，或明确表示放弃投资资格的，管理人确定投资人后</w:t>
      </w:r>
      <w:r>
        <w:rPr>
          <w:rFonts w:ascii="宋体" w:hAnsi="宋体" w:hint="eastAsia"/>
          <w:sz w:val="24"/>
          <w:szCs w:val="24"/>
        </w:rPr>
        <w:t>10</w:t>
      </w:r>
      <w:r>
        <w:rPr>
          <w:rFonts w:ascii="宋体" w:hAnsi="宋体" w:hint="eastAsia"/>
          <w:sz w:val="24"/>
          <w:szCs w:val="24"/>
        </w:rPr>
        <w:t>个工作日内无息退还尽调保证金。</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）投资保证金</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意向投资人拟对债务人进行重整投资的，应缴纳投资保证金。</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1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①</w:t>
      </w:r>
      <w:r>
        <w:rPr>
          <w:rFonts w:ascii="宋体" w:hAnsi="宋体"/>
          <w:sz w:val="24"/>
          <w:szCs w:val="24"/>
        </w:rPr>
        <w:fldChar w:fldCharType="end"/>
      </w:r>
      <w:r>
        <w:rPr>
          <w:rFonts w:ascii="宋体" w:hAnsi="宋体" w:hint="eastAsia"/>
          <w:sz w:val="24"/>
          <w:szCs w:val="24"/>
        </w:rPr>
        <w:t>投资保证金的金额及缴纳方式</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意向投资人提交重整方案，参与债务人重整投资人遴选的投资保证金为</w:t>
      </w:r>
      <w:r>
        <w:rPr>
          <w:rFonts w:ascii="宋体" w:hAnsi="宋体"/>
          <w:b/>
          <w:sz w:val="24"/>
          <w:szCs w:val="24"/>
        </w:rPr>
        <w:t>500</w:t>
      </w:r>
      <w:r>
        <w:rPr>
          <w:rFonts w:ascii="宋体" w:hAnsi="宋体" w:hint="eastAsia"/>
          <w:b/>
          <w:sz w:val="24"/>
          <w:szCs w:val="24"/>
        </w:rPr>
        <w:t>万元</w:t>
      </w:r>
      <w:r>
        <w:rPr>
          <w:rFonts w:ascii="宋体" w:hAnsi="宋体" w:hint="eastAsia"/>
          <w:sz w:val="24"/>
          <w:szCs w:val="24"/>
        </w:rPr>
        <w:t>（已缴纳尽调保证金的，尽调保证金自动转为等额投资保证金）。意向投资人最迟应于</w:t>
      </w:r>
      <w:r>
        <w:rPr>
          <w:rFonts w:ascii="宋体" w:hAnsi="宋体" w:hint="eastAsia"/>
          <w:b/>
          <w:sz w:val="24"/>
          <w:szCs w:val="24"/>
        </w:rPr>
        <w:t>201</w:t>
      </w:r>
      <w:r>
        <w:rPr>
          <w:rFonts w:ascii="宋体" w:hAnsi="宋体"/>
          <w:b/>
          <w:sz w:val="24"/>
          <w:szCs w:val="24"/>
        </w:rPr>
        <w:t>8</w:t>
      </w:r>
      <w:r>
        <w:rPr>
          <w:rFonts w:ascii="宋体" w:hAnsi="宋体" w:hint="eastAsia"/>
          <w:b/>
          <w:sz w:val="24"/>
          <w:szCs w:val="24"/>
        </w:rPr>
        <w:t>年</w:t>
      </w:r>
      <w:r>
        <w:rPr>
          <w:rFonts w:ascii="宋体" w:hAnsi="宋体" w:hint="eastAsia"/>
          <w:b/>
          <w:sz w:val="24"/>
          <w:szCs w:val="24"/>
        </w:rPr>
        <w:t>1</w:t>
      </w:r>
      <w:r>
        <w:rPr>
          <w:rFonts w:ascii="宋体" w:hAnsi="宋体"/>
          <w:b/>
          <w:sz w:val="24"/>
          <w:szCs w:val="24"/>
        </w:rPr>
        <w:t>2</w:t>
      </w:r>
      <w:r>
        <w:rPr>
          <w:rFonts w:ascii="宋体" w:hAnsi="宋体" w:hint="eastAsia"/>
          <w:b/>
          <w:sz w:val="24"/>
          <w:szCs w:val="24"/>
        </w:rPr>
        <w:t>月</w:t>
      </w:r>
      <w:r>
        <w:rPr>
          <w:rFonts w:ascii="宋体" w:hAnsi="宋体" w:hint="eastAsia"/>
          <w:b/>
          <w:sz w:val="24"/>
          <w:szCs w:val="24"/>
        </w:rPr>
        <w:t>2</w:t>
      </w:r>
      <w:r>
        <w:rPr>
          <w:rFonts w:ascii="宋体" w:hAnsi="宋体"/>
          <w:b/>
          <w:sz w:val="24"/>
          <w:szCs w:val="24"/>
        </w:rPr>
        <w:t>9</w:t>
      </w:r>
      <w:r>
        <w:rPr>
          <w:rFonts w:ascii="宋体" w:hAnsi="宋体" w:hint="eastAsia"/>
          <w:b/>
          <w:sz w:val="24"/>
          <w:szCs w:val="24"/>
        </w:rPr>
        <w:t>日</w:t>
      </w:r>
      <w:r>
        <w:rPr>
          <w:rFonts w:ascii="宋体" w:hAnsi="宋体" w:hint="eastAsia"/>
          <w:b/>
          <w:sz w:val="24"/>
          <w:szCs w:val="24"/>
        </w:rPr>
        <w:t>16</w:t>
      </w:r>
      <w:r>
        <w:rPr>
          <w:rFonts w:ascii="宋体" w:hAnsi="宋体" w:hint="eastAsia"/>
          <w:b/>
          <w:sz w:val="24"/>
          <w:szCs w:val="24"/>
        </w:rPr>
        <w:t>点前</w:t>
      </w:r>
      <w:r>
        <w:rPr>
          <w:rFonts w:ascii="宋体" w:hAnsi="宋体" w:hint="eastAsia"/>
          <w:sz w:val="24"/>
          <w:szCs w:val="24"/>
        </w:rPr>
        <w:t>将投资保证金汇入以下银行账户（意向投资人应与管理人核实投资保证金是否到账，因银行系统原因导致未能按时到账的责任由意向投资人承担）。</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未按规定缴纳投资保证金的，意向投资人丧失参与重整投资人遴选资格。</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户名：苏州达亿装饰工程有限公司管理人</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开户行：苏州市苏州银行湖东支行</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账号：</w:t>
      </w:r>
      <w:r>
        <w:rPr>
          <w:rFonts w:ascii="宋体" w:hAnsi="宋体" w:hint="eastAsia"/>
          <w:sz w:val="24"/>
          <w:szCs w:val="24"/>
        </w:rPr>
        <w:t>51455200000366</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2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②</w:t>
      </w:r>
      <w:r>
        <w:rPr>
          <w:rFonts w:ascii="宋体" w:hAnsi="宋体"/>
          <w:sz w:val="24"/>
          <w:szCs w:val="24"/>
        </w:rPr>
        <w:fldChar w:fldCharType="end"/>
      </w:r>
      <w:r>
        <w:rPr>
          <w:rFonts w:ascii="宋体" w:hAnsi="宋体" w:hint="eastAsia"/>
          <w:sz w:val="24"/>
          <w:szCs w:val="24"/>
        </w:rPr>
        <w:t>投资保证金的没收</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意向投资人应自收到重整投资人确认函之日起</w:t>
      </w:r>
      <w:r>
        <w:rPr>
          <w:rFonts w:ascii="宋体" w:hAnsi="宋体" w:hint="eastAsia"/>
          <w:sz w:val="24"/>
          <w:szCs w:val="24"/>
        </w:rPr>
        <w:t>5</w:t>
      </w:r>
      <w:r>
        <w:rPr>
          <w:rFonts w:ascii="宋体" w:hAnsi="宋体" w:hint="eastAsia"/>
          <w:sz w:val="24"/>
          <w:szCs w:val="24"/>
        </w:rPr>
        <w:t>个工作日内与管理人签订书面投资协议；如被确定之投资人拒绝与管理人签订书面投资协议的，管理人有权没收其缴纳的投资保证金，取消其中标资格，重新确定重整投资人。</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lastRenderedPageBreak/>
        <w:t>达亿公司《重整计划（草案）》获苏州市吴江区人民法院裁定批准后，重整投资人未按书面投资协议缴纳投资款，或未履行其他主要义务的，管理人有权没收其缴纳的投资保证金，取消其重整投资人资格，重新确定重整投资人。</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3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③</w:t>
      </w:r>
      <w:r>
        <w:rPr>
          <w:rFonts w:ascii="宋体" w:hAnsi="宋体"/>
          <w:sz w:val="24"/>
          <w:szCs w:val="24"/>
        </w:rPr>
        <w:fldChar w:fldCharType="end"/>
      </w:r>
      <w:r>
        <w:rPr>
          <w:rFonts w:ascii="宋体" w:hAnsi="宋体" w:hint="eastAsia"/>
          <w:sz w:val="24"/>
          <w:szCs w:val="24"/>
        </w:rPr>
        <w:t>投资保证金的使用</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债务人《重整计划（草案）》获苏州市吴江区人民法院裁定批准后，重</w:t>
      </w:r>
      <w:r>
        <w:rPr>
          <w:rFonts w:ascii="宋体" w:hAnsi="宋体" w:hint="eastAsia"/>
          <w:sz w:val="24"/>
          <w:szCs w:val="24"/>
        </w:rPr>
        <w:t>整投资人所缴的投资保证金将转为履约保证金，在根据书面投资协议约定的最后一期投资款中等额抵扣；如最后一期不足抵扣的，差额部分由管理人于投资协议履行完毕后</w:t>
      </w:r>
      <w:r>
        <w:rPr>
          <w:rFonts w:ascii="宋体" w:hAnsi="宋体" w:hint="eastAsia"/>
          <w:sz w:val="24"/>
          <w:szCs w:val="24"/>
        </w:rPr>
        <w:t>5</w:t>
      </w:r>
      <w:r>
        <w:rPr>
          <w:rFonts w:ascii="宋体" w:hAnsi="宋体" w:hint="eastAsia"/>
          <w:sz w:val="24"/>
          <w:szCs w:val="24"/>
        </w:rPr>
        <w:t>个工作日内退还投资人。</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4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④</w:t>
      </w:r>
      <w:r>
        <w:rPr>
          <w:rFonts w:ascii="宋体" w:hAnsi="宋体"/>
          <w:sz w:val="24"/>
          <w:szCs w:val="24"/>
        </w:rPr>
        <w:fldChar w:fldCharType="end"/>
      </w:r>
      <w:r>
        <w:rPr>
          <w:rFonts w:ascii="宋体" w:hAnsi="宋体" w:hint="eastAsia"/>
          <w:sz w:val="24"/>
          <w:szCs w:val="24"/>
        </w:rPr>
        <w:t>投资保证金的退还</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管理人自确定重整投资人并与其签订投资协议后</w:t>
      </w:r>
      <w:r>
        <w:rPr>
          <w:rFonts w:ascii="宋体" w:hAnsi="宋体" w:hint="eastAsia"/>
          <w:sz w:val="24"/>
          <w:szCs w:val="24"/>
        </w:rPr>
        <w:t>5</w:t>
      </w:r>
      <w:r>
        <w:rPr>
          <w:rFonts w:ascii="宋体" w:hAnsi="宋体" w:hint="eastAsia"/>
          <w:sz w:val="24"/>
          <w:szCs w:val="24"/>
        </w:rPr>
        <w:t>个工作日内退还其他意向投资人所缴的投资保证金（不计息）。</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如债务人《重整计划（草案）》未获苏州市吴江区人民法院裁定批准的，管理人自吴江区人民法院裁定终止重整程序并宣告债务人破产之日起</w:t>
      </w:r>
      <w:r>
        <w:rPr>
          <w:rFonts w:ascii="宋体" w:hAnsi="宋体" w:hint="eastAsia"/>
          <w:sz w:val="24"/>
          <w:szCs w:val="24"/>
        </w:rPr>
        <w:t xml:space="preserve"> 5 </w:t>
      </w:r>
      <w:r>
        <w:rPr>
          <w:rFonts w:ascii="宋体" w:hAnsi="宋体" w:hint="eastAsia"/>
          <w:sz w:val="24"/>
          <w:szCs w:val="24"/>
        </w:rPr>
        <w:t>个工作日内退还重整投资人所缴的投资保证金（不计息）。</w:t>
      </w:r>
    </w:p>
    <w:p w:rsidR="009F32F6" w:rsidRDefault="00E51748">
      <w:pPr>
        <w:spacing w:line="360" w:lineRule="auto"/>
        <w:ind w:firstLineChars="200" w:firstLine="482"/>
        <w:rPr>
          <w:rFonts w:ascii="宋体" w:hAnsi="宋体"/>
          <w:b/>
          <w:sz w:val="24"/>
          <w:szCs w:val="24"/>
        </w:rPr>
      </w:pPr>
      <w:r>
        <w:rPr>
          <w:rFonts w:ascii="宋体" w:hAnsi="宋体" w:hint="eastAsia"/>
          <w:b/>
          <w:sz w:val="24"/>
          <w:szCs w:val="24"/>
        </w:rPr>
        <w:t>3</w:t>
      </w:r>
      <w:r>
        <w:rPr>
          <w:rFonts w:ascii="宋体" w:hAnsi="宋体" w:hint="eastAsia"/>
          <w:b/>
          <w:sz w:val="24"/>
          <w:szCs w:val="24"/>
        </w:rPr>
        <w:t>、重整投资方案</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为依法推进债务人重整进程，兼顾债权人、债务人及其股东等各方利益，意向投资人应当围绕偿债方案和经营方案制作重整投资方案，确保重整方案具有可行性、能够得到有效执行。如有多个意向投资人满足资格条件的前提下，意向投资人出具的重整投资方案由评审工作小组评审后选择最佳方案确定重整投资人，并由管理人根据该投资方案编制《重整计划（草案）》提交债权人会议表决。</w:t>
      </w:r>
    </w:p>
    <w:p w:rsidR="009F32F6" w:rsidRDefault="00E51748">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rPr>
        <w:t>、重整投资文件的编制</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）意向投资人应仔细阅读本招募公告，按要求编制重整投资文件，并保证重整投资文件正文和附件的真实性、准确性和完整性。</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Pr>
          <w:rFonts w:ascii="宋体" w:hAnsi="宋体" w:hint="eastAsia"/>
          <w:sz w:val="24"/>
          <w:szCs w:val="24"/>
        </w:rPr>
        <w:t>重整投资文件的内容不得设置假设性前提。</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）重整投资文件应包括但不限于以下内容：</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1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①</w:t>
      </w:r>
      <w:r>
        <w:rPr>
          <w:rFonts w:ascii="宋体" w:hAnsi="宋体"/>
          <w:sz w:val="24"/>
          <w:szCs w:val="24"/>
        </w:rPr>
        <w:fldChar w:fldCharType="end"/>
      </w:r>
      <w:r>
        <w:rPr>
          <w:rFonts w:ascii="宋体" w:hAnsi="宋体" w:hint="eastAsia"/>
          <w:sz w:val="24"/>
          <w:szCs w:val="24"/>
        </w:rPr>
        <w:t>意向投资人介绍（意向投资人主体资格、股权结构、历史沿革、经营范围等；如为联合投资人，需说明各主体的角色分工、权利义务等，联合投资人相互之间应当承担连带责任）。</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2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②</w:t>
      </w:r>
      <w:r>
        <w:rPr>
          <w:rFonts w:ascii="宋体" w:hAnsi="宋体"/>
          <w:sz w:val="24"/>
          <w:szCs w:val="24"/>
        </w:rPr>
        <w:fldChar w:fldCharType="end"/>
      </w:r>
      <w:r>
        <w:rPr>
          <w:rFonts w:ascii="宋体" w:hAnsi="宋体" w:hint="eastAsia"/>
          <w:sz w:val="24"/>
          <w:szCs w:val="24"/>
        </w:rPr>
        <w:t>意向投资人的主要业务（业绩）情况和</w:t>
      </w:r>
      <w:r>
        <w:rPr>
          <w:rFonts w:ascii="宋体" w:hAnsi="宋体" w:hint="eastAsia"/>
          <w:sz w:val="24"/>
          <w:szCs w:val="24"/>
        </w:rPr>
        <w:t xml:space="preserve"> 2015-2017</w:t>
      </w:r>
      <w:r>
        <w:rPr>
          <w:rFonts w:ascii="宋体" w:hAnsi="宋体" w:hint="eastAsia"/>
          <w:sz w:val="24"/>
          <w:szCs w:val="24"/>
        </w:rPr>
        <w:t>年及</w:t>
      </w:r>
      <w:r>
        <w:rPr>
          <w:rFonts w:ascii="宋体" w:hAnsi="宋体" w:hint="eastAsia"/>
          <w:sz w:val="24"/>
          <w:szCs w:val="24"/>
        </w:rPr>
        <w:t>2018</w:t>
      </w:r>
      <w:r>
        <w:rPr>
          <w:rFonts w:ascii="宋体" w:hAnsi="宋体" w:hint="eastAsia"/>
          <w:sz w:val="24"/>
          <w:szCs w:val="24"/>
        </w:rPr>
        <w:t>年</w:t>
      </w:r>
      <w:r>
        <w:rPr>
          <w:rFonts w:ascii="宋体" w:hAnsi="宋体" w:hint="eastAsia"/>
          <w:sz w:val="24"/>
          <w:szCs w:val="24"/>
        </w:rPr>
        <w:t>1~9</w:t>
      </w:r>
      <w:r>
        <w:rPr>
          <w:rFonts w:ascii="宋体" w:hAnsi="宋体" w:hint="eastAsia"/>
          <w:sz w:val="24"/>
          <w:szCs w:val="24"/>
        </w:rPr>
        <w:t>月的</w:t>
      </w:r>
      <w:r>
        <w:rPr>
          <w:rFonts w:ascii="宋体" w:hAnsi="宋体" w:hint="eastAsia"/>
          <w:sz w:val="24"/>
          <w:szCs w:val="24"/>
        </w:rPr>
        <w:lastRenderedPageBreak/>
        <w:t>主要财务指标（资产、负债、主营业务收入、净利润、现金流量等，如为联合投资人，需说明负责营业事务的投资主体的主要业务情况和主要财</w:t>
      </w:r>
      <w:r>
        <w:rPr>
          <w:rFonts w:ascii="宋体" w:hAnsi="宋体" w:hint="eastAsia"/>
          <w:sz w:val="24"/>
          <w:szCs w:val="24"/>
        </w:rPr>
        <w:t>务指标）。</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3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③</w:t>
      </w:r>
      <w:r>
        <w:rPr>
          <w:rFonts w:ascii="宋体" w:hAnsi="宋体"/>
          <w:sz w:val="24"/>
          <w:szCs w:val="24"/>
        </w:rPr>
        <w:fldChar w:fldCharType="end"/>
      </w:r>
      <w:r>
        <w:rPr>
          <w:rFonts w:ascii="宋体" w:hAnsi="宋体" w:hint="eastAsia"/>
          <w:sz w:val="24"/>
          <w:szCs w:val="24"/>
        </w:rPr>
        <w:t>重整投资方案。</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4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④</w:t>
      </w:r>
      <w:r>
        <w:rPr>
          <w:rFonts w:ascii="宋体" w:hAnsi="宋体"/>
          <w:sz w:val="24"/>
          <w:szCs w:val="24"/>
        </w:rPr>
        <w:fldChar w:fldCharType="end"/>
      </w:r>
      <w:r>
        <w:rPr>
          <w:rFonts w:ascii="宋体" w:hAnsi="宋体" w:hint="eastAsia"/>
          <w:sz w:val="24"/>
          <w:szCs w:val="24"/>
        </w:rPr>
        <w:t>相关附件，包括：</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a</w:t>
      </w:r>
      <w:r>
        <w:rPr>
          <w:rFonts w:ascii="宋体" w:hAnsi="宋体" w:hint="eastAsia"/>
          <w:sz w:val="24"/>
          <w:szCs w:val="24"/>
        </w:rPr>
        <w:t>、企业法人营业执照或非法人企业注册登记证书复印件；</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b</w:t>
      </w:r>
      <w:r>
        <w:rPr>
          <w:rFonts w:ascii="宋体" w:hAnsi="宋体" w:hint="eastAsia"/>
          <w:sz w:val="24"/>
          <w:szCs w:val="24"/>
        </w:rPr>
        <w:t>、现行有效的企业法人或非法人企业章程复印件；</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c</w:t>
      </w:r>
      <w:r>
        <w:rPr>
          <w:rFonts w:ascii="宋体" w:hAnsi="宋体" w:hint="eastAsia"/>
          <w:sz w:val="24"/>
          <w:szCs w:val="24"/>
        </w:rPr>
        <w:t>、法定代表人或负责人身份证明原件和身份证复印件；</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d</w:t>
      </w:r>
      <w:r>
        <w:rPr>
          <w:rFonts w:ascii="宋体" w:hAnsi="宋体" w:hint="eastAsia"/>
          <w:sz w:val="24"/>
          <w:szCs w:val="24"/>
        </w:rPr>
        <w:t>、授权委托书原件和受委托人身份证复印件；</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e</w:t>
      </w:r>
      <w:r>
        <w:rPr>
          <w:rFonts w:ascii="宋体" w:hAnsi="宋体" w:hint="eastAsia"/>
          <w:sz w:val="24"/>
          <w:szCs w:val="24"/>
        </w:rPr>
        <w:t>、意向投资人董事会、股东（大）会等决策机构同意对债务人重整投资的决议原件；</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f</w:t>
      </w:r>
      <w:r>
        <w:rPr>
          <w:rFonts w:ascii="宋体" w:hAnsi="宋体" w:hint="eastAsia"/>
          <w:sz w:val="24"/>
          <w:szCs w:val="24"/>
        </w:rPr>
        <w:t>、投资保证金支付凭证复印件；</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g</w:t>
      </w:r>
      <w:r>
        <w:rPr>
          <w:rFonts w:ascii="宋体" w:hAnsi="宋体" w:hint="eastAsia"/>
          <w:sz w:val="24"/>
          <w:szCs w:val="24"/>
        </w:rPr>
        <w:t>、载明联系人、联系电话、电子邮箱、传真号码、通信地址的书面文件。</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如意向投资人为个人的，则相关附件为意向投资人身份证复印件，授权委托书原件和受委托人身份证复印件（如有受委托人），投资保证金支付凭证复印件，载明联系人、联系电话、电子邮箱、传真号码、通信地址的书面文件。</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意向投资人向管理人提交的重整投资文件正文和附件每页均需加盖意向投资人公章；如意向投资人为自然人的，则由其本人或受托人签名。</w:t>
      </w:r>
    </w:p>
    <w:p w:rsidR="009F32F6" w:rsidRDefault="00E51748">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rPr>
        <w:t>、重整投资文件的提交</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）重整投资文件的密封与标志</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1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①</w:t>
      </w:r>
      <w:r>
        <w:rPr>
          <w:rFonts w:ascii="宋体" w:hAnsi="宋体"/>
          <w:sz w:val="24"/>
          <w:szCs w:val="24"/>
        </w:rPr>
        <w:fldChar w:fldCharType="end"/>
      </w:r>
      <w:r>
        <w:rPr>
          <w:rFonts w:ascii="宋体" w:hAnsi="宋体" w:hint="eastAsia"/>
          <w:sz w:val="24"/>
          <w:szCs w:val="24"/>
        </w:rPr>
        <w:t>重整投资文件应装订成册，封面应加盖意向投资人公章，并由法定代表人（负责人）或受委托人签名；如意向投</w:t>
      </w:r>
      <w:r>
        <w:rPr>
          <w:rFonts w:ascii="宋体" w:hAnsi="宋体" w:hint="eastAsia"/>
          <w:sz w:val="24"/>
          <w:szCs w:val="24"/>
        </w:rPr>
        <w:t>资人为自然人的，则由其本人或受托人签名。</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2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②</w:t>
      </w:r>
      <w:r>
        <w:rPr>
          <w:rFonts w:ascii="宋体" w:hAnsi="宋体"/>
          <w:sz w:val="24"/>
          <w:szCs w:val="24"/>
        </w:rPr>
        <w:fldChar w:fldCharType="end"/>
      </w:r>
      <w:r>
        <w:rPr>
          <w:rFonts w:ascii="宋体" w:hAnsi="宋体" w:hint="eastAsia"/>
          <w:sz w:val="24"/>
          <w:szCs w:val="24"/>
        </w:rPr>
        <w:t>意向投资人应将重整投资文件一式六份装袋密封。</w:t>
      </w:r>
    </w:p>
    <w:p w:rsidR="009F32F6" w:rsidRDefault="00E51748">
      <w:pPr>
        <w:spacing w:line="360" w:lineRule="auto"/>
        <w:ind w:firstLineChars="200" w:firstLine="480"/>
        <w:rPr>
          <w:rFonts w:ascii="宋体" w:hAnsi="宋体"/>
          <w:sz w:val="24"/>
          <w:szCs w:val="24"/>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 3 \* GB3</w:instrText>
      </w:r>
      <w:r>
        <w:rPr>
          <w:rFonts w:ascii="宋体" w:hAnsi="宋体"/>
          <w:sz w:val="24"/>
          <w:szCs w:val="24"/>
        </w:rPr>
        <w:instrText xml:space="preserve"> </w:instrText>
      </w:r>
      <w:r>
        <w:rPr>
          <w:rFonts w:ascii="宋体" w:hAnsi="宋体"/>
          <w:sz w:val="24"/>
          <w:szCs w:val="24"/>
        </w:rPr>
        <w:fldChar w:fldCharType="separate"/>
      </w:r>
      <w:r>
        <w:rPr>
          <w:rFonts w:ascii="宋体" w:hAnsi="宋体" w:hint="eastAsia"/>
          <w:sz w:val="24"/>
          <w:szCs w:val="24"/>
        </w:rPr>
        <w:t>③</w:t>
      </w:r>
      <w:r>
        <w:rPr>
          <w:rFonts w:ascii="宋体" w:hAnsi="宋体"/>
          <w:sz w:val="24"/>
          <w:szCs w:val="24"/>
        </w:rPr>
        <w:fldChar w:fldCharType="end"/>
      </w:r>
      <w:r>
        <w:rPr>
          <w:rFonts w:ascii="宋体" w:hAnsi="宋体" w:hint="eastAsia"/>
          <w:sz w:val="24"/>
          <w:szCs w:val="24"/>
        </w:rPr>
        <w:t>意向投资人提交重整投资文件时，需提供与投资文件内容一致的电子文档。电子文档应刻录到光盘上或存入</w:t>
      </w:r>
      <w:r>
        <w:rPr>
          <w:rFonts w:ascii="宋体" w:hAnsi="宋体" w:hint="eastAsia"/>
          <w:sz w:val="24"/>
          <w:szCs w:val="24"/>
        </w:rPr>
        <w:t>U</w:t>
      </w:r>
      <w:r>
        <w:rPr>
          <w:rFonts w:ascii="宋体" w:hAnsi="宋体" w:hint="eastAsia"/>
          <w:sz w:val="24"/>
          <w:szCs w:val="24"/>
        </w:rPr>
        <w:t>盘，与重整投资文件一起密封提交。</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）提交的时间</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意向投资人最迟应于</w:t>
      </w:r>
      <w:r>
        <w:rPr>
          <w:rFonts w:ascii="宋体" w:hAnsi="宋体" w:hint="eastAsia"/>
          <w:b/>
          <w:sz w:val="24"/>
          <w:szCs w:val="24"/>
        </w:rPr>
        <w:t>201</w:t>
      </w:r>
      <w:r>
        <w:rPr>
          <w:rFonts w:ascii="宋体" w:hAnsi="宋体"/>
          <w:b/>
          <w:sz w:val="24"/>
          <w:szCs w:val="24"/>
        </w:rPr>
        <w:t>8</w:t>
      </w:r>
      <w:r>
        <w:rPr>
          <w:rFonts w:ascii="宋体" w:hAnsi="宋体" w:hint="eastAsia"/>
          <w:b/>
          <w:sz w:val="24"/>
          <w:szCs w:val="24"/>
        </w:rPr>
        <w:t>年</w:t>
      </w:r>
      <w:r>
        <w:rPr>
          <w:rFonts w:ascii="宋体" w:hAnsi="宋体" w:hint="eastAsia"/>
          <w:b/>
          <w:sz w:val="24"/>
          <w:szCs w:val="24"/>
        </w:rPr>
        <w:t>1</w:t>
      </w:r>
      <w:r>
        <w:rPr>
          <w:rFonts w:ascii="宋体" w:hAnsi="宋体"/>
          <w:b/>
          <w:sz w:val="24"/>
          <w:szCs w:val="24"/>
        </w:rPr>
        <w:t>2</w:t>
      </w:r>
      <w:r>
        <w:rPr>
          <w:rFonts w:ascii="宋体" w:hAnsi="宋体" w:hint="eastAsia"/>
          <w:b/>
          <w:sz w:val="24"/>
          <w:szCs w:val="24"/>
        </w:rPr>
        <w:t>月</w:t>
      </w:r>
      <w:r>
        <w:rPr>
          <w:rFonts w:ascii="宋体" w:hAnsi="宋体" w:hint="eastAsia"/>
          <w:b/>
          <w:sz w:val="24"/>
          <w:szCs w:val="24"/>
        </w:rPr>
        <w:t>2</w:t>
      </w:r>
      <w:r>
        <w:rPr>
          <w:rFonts w:ascii="宋体" w:hAnsi="宋体"/>
          <w:b/>
          <w:sz w:val="24"/>
          <w:szCs w:val="24"/>
        </w:rPr>
        <w:t>9</w:t>
      </w:r>
      <w:r>
        <w:rPr>
          <w:rFonts w:ascii="宋体" w:hAnsi="宋体" w:hint="eastAsia"/>
          <w:b/>
          <w:sz w:val="24"/>
          <w:szCs w:val="24"/>
        </w:rPr>
        <w:t>日</w:t>
      </w:r>
      <w:r>
        <w:rPr>
          <w:rFonts w:ascii="宋体" w:hAnsi="宋体" w:hint="eastAsia"/>
          <w:b/>
          <w:sz w:val="24"/>
          <w:szCs w:val="24"/>
        </w:rPr>
        <w:t>16</w:t>
      </w:r>
      <w:r>
        <w:rPr>
          <w:rFonts w:ascii="宋体" w:hAnsi="宋体" w:hint="eastAsia"/>
          <w:b/>
          <w:sz w:val="24"/>
          <w:szCs w:val="24"/>
        </w:rPr>
        <w:t>点前</w:t>
      </w:r>
      <w:r>
        <w:rPr>
          <w:rFonts w:ascii="宋体" w:hAnsi="宋体" w:hint="eastAsia"/>
          <w:sz w:val="24"/>
          <w:szCs w:val="24"/>
        </w:rPr>
        <w:t>向管理人提交重整投资文件。</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）重整投资文件的修改与撤回</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lastRenderedPageBreak/>
        <w:t>在重整投资文件提交截止日前，意向投资人可以修改或撤回已递交的重整投资文件，但需以书面形式通知管理人；意向</w:t>
      </w:r>
      <w:r>
        <w:rPr>
          <w:rFonts w:ascii="宋体" w:hAnsi="宋体" w:hint="eastAsia"/>
          <w:sz w:val="24"/>
          <w:szCs w:val="24"/>
        </w:rPr>
        <w:t>投资人修改或撤回已递交重整投资文件的书面通知应加盖意向投资人公章并由法定代表人（负责人）或受委托人签名，如意向投资人自然人的则由其本人或受托人签名。意向投资人修改投资文件的，最迟应于</w:t>
      </w:r>
      <w:r>
        <w:rPr>
          <w:rFonts w:ascii="宋体" w:hAnsi="宋体" w:hint="eastAsia"/>
          <w:b/>
          <w:sz w:val="24"/>
          <w:szCs w:val="24"/>
        </w:rPr>
        <w:t>201</w:t>
      </w:r>
      <w:r>
        <w:rPr>
          <w:rFonts w:ascii="宋体" w:hAnsi="宋体"/>
          <w:b/>
          <w:sz w:val="24"/>
          <w:szCs w:val="24"/>
        </w:rPr>
        <w:t>8</w:t>
      </w:r>
      <w:r>
        <w:rPr>
          <w:rFonts w:ascii="宋体" w:hAnsi="宋体" w:hint="eastAsia"/>
          <w:b/>
          <w:sz w:val="24"/>
          <w:szCs w:val="24"/>
        </w:rPr>
        <w:t>年</w:t>
      </w:r>
      <w:r>
        <w:rPr>
          <w:rFonts w:ascii="宋体" w:hAnsi="宋体" w:hint="eastAsia"/>
          <w:b/>
          <w:sz w:val="24"/>
          <w:szCs w:val="24"/>
        </w:rPr>
        <w:t>1</w:t>
      </w:r>
      <w:r>
        <w:rPr>
          <w:rFonts w:ascii="宋体" w:hAnsi="宋体"/>
          <w:b/>
          <w:sz w:val="24"/>
          <w:szCs w:val="24"/>
        </w:rPr>
        <w:t>2</w:t>
      </w:r>
      <w:r>
        <w:rPr>
          <w:rFonts w:ascii="宋体" w:hAnsi="宋体" w:hint="eastAsia"/>
          <w:b/>
          <w:sz w:val="24"/>
          <w:szCs w:val="24"/>
        </w:rPr>
        <w:t>月</w:t>
      </w:r>
      <w:r>
        <w:rPr>
          <w:rFonts w:ascii="宋体" w:hAnsi="宋体" w:hint="eastAsia"/>
          <w:b/>
          <w:sz w:val="24"/>
          <w:szCs w:val="24"/>
        </w:rPr>
        <w:t>2</w:t>
      </w:r>
      <w:r>
        <w:rPr>
          <w:rFonts w:ascii="宋体" w:hAnsi="宋体"/>
          <w:b/>
          <w:sz w:val="24"/>
          <w:szCs w:val="24"/>
        </w:rPr>
        <w:t>9</w:t>
      </w:r>
      <w:r>
        <w:rPr>
          <w:rFonts w:ascii="宋体" w:hAnsi="宋体" w:hint="eastAsia"/>
          <w:b/>
          <w:sz w:val="24"/>
          <w:szCs w:val="24"/>
        </w:rPr>
        <w:t>日</w:t>
      </w:r>
      <w:r>
        <w:rPr>
          <w:rFonts w:ascii="宋体" w:hAnsi="宋体" w:hint="eastAsia"/>
          <w:b/>
          <w:sz w:val="24"/>
          <w:szCs w:val="24"/>
        </w:rPr>
        <w:t>16</w:t>
      </w:r>
      <w:r>
        <w:rPr>
          <w:rFonts w:ascii="宋体" w:hAnsi="宋体" w:hint="eastAsia"/>
          <w:b/>
          <w:sz w:val="24"/>
          <w:szCs w:val="24"/>
        </w:rPr>
        <w:t>点前</w:t>
      </w:r>
      <w:r>
        <w:rPr>
          <w:rFonts w:ascii="宋体" w:hAnsi="宋体" w:hint="eastAsia"/>
          <w:sz w:val="24"/>
          <w:szCs w:val="24"/>
        </w:rPr>
        <w:t>，且应按前述重整投资文件的提交方式，向管理人提交最终文件。</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）重整投资文件接收地址：</w:t>
      </w:r>
    </w:p>
    <w:p w:rsidR="009F32F6" w:rsidRDefault="00E51748">
      <w:pPr>
        <w:spacing w:line="360" w:lineRule="auto"/>
        <w:ind w:firstLineChars="200" w:firstLine="480"/>
        <w:rPr>
          <w:rFonts w:ascii="宋体" w:hAnsi="宋体" w:cs="DengXian"/>
          <w:sz w:val="24"/>
          <w:szCs w:val="24"/>
        </w:rPr>
      </w:pPr>
      <w:r>
        <w:rPr>
          <w:rFonts w:ascii="宋体" w:hAnsi="宋体" w:cs="DengXian"/>
          <w:sz w:val="24"/>
          <w:szCs w:val="24"/>
        </w:rPr>
        <w:fldChar w:fldCharType="begin"/>
      </w:r>
      <w:r>
        <w:rPr>
          <w:rFonts w:ascii="宋体" w:hAnsi="宋体" w:cs="DengXian"/>
          <w:sz w:val="24"/>
          <w:szCs w:val="24"/>
        </w:rPr>
        <w:instrText xml:space="preserve"> </w:instrText>
      </w:r>
      <w:r>
        <w:rPr>
          <w:rFonts w:ascii="宋体" w:hAnsi="宋体" w:cs="DengXian" w:hint="eastAsia"/>
          <w:sz w:val="24"/>
          <w:szCs w:val="24"/>
        </w:rPr>
        <w:instrText>= 1 \* GB3</w:instrText>
      </w:r>
      <w:r>
        <w:rPr>
          <w:rFonts w:ascii="宋体" w:hAnsi="宋体" w:cs="DengXian"/>
          <w:sz w:val="24"/>
          <w:szCs w:val="24"/>
        </w:rPr>
        <w:instrText xml:space="preserve"> </w:instrText>
      </w:r>
      <w:r>
        <w:rPr>
          <w:rFonts w:ascii="宋体" w:hAnsi="宋体" w:cs="DengXian"/>
          <w:sz w:val="24"/>
          <w:szCs w:val="24"/>
        </w:rPr>
        <w:fldChar w:fldCharType="separate"/>
      </w:r>
      <w:r>
        <w:rPr>
          <w:rFonts w:ascii="宋体" w:hAnsi="宋体" w:cs="DengXian" w:hint="eastAsia"/>
          <w:sz w:val="24"/>
          <w:szCs w:val="24"/>
        </w:rPr>
        <w:t>①</w:t>
      </w:r>
      <w:r>
        <w:rPr>
          <w:rFonts w:ascii="宋体" w:hAnsi="宋体" w:cs="DengXian"/>
          <w:sz w:val="24"/>
          <w:szCs w:val="24"/>
        </w:rPr>
        <w:fldChar w:fldCharType="end"/>
      </w:r>
      <w:r>
        <w:rPr>
          <w:rFonts w:ascii="宋体" w:hAnsi="宋体"/>
          <w:bCs/>
          <w:sz w:val="24"/>
          <w:szCs w:val="28"/>
        </w:rPr>
        <w:t>江苏省苏州工业园区星汉街</w:t>
      </w:r>
      <w:r>
        <w:rPr>
          <w:rFonts w:ascii="宋体" w:hAnsi="宋体"/>
          <w:bCs/>
          <w:sz w:val="24"/>
          <w:szCs w:val="28"/>
        </w:rPr>
        <w:t>5</w:t>
      </w:r>
      <w:r>
        <w:rPr>
          <w:rFonts w:ascii="宋体" w:hAnsi="宋体"/>
          <w:bCs/>
          <w:sz w:val="24"/>
          <w:szCs w:val="28"/>
        </w:rPr>
        <w:t>号腾飞新苏工业坊</w:t>
      </w:r>
      <w:r>
        <w:rPr>
          <w:rFonts w:ascii="宋体" w:hAnsi="宋体"/>
          <w:bCs/>
          <w:sz w:val="24"/>
          <w:szCs w:val="28"/>
        </w:rPr>
        <w:t>B</w:t>
      </w:r>
      <w:r>
        <w:rPr>
          <w:rFonts w:ascii="宋体" w:hAnsi="宋体"/>
          <w:bCs/>
          <w:sz w:val="24"/>
          <w:szCs w:val="28"/>
        </w:rPr>
        <w:t>幢</w:t>
      </w:r>
      <w:r>
        <w:rPr>
          <w:rFonts w:ascii="宋体" w:hAnsi="宋体"/>
          <w:bCs/>
          <w:sz w:val="24"/>
          <w:szCs w:val="28"/>
        </w:rPr>
        <w:t>301</w:t>
      </w:r>
      <w:r>
        <w:rPr>
          <w:rFonts w:ascii="宋体" w:hAnsi="宋体"/>
          <w:bCs/>
          <w:sz w:val="24"/>
          <w:szCs w:val="28"/>
        </w:rPr>
        <w:t>室</w:t>
      </w:r>
      <w:r>
        <w:rPr>
          <w:rFonts w:ascii="宋体" w:hAnsi="宋体" w:cs="DengXian" w:hint="eastAsia"/>
          <w:sz w:val="24"/>
          <w:szCs w:val="24"/>
        </w:rPr>
        <w:t>；</w:t>
      </w:r>
    </w:p>
    <w:p w:rsidR="009F32F6" w:rsidRDefault="00E51748">
      <w:pPr>
        <w:spacing w:line="360" w:lineRule="auto"/>
        <w:ind w:firstLineChars="200" w:firstLine="480"/>
        <w:rPr>
          <w:rFonts w:ascii="宋体" w:hAnsi="宋体" w:cs="DengXian"/>
          <w:sz w:val="24"/>
          <w:szCs w:val="24"/>
        </w:rPr>
      </w:pPr>
      <w:r>
        <w:rPr>
          <w:rFonts w:ascii="宋体" w:hAnsi="宋体" w:cs="DengXian"/>
          <w:sz w:val="24"/>
          <w:szCs w:val="24"/>
        </w:rPr>
        <w:fldChar w:fldCharType="begin"/>
      </w:r>
      <w:r>
        <w:rPr>
          <w:rFonts w:ascii="宋体" w:hAnsi="宋体" w:cs="DengXian"/>
          <w:sz w:val="24"/>
          <w:szCs w:val="24"/>
        </w:rPr>
        <w:instrText xml:space="preserve"> </w:instrText>
      </w:r>
      <w:r>
        <w:rPr>
          <w:rFonts w:ascii="宋体" w:hAnsi="宋体" w:cs="DengXian" w:hint="eastAsia"/>
          <w:sz w:val="24"/>
          <w:szCs w:val="24"/>
        </w:rPr>
        <w:instrText>= 2 \* GB3</w:instrText>
      </w:r>
      <w:r>
        <w:rPr>
          <w:rFonts w:ascii="宋体" w:hAnsi="宋体" w:cs="DengXian"/>
          <w:sz w:val="24"/>
          <w:szCs w:val="24"/>
        </w:rPr>
        <w:instrText xml:space="preserve"> </w:instrText>
      </w:r>
      <w:r>
        <w:rPr>
          <w:rFonts w:ascii="宋体" w:hAnsi="宋体" w:cs="DengXian"/>
          <w:sz w:val="24"/>
          <w:szCs w:val="24"/>
        </w:rPr>
        <w:fldChar w:fldCharType="separate"/>
      </w:r>
      <w:r>
        <w:rPr>
          <w:rFonts w:ascii="宋体" w:hAnsi="宋体" w:cs="DengXian" w:hint="eastAsia"/>
          <w:sz w:val="24"/>
          <w:szCs w:val="24"/>
        </w:rPr>
        <w:t>②</w:t>
      </w:r>
      <w:r>
        <w:rPr>
          <w:rFonts w:ascii="宋体" w:hAnsi="宋体" w:cs="DengXian"/>
          <w:sz w:val="24"/>
          <w:szCs w:val="24"/>
        </w:rPr>
        <w:fldChar w:fldCharType="end"/>
      </w:r>
      <w:r>
        <w:rPr>
          <w:rFonts w:ascii="宋体" w:hAnsi="宋体" w:cs="DengXian" w:hint="eastAsia"/>
          <w:sz w:val="24"/>
          <w:szCs w:val="24"/>
        </w:rPr>
        <w:t>江苏省苏州市吴江经济技术开展区同里镇屯村东路</w:t>
      </w:r>
      <w:r>
        <w:rPr>
          <w:rFonts w:ascii="宋体" w:hAnsi="宋体" w:cs="DengXian" w:hint="eastAsia"/>
          <w:sz w:val="24"/>
          <w:szCs w:val="24"/>
        </w:rPr>
        <w:t>9</w:t>
      </w:r>
      <w:r>
        <w:rPr>
          <w:rFonts w:ascii="宋体" w:hAnsi="宋体" w:cs="DengXian" w:hint="eastAsia"/>
          <w:sz w:val="24"/>
          <w:szCs w:val="24"/>
        </w:rPr>
        <w:t>号。</w:t>
      </w:r>
    </w:p>
    <w:p w:rsidR="009F32F6" w:rsidRDefault="00E51748">
      <w:pPr>
        <w:spacing w:line="360" w:lineRule="auto"/>
        <w:ind w:firstLineChars="200" w:firstLine="480"/>
        <w:rPr>
          <w:rFonts w:ascii="宋体" w:hAnsi="宋体" w:cs="Helvetica"/>
          <w:color w:val="000000"/>
          <w:kern w:val="0"/>
          <w:sz w:val="24"/>
          <w:szCs w:val="24"/>
        </w:rPr>
      </w:pPr>
      <w:r>
        <w:rPr>
          <w:rFonts w:ascii="宋体" w:hAnsi="宋体" w:cs="DengXian" w:hint="eastAsia"/>
          <w:sz w:val="24"/>
          <w:szCs w:val="24"/>
        </w:rPr>
        <w:t xml:space="preserve">  </w:t>
      </w:r>
      <w:r>
        <w:rPr>
          <w:rFonts w:ascii="宋体" w:hAnsi="宋体" w:cs="DengXian" w:hint="eastAsia"/>
          <w:sz w:val="24"/>
          <w:szCs w:val="24"/>
        </w:rPr>
        <w:t>联系人：</w:t>
      </w:r>
      <w:r>
        <w:rPr>
          <w:rFonts w:ascii="宋体" w:hAnsi="宋体" w:cs="Helvetica" w:hint="eastAsia"/>
          <w:color w:val="000000"/>
          <w:kern w:val="0"/>
          <w:sz w:val="24"/>
          <w:szCs w:val="24"/>
        </w:rPr>
        <w:t>程女士：</w:t>
      </w:r>
      <w:r>
        <w:rPr>
          <w:rFonts w:ascii="宋体" w:hAnsi="宋体" w:cs="Helvetica" w:hint="eastAsia"/>
          <w:color w:val="000000"/>
          <w:kern w:val="0"/>
          <w:sz w:val="24"/>
          <w:szCs w:val="24"/>
        </w:rPr>
        <w:t>13862117315</w:t>
      </w:r>
    </w:p>
    <w:p w:rsidR="009F32F6" w:rsidRDefault="00E51748">
      <w:pPr>
        <w:spacing w:line="360" w:lineRule="auto"/>
        <w:ind w:firstLineChars="200" w:firstLine="480"/>
        <w:rPr>
          <w:rFonts w:ascii="宋体" w:hAnsi="宋体" w:cs="Helvetica"/>
          <w:color w:val="000000"/>
          <w:kern w:val="0"/>
          <w:sz w:val="24"/>
          <w:szCs w:val="24"/>
        </w:rPr>
      </w:pPr>
      <w:r>
        <w:rPr>
          <w:rFonts w:ascii="宋体" w:hAnsi="宋体" w:cs="Helvetica" w:hint="eastAsia"/>
          <w:color w:val="000000"/>
          <w:kern w:val="0"/>
          <w:sz w:val="24"/>
          <w:szCs w:val="24"/>
        </w:rPr>
        <w:tab/>
      </w:r>
      <w:r>
        <w:rPr>
          <w:rFonts w:ascii="宋体" w:hAnsi="宋体" w:cs="Helvetica" w:hint="eastAsia"/>
          <w:color w:val="000000"/>
          <w:kern w:val="0"/>
          <w:sz w:val="24"/>
          <w:szCs w:val="24"/>
        </w:rPr>
        <w:tab/>
        <w:t xml:space="preserve">    </w:t>
      </w:r>
      <w:r>
        <w:rPr>
          <w:rFonts w:ascii="宋体" w:hAnsi="宋体" w:cs="Helvetica" w:hint="eastAsia"/>
          <w:color w:val="000000"/>
          <w:kern w:val="0"/>
          <w:sz w:val="24"/>
          <w:szCs w:val="24"/>
        </w:rPr>
        <w:t>孙女士：</w:t>
      </w:r>
      <w:r>
        <w:rPr>
          <w:rFonts w:ascii="宋体" w:hAnsi="宋体" w:cs="Helvetica" w:hint="eastAsia"/>
          <w:color w:val="000000"/>
          <w:kern w:val="0"/>
          <w:sz w:val="24"/>
          <w:szCs w:val="24"/>
        </w:rPr>
        <w:t>13338660577</w:t>
      </w:r>
    </w:p>
    <w:p w:rsidR="009F32F6" w:rsidRDefault="00E51748">
      <w:pPr>
        <w:widowControl/>
        <w:spacing w:line="360" w:lineRule="auto"/>
        <w:ind w:firstLineChars="200" w:firstLine="480"/>
        <w:jc w:val="left"/>
        <w:rPr>
          <w:rFonts w:ascii="宋体" w:hAnsi="宋体"/>
          <w:color w:val="000000"/>
          <w:kern w:val="0"/>
          <w:sz w:val="24"/>
          <w:szCs w:val="24"/>
        </w:rPr>
      </w:pPr>
      <w:r>
        <w:rPr>
          <w:rFonts w:ascii="宋体" w:hAnsi="宋体"/>
          <w:color w:val="000000"/>
          <w:kern w:val="0"/>
          <w:sz w:val="24"/>
          <w:szCs w:val="24"/>
        </w:rPr>
        <w:t>固话联系方式：</w:t>
      </w:r>
      <w:r>
        <w:rPr>
          <w:rFonts w:ascii="宋体" w:hAnsi="宋体"/>
          <w:color w:val="000000"/>
          <w:kern w:val="0"/>
          <w:sz w:val="24"/>
          <w:szCs w:val="24"/>
        </w:rPr>
        <w:t>0512-67505251</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意向投资人如有疑问，可按上述联系方式与管理人联系并了解债务人的详细情况。</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申明：意向投资人缴纳投资保证金并向管理人提交重整投资文件的，视为同意按债务人现状进行投资，相关投资风险自行承担。</w:t>
      </w:r>
    </w:p>
    <w:p w:rsidR="009F32F6" w:rsidRDefault="00E51748">
      <w:pPr>
        <w:spacing w:line="360" w:lineRule="auto"/>
        <w:ind w:firstLineChars="200" w:firstLine="480"/>
        <w:rPr>
          <w:rFonts w:ascii="宋体" w:hAnsi="宋体" w:cs="DengXian"/>
          <w:sz w:val="24"/>
          <w:szCs w:val="24"/>
        </w:rPr>
      </w:pPr>
      <w:r>
        <w:rPr>
          <w:rFonts w:ascii="宋体" w:hAnsi="宋体" w:cs="DengXian" w:hint="eastAsia"/>
          <w:sz w:val="24"/>
          <w:szCs w:val="24"/>
        </w:rPr>
        <w:t>特此公告！</w:t>
      </w:r>
    </w:p>
    <w:p w:rsidR="009F32F6" w:rsidRDefault="00E51748">
      <w:pPr>
        <w:spacing w:line="360" w:lineRule="auto"/>
        <w:ind w:firstLineChars="200" w:firstLine="480"/>
        <w:rPr>
          <w:rFonts w:ascii="宋体" w:hAnsi="宋体"/>
          <w:sz w:val="24"/>
          <w:szCs w:val="24"/>
        </w:rPr>
      </w:pP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苏州达亿装饰工程有限公司管理人</w:t>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hint="eastAsia"/>
          <w:sz w:val="24"/>
          <w:szCs w:val="24"/>
        </w:rPr>
        <w:tab/>
      </w:r>
      <w:r>
        <w:rPr>
          <w:rFonts w:ascii="宋体" w:hAnsi="宋体"/>
          <w:sz w:val="24"/>
          <w:szCs w:val="24"/>
        </w:rPr>
        <w:t>2018</w:t>
      </w:r>
      <w:r>
        <w:rPr>
          <w:rFonts w:ascii="宋体" w:hAnsi="宋体" w:hint="eastAsia"/>
          <w:sz w:val="24"/>
          <w:szCs w:val="24"/>
        </w:rPr>
        <w:t>年</w:t>
      </w:r>
      <w:r>
        <w:rPr>
          <w:rFonts w:ascii="宋体" w:hAnsi="宋体" w:hint="eastAsia"/>
          <w:sz w:val="24"/>
          <w:szCs w:val="24"/>
        </w:rPr>
        <w:t>10</w:t>
      </w:r>
      <w:r>
        <w:rPr>
          <w:rFonts w:ascii="宋体" w:hAnsi="宋体" w:hint="eastAsia"/>
          <w:sz w:val="24"/>
          <w:szCs w:val="24"/>
        </w:rPr>
        <w:t>月</w:t>
      </w:r>
      <w:r>
        <w:rPr>
          <w:rFonts w:ascii="宋体" w:hAnsi="宋体"/>
          <w:sz w:val="24"/>
          <w:szCs w:val="24"/>
        </w:rPr>
        <w:t>23</w:t>
      </w:r>
      <w:r>
        <w:rPr>
          <w:rFonts w:ascii="宋体" w:hAnsi="宋体" w:hint="eastAsia"/>
          <w:sz w:val="24"/>
          <w:szCs w:val="24"/>
        </w:rPr>
        <w:t>日</w:t>
      </w:r>
    </w:p>
    <w:p w:rsidR="009F32F6" w:rsidRDefault="009F32F6">
      <w:pPr>
        <w:spacing w:line="360" w:lineRule="auto"/>
        <w:ind w:firstLineChars="200" w:firstLine="480"/>
        <w:rPr>
          <w:rFonts w:ascii="宋体" w:eastAsia="宋体" w:hAnsi="宋体"/>
          <w:sz w:val="24"/>
          <w:szCs w:val="24"/>
        </w:rPr>
      </w:pPr>
    </w:p>
    <w:sectPr w:rsidR="009F32F6">
      <w:footerReference w:type="even" r:id="rId11"/>
      <w:footerReference w:type="default" r:id="rId12"/>
      <w:type w:val="continuous"/>
      <w:pgSz w:w="11901" w:h="16817"/>
      <w:pgMar w:top="1440" w:right="1797" w:bottom="1440" w:left="1797"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1748" w:rsidRDefault="00E51748">
      <w:r>
        <w:separator/>
      </w:r>
    </w:p>
  </w:endnote>
  <w:endnote w:type="continuationSeparator" w:id="0">
    <w:p w:rsidR="00E51748" w:rsidRDefault="00E51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楷体">
    <w:panose1 w:val="02010609060101010101"/>
    <w:charset w:val="86"/>
    <w:family w:val="modern"/>
    <w:pitch w:val="fixed"/>
    <w:sig w:usb0="800002BF" w:usb1="38CF7CFA" w:usb2="00000016" w:usb3="00000000" w:csb0="00040001" w:csb1="00000000"/>
  </w:font>
  <w:font w:name="Kaiti SC">
    <w:panose1 w:val="02010600040101010101"/>
    <w:charset w:val="86"/>
    <w:family w:val="auto"/>
    <w:pitch w:val="variable"/>
    <w:sig w:usb0="80000287" w:usb1="280F3C52" w:usb2="00000016" w:usb3="00000000" w:csb0="0004001F"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32F6" w:rsidRDefault="00E51748">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rsidR="009F32F6" w:rsidRDefault="009F32F6">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32F6" w:rsidRDefault="00E51748">
    <w:pPr>
      <w:pStyle w:val="a9"/>
      <w:framePr w:wrap="around" w:vAnchor="text" w:hAnchor="margin" w:xAlign="center" w:y="1"/>
      <w:rPr>
        <w:rStyle w:val="ad"/>
      </w:rPr>
    </w:pPr>
    <w:r>
      <w:rPr>
        <w:rStyle w:val="ad"/>
      </w:rPr>
      <w:fldChar w:fldCharType="begin"/>
    </w:r>
    <w:r>
      <w:rPr>
        <w:rStyle w:val="ad"/>
      </w:rPr>
      <w:instrText xml:space="preserve">PAGE  </w:instrText>
    </w:r>
    <w:r>
      <w:rPr>
        <w:rStyle w:val="ad"/>
      </w:rPr>
      <w:fldChar w:fldCharType="separate"/>
    </w:r>
    <w:r>
      <w:rPr>
        <w:rStyle w:val="ad"/>
      </w:rPr>
      <w:t>- 8 -</w:t>
    </w:r>
    <w:r>
      <w:rPr>
        <w:rStyle w:val="ad"/>
      </w:rPr>
      <w:fldChar w:fldCharType="end"/>
    </w:r>
  </w:p>
  <w:p w:rsidR="009F32F6" w:rsidRDefault="009F32F6">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1748" w:rsidRDefault="00E51748">
      <w:r>
        <w:separator/>
      </w:r>
    </w:p>
  </w:footnote>
  <w:footnote w:type="continuationSeparator" w:id="0">
    <w:p w:rsidR="00E51748" w:rsidRDefault="00E5174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bordersDoNotSurroundHeader/>
  <w:bordersDoNotSurroundFooter/>
  <w:hideSpellingErrors/>
  <w:hideGrammaticalErrors/>
  <w:proofState w:spelling="clean" w:grammar="clean"/>
  <w:attachedTemplate r:id="rId1"/>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4735"/>
    <w:rsid w:val="00000D74"/>
    <w:rsid w:val="00007CE8"/>
    <w:rsid w:val="000202C6"/>
    <w:rsid w:val="00035718"/>
    <w:rsid w:val="000377FD"/>
    <w:rsid w:val="00051DD1"/>
    <w:rsid w:val="000548E2"/>
    <w:rsid w:val="000646D5"/>
    <w:rsid w:val="00081AA9"/>
    <w:rsid w:val="00093061"/>
    <w:rsid w:val="000B4294"/>
    <w:rsid w:val="000C2933"/>
    <w:rsid w:val="000C4804"/>
    <w:rsid w:val="000C76C9"/>
    <w:rsid w:val="000D336E"/>
    <w:rsid w:val="000D5F42"/>
    <w:rsid w:val="000D7806"/>
    <w:rsid w:val="000E1D0E"/>
    <w:rsid w:val="000F731D"/>
    <w:rsid w:val="00105C85"/>
    <w:rsid w:val="00120D92"/>
    <w:rsid w:val="001230B4"/>
    <w:rsid w:val="0012523A"/>
    <w:rsid w:val="00135B99"/>
    <w:rsid w:val="00136314"/>
    <w:rsid w:val="00153866"/>
    <w:rsid w:val="00161F52"/>
    <w:rsid w:val="001671BE"/>
    <w:rsid w:val="00174735"/>
    <w:rsid w:val="00186CFF"/>
    <w:rsid w:val="0019616B"/>
    <w:rsid w:val="001A7D54"/>
    <w:rsid w:val="001B059D"/>
    <w:rsid w:val="001B3ED8"/>
    <w:rsid w:val="001C7E35"/>
    <w:rsid w:val="001E0E53"/>
    <w:rsid w:val="001E128E"/>
    <w:rsid w:val="002232E2"/>
    <w:rsid w:val="00231047"/>
    <w:rsid w:val="00243963"/>
    <w:rsid w:val="00256910"/>
    <w:rsid w:val="0026575B"/>
    <w:rsid w:val="002711B4"/>
    <w:rsid w:val="00281BA5"/>
    <w:rsid w:val="00287419"/>
    <w:rsid w:val="002A1735"/>
    <w:rsid w:val="002A2C55"/>
    <w:rsid w:val="002B05CE"/>
    <w:rsid w:val="002C0351"/>
    <w:rsid w:val="002C0956"/>
    <w:rsid w:val="002C53C5"/>
    <w:rsid w:val="002D0596"/>
    <w:rsid w:val="002D17BD"/>
    <w:rsid w:val="002D2294"/>
    <w:rsid w:val="002F0F9D"/>
    <w:rsid w:val="002F5E12"/>
    <w:rsid w:val="002F6856"/>
    <w:rsid w:val="00301949"/>
    <w:rsid w:val="00307AF5"/>
    <w:rsid w:val="00311470"/>
    <w:rsid w:val="0032367F"/>
    <w:rsid w:val="003329F4"/>
    <w:rsid w:val="003357B3"/>
    <w:rsid w:val="00340D67"/>
    <w:rsid w:val="00345C28"/>
    <w:rsid w:val="003551D4"/>
    <w:rsid w:val="003552A1"/>
    <w:rsid w:val="00374684"/>
    <w:rsid w:val="003833AE"/>
    <w:rsid w:val="00384966"/>
    <w:rsid w:val="003916BE"/>
    <w:rsid w:val="00392D5C"/>
    <w:rsid w:val="003A65C0"/>
    <w:rsid w:val="003A68BF"/>
    <w:rsid w:val="003B53F5"/>
    <w:rsid w:val="003B6C4C"/>
    <w:rsid w:val="003B763B"/>
    <w:rsid w:val="003C3A2D"/>
    <w:rsid w:val="003D0050"/>
    <w:rsid w:val="003E5A67"/>
    <w:rsid w:val="003F56D6"/>
    <w:rsid w:val="004009BA"/>
    <w:rsid w:val="004039EB"/>
    <w:rsid w:val="00424608"/>
    <w:rsid w:val="00425276"/>
    <w:rsid w:val="0042547A"/>
    <w:rsid w:val="004352A3"/>
    <w:rsid w:val="00454CE2"/>
    <w:rsid w:val="00460A1F"/>
    <w:rsid w:val="0046504D"/>
    <w:rsid w:val="00473BAC"/>
    <w:rsid w:val="004764C2"/>
    <w:rsid w:val="004809A4"/>
    <w:rsid w:val="0048504C"/>
    <w:rsid w:val="00487423"/>
    <w:rsid w:val="004A2F0D"/>
    <w:rsid w:val="004B7E73"/>
    <w:rsid w:val="004D4B94"/>
    <w:rsid w:val="004D6445"/>
    <w:rsid w:val="004E23C4"/>
    <w:rsid w:val="004E2C4C"/>
    <w:rsid w:val="004E7E5E"/>
    <w:rsid w:val="00504B81"/>
    <w:rsid w:val="00545514"/>
    <w:rsid w:val="005507E4"/>
    <w:rsid w:val="00553C7D"/>
    <w:rsid w:val="0055685E"/>
    <w:rsid w:val="00572E59"/>
    <w:rsid w:val="005A36AB"/>
    <w:rsid w:val="005A5EEB"/>
    <w:rsid w:val="005B65DB"/>
    <w:rsid w:val="005C0002"/>
    <w:rsid w:val="005D04A4"/>
    <w:rsid w:val="005F68D3"/>
    <w:rsid w:val="00605445"/>
    <w:rsid w:val="00615184"/>
    <w:rsid w:val="0062250B"/>
    <w:rsid w:val="00635ADC"/>
    <w:rsid w:val="00636F4A"/>
    <w:rsid w:val="006473D6"/>
    <w:rsid w:val="006502DE"/>
    <w:rsid w:val="00657080"/>
    <w:rsid w:val="00662890"/>
    <w:rsid w:val="00670969"/>
    <w:rsid w:val="00693EB2"/>
    <w:rsid w:val="00694912"/>
    <w:rsid w:val="00696C91"/>
    <w:rsid w:val="006A4F9A"/>
    <w:rsid w:val="006C08BA"/>
    <w:rsid w:val="006C193C"/>
    <w:rsid w:val="006C6E2E"/>
    <w:rsid w:val="006E5748"/>
    <w:rsid w:val="00700CF6"/>
    <w:rsid w:val="00702B5A"/>
    <w:rsid w:val="00702F6B"/>
    <w:rsid w:val="00714CBD"/>
    <w:rsid w:val="007277E2"/>
    <w:rsid w:val="00733391"/>
    <w:rsid w:val="00764D0F"/>
    <w:rsid w:val="00781E05"/>
    <w:rsid w:val="007961A1"/>
    <w:rsid w:val="0079705B"/>
    <w:rsid w:val="007D5D24"/>
    <w:rsid w:val="007E0719"/>
    <w:rsid w:val="007E2D5D"/>
    <w:rsid w:val="007E6EEC"/>
    <w:rsid w:val="007E771C"/>
    <w:rsid w:val="007F480F"/>
    <w:rsid w:val="007F50C6"/>
    <w:rsid w:val="00804761"/>
    <w:rsid w:val="00812F65"/>
    <w:rsid w:val="00821DB1"/>
    <w:rsid w:val="00824321"/>
    <w:rsid w:val="008258D5"/>
    <w:rsid w:val="00831276"/>
    <w:rsid w:val="0083683C"/>
    <w:rsid w:val="008409CC"/>
    <w:rsid w:val="00873240"/>
    <w:rsid w:val="008826CA"/>
    <w:rsid w:val="008A6D89"/>
    <w:rsid w:val="008C595E"/>
    <w:rsid w:val="008D29B9"/>
    <w:rsid w:val="008E0EBF"/>
    <w:rsid w:val="0090375D"/>
    <w:rsid w:val="00915B46"/>
    <w:rsid w:val="00916AB0"/>
    <w:rsid w:val="00932CF9"/>
    <w:rsid w:val="00935239"/>
    <w:rsid w:val="00955BC6"/>
    <w:rsid w:val="00962D52"/>
    <w:rsid w:val="00970055"/>
    <w:rsid w:val="0097489F"/>
    <w:rsid w:val="0099191E"/>
    <w:rsid w:val="00994D8E"/>
    <w:rsid w:val="009A0780"/>
    <w:rsid w:val="009A3019"/>
    <w:rsid w:val="009A3EE6"/>
    <w:rsid w:val="009E0826"/>
    <w:rsid w:val="009E5A81"/>
    <w:rsid w:val="009E61AA"/>
    <w:rsid w:val="009F32F6"/>
    <w:rsid w:val="009F67AE"/>
    <w:rsid w:val="009F6C9E"/>
    <w:rsid w:val="00A23F30"/>
    <w:rsid w:val="00A24516"/>
    <w:rsid w:val="00A50368"/>
    <w:rsid w:val="00A60023"/>
    <w:rsid w:val="00A72D76"/>
    <w:rsid w:val="00A81575"/>
    <w:rsid w:val="00A9308D"/>
    <w:rsid w:val="00AA16DF"/>
    <w:rsid w:val="00AB143A"/>
    <w:rsid w:val="00AB5D3F"/>
    <w:rsid w:val="00AC1634"/>
    <w:rsid w:val="00AC719F"/>
    <w:rsid w:val="00AD4583"/>
    <w:rsid w:val="00B008C3"/>
    <w:rsid w:val="00B029F6"/>
    <w:rsid w:val="00B221D4"/>
    <w:rsid w:val="00B41290"/>
    <w:rsid w:val="00B432D3"/>
    <w:rsid w:val="00B44397"/>
    <w:rsid w:val="00B4768F"/>
    <w:rsid w:val="00B502D0"/>
    <w:rsid w:val="00B659FA"/>
    <w:rsid w:val="00B94B1C"/>
    <w:rsid w:val="00BD1081"/>
    <w:rsid w:val="00BD13E1"/>
    <w:rsid w:val="00BD22A8"/>
    <w:rsid w:val="00BE744E"/>
    <w:rsid w:val="00BF31C8"/>
    <w:rsid w:val="00BF7F03"/>
    <w:rsid w:val="00C26F2E"/>
    <w:rsid w:val="00C3315D"/>
    <w:rsid w:val="00C47A97"/>
    <w:rsid w:val="00C50901"/>
    <w:rsid w:val="00C6587C"/>
    <w:rsid w:val="00C74DB2"/>
    <w:rsid w:val="00C7772D"/>
    <w:rsid w:val="00C813DE"/>
    <w:rsid w:val="00C8636A"/>
    <w:rsid w:val="00C95F48"/>
    <w:rsid w:val="00C96178"/>
    <w:rsid w:val="00CA22D8"/>
    <w:rsid w:val="00CA4EFF"/>
    <w:rsid w:val="00CB0765"/>
    <w:rsid w:val="00CB28CC"/>
    <w:rsid w:val="00CE21A4"/>
    <w:rsid w:val="00CF50AB"/>
    <w:rsid w:val="00D473CD"/>
    <w:rsid w:val="00D476D4"/>
    <w:rsid w:val="00D52630"/>
    <w:rsid w:val="00D53D96"/>
    <w:rsid w:val="00D92286"/>
    <w:rsid w:val="00D92295"/>
    <w:rsid w:val="00DC1737"/>
    <w:rsid w:val="00E01BF0"/>
    <w:rsid w:val="00E05E33"/>
    <w:rsid w:val="00E06501"/>
    <w:rsid w:val="00E129CD"/>
    <w:rsid w:val="00E1553D"/>
    <w:rsid w:val="00E24810"/>
    <w:rsid w:val="00E430D0"/>
    <w:rsid w:val="00E459B6"/>
    <w:rsid w:val="00E4605A"/>
    <w:rsid w:val="00E467D2"/>
    <w:rsid w:val="00E51748"/>
    <w:rsid w:val="00E51EBD"/>
    <w:rsid w:val="00E807B7"/>
    <w:rsid w:val="00E95FA2"/>
    <w:rsid w:val="00EA186D"/>
    <w:rsid w:val="00EA5660"/>
    <w:rsid w:val="00F019DD"/>
    <w:rsid w:val="00F05EAE"/>
    <w:rsid w:val="00F155BD"/>
    <w:rsid w:val="00F16709"/>
    <w:rsid w:val="00F17A60"/>
    <w:rsid w:val="00F2170D"/>
    <w:rsid w:val="00F31BED"/>
    <w:rsid w:val="00F51F55"/>
    <w:rsid w:val="00F54591"/>
    <w:rsid w:val="00F5543F"/>
    <w:rsid w:val="00F606CE"/>
    <w:rsid w:val="00F61EC5"/>
    <w:rsid w:val="00F732D4"/>
    <w:rsid w:val="00F732E8"/>
    <w:rsid w:val="00F77EF7"/>
    <w:rsid w:val="00F868E3"/>
    <w:rsid w:val="00F90E10"/>
    <w:rsid w:val="00F942BB"/>
    <w:rsid w:val="00FA231A"/>
    <w:rsid w:val="00FC2CDF"/>
    <w:rsid w:val="00FC5A54"/>
    <w:rsid w:val="00FD72EC"/>
    <w:rsid w:val="00FE0795"/>
    <w:rsid w:val="00FE1467"/>
    <w:rsid w:val="00FE5993"/>
    <w:rsid w:val="00FF7E99"/>
    <w:rsid w:val="46A86D90"/>
    <w:rsid w:val="55460CF8"/>
    <w:rsid w:val="6A5B4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67CCD8B"/>
  <w15:docId w15:val="{C1C5CD85-DD24-2D40-978D-1C3E79332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Pr>
      <w:b/>
      <w:bCs/>
    </w:rPr>
  </w:style>
  <w:style w:type="paragraph" w:styleId="a4">
    <w:name w:val="annotation text"/>
    <w:basedOn w:val="a"/>
    <w:link w:val="a6"/>
    <w:uiPriority w:val="99"/>
    <w:semiHidden/>
    <w:unhideWhenUsed/>
    <w:qFormat/>
    <w:pPr>
      <w:jc w:val="left"/>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character" w:styleId="ad">
    <w:name w:val="page number"/>
    <w:basedOn w:val="a0"/>
    <w:uiPriority w:val="99"/>
    <w:semiHidden/>
    <w:unhideWhenUsed/>
    <w:qFormat/>
  </w:style>
  <w:style w:type="character" w:styleId="ae">
    <w:name w:val="Hyperlink"/>
    <w:uiPriority w:val="99"/>
    <w:unhideWhenUsed/>
    <w:qFormat/>
    <w:rPr>
      <w:color w:val="0000FF"/>
      <w:u w:val="single"/>
    </w:rPr>
  </w:style>
  <w:style w:type="character" w:styleId="af">
    <w:name w:val="annotation reference"/>
    <w:basedOn w:val="a0"/>
    <w:uiPriority w:val="99"/>
    <w:semiHidden/>
    <w:unhideWhenUsed/>
    <w:qFormat/>
    <w:rPr>
      <w:sz w:val="21"/>
      <w:szCs w:val="21"/>
    </w:rPr>
  </w:style>
  <w:style w:type="table" w:styleId="af0">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ac">
    <w:name w:val="页眉 字符"/>
    <w:basedOn w:val="a0"/>
    <w:link w:val="ab"/>
    <w:uiPriority w:val="99"/>
    <w:rPr>
      <w:sz w:val="18"/>
      <w:szCs w:val="18"/>
    </w:rPr>
  </w:style>
  <w:style w:type="character" w:customStyle="1" w:styleId="aa">
    <w:name w:val="页脚 字符"/>
    <w:basedOn w:val="a0"/>
    <w:link w:val="a9"/>
    <w:uiPriority w:val="99"/>
    <w:qFormat/>
    <w:rPr>
      <w:sz w:val="18"/>
      <w:szCs w:val="18"/>
    </w:rPr>
  </w:style>
  <w:style w:type="paragraph" w:customStyle="1" w:styleId="1">
    <w:name w:val="修订1"/>
    <w:hidden/>
    <w:uiPriority w:val="99"/>
    <w:semiHidden/>
    <w:qFormat/>
    <w:rPr>
      <w:kern w:val="2"/>
      <w:sz w:val="21"/>
      <w:szCs w:val="22"/>
    </w:rPr>
  </w:style>
  <w:style w:type="character" w:customStyle="1" w:styleId="a8">
    <w:name w:val="批注框文本 字符"/>
    <w:basedOn w:val="a0"/>
    <w:link w:val="a7"/>
    <w:uiPriority w:val="99"/>
    <w:semiHidden/>
    <w:qFormat/>
    <w:rPr>
      <w:sz w:val="18"/>
      <w:szCs w:val="18"/>
    </w:rPr>
  </w:style>
  <w:style w:type="character" w:customStyle="1" w:styleId="apple-converted-space">
    <w:name w:val="apple-converted-space"/>
    <w:basedOn w:val="a0"/>
    <w:qFormat/>
  </w:style>
  <w:style w:type="character" w:customStyle="1" w:styleId="a6">
    <w:name w:val="批注文字 字符"/>
    <w:basedOn w:val="a0"/>
    <w:link w:val="a4"/>
    <w:uiPriority w:val="99"/>
    <w:semiHidden/>
    <w:qFormat/>
  </w:style>
  <w:style w:type="character" w:customStyle="1" w:styleId="a5">
    <w:name w:val="批注主题 字符"/>
    <w:basedOn w:val="a6"/>
    <w:link w:val="a3"/>
    <w:uiPriority w:val="99"/>
    <w:semiHidden/>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C:\Users\sunhuimin\Desktop\&#20159;&#20016;&#27905;&#20928;&#36164;&#20135;&#25512;&#2017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C:\C:\Users\sunhuimin\Desktop\亿丰洁净资产推介.dotx</Template>
  <TotalTime>5</TotalTime>
  <Pages>9</Pages>
  <Words>858</Words>
  <Characters>4891</Characters>
  <Application>Microsoft Office Word</Application>
  <DocSecurity>0</DocSecurity>
  <Lines>40</Lines>
  <Paragraphs>11</Paragraphs>
  <ScaleCrop>false</ScaleCrop>
  <Company>Hewlett-Packard</Company>
  <LinksUpToDate>false</LinksUpToDate>
  <CharactersWithSpaces>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用户</dc:creator>
  <cp:lastModifiedBy>程婷婷</cp:lastModifiedBy>
  <cp:revision>93</cp:revision>
  <cp:lastPrinted>2018-10-13T04:09:00Z</cp:lastPrinted>
  <dcterms:created xsi:type="dcterms:W3CDTF">2018-10-10T12:36:00Z</dcterms:created>
  <dcterms:modified xsi:type="dcterms:W3CDTF">2018-10-25T03:34:00Z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2052-10.1.0.7616</vt:lpwstr>
  </property>
</Properties>
</file>