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jc w:val="center"/>
        <w:rPr>
          <w:rFonts w:cs="仿宋" w:asciiTheme="minorEastAsia" w:hAnsiTheme="minorEastAsia"/>
          <w:b/>
          <w:sz w:val="36"/>
          <w:szCs w:val="36"/>
        </w:rPr>
      </w:pPr>
      <w:r>
        <w:rPr>
          <w:rFonts w:hint="eastAsia" w:cs="仿宋" w:asciiTheme="minorEastAsia" w:hAnsiTheme="minorEastAsia"/>
          <w:b/>
          <w:sz w:val="36"/>
          <w:szCs w:val="36"/>
        </w:rPr>
        <w:t>苏州市盗梦空间网络科技有限公司</w:t>
      </w:r>
    </w:p>
    <w:p>
      <w:pPr>
        <w:spacing w:before="312" w:beforeLines="100" w:after="312" w:afterLines="100" w:line="360" w:lineRule="auto"/>
        <w:jc w:val="center"/>
        <w:rPr>
          <w:rFonts w:cs="仿宋" w:asciiTheme="minorEastAsia" w:hAnsiTheme="minorEastAsia"/>
          <w:b/>
          <w:sz w:val="36"/>
          <w:szCs w:val="36"/>
        </w:rPr>
      </w:pPr>
      <w:r>
        <w:rPr>
          <w:rFonts w:hint="eastAsia" w:cs="仿宋" w:asciiTheme="minorEastAsia" w:hAnsiTheme="minorEastAsia"/>
          <w:b/>
          <w:sz w:val="36"/>
          <w:szCs w:val="36"/>
        </w:rPr>
        <w:t>破产财产分配方案</w:t>
      </w:r>
    </w:p>
    <w:p>
      <w:pPr>
        <w:snapToGrid w:val="0"/>
        <w:spacing w:after="312" w:afterLines="100" w:line="440" w:lineRule="exact"/>
        <w:ind w:right="23"/>
        <w:jc w:val="right"/>
        <w:rPr>
          <w:rFonts w:ascii="宋体" w:hAnsi="宋体" w:eastAsia="宋体" w:cs="宋体"/>
          <w:b/>
          <w:sz w:val="24"/>
        </w:rPr>
      </w:pPr>
      <w:r>
        <w:rPr>
          <w:rFonts w:ascii="宋体" w:hAnsi="宋体" w:eastAsia="宋体" w:cs="宋体"/>
          <w:b/>
          <w:sz w:val="24"/>
        </w:rPr>
        <w:t>（201</w:t>
      </w:r>
      <w:r>
        <w:rPr>
          <w:rFonts w:hint="eastAsia" w:ascii="宋体" w:hAnsi="宋体" w:eastAsia="宋体" w:cs="宋体"/>
          <w:b/>
          <w:sz w:val="24"/>
        </w:rPr>
        <w:t>9</w:t>
      </w:r>
      <w:r>
        <w:rPr>
          <w:rFonts w:ascii="宋体" w:hAnsi="宋体" w:eastAsia="宋体" w:cs="宋体"/>
          <w:b/>
          <w:sz w:val="24"/>
        </w:rPr>
        <w:t>）苏05</w:t>
      </w:r>
      <w:r>
        <w:rPr>
          <w:rFonts w:hint="eastAsia" w:ascii="宋体" w:hAnsi="宋体" w:eastAsia="宋体" w:cs="宋体"/>
          <w:b/>
          <w:sz w:val="24"/>
        </w:rPr>
        <w:t>08</w:t>
      </w:r>
      <w:r>
        <w:rPr>
          <w:rFonts w:ascii="宋体" w:hAnsi="宋体" w:eastAsia="宋体" w:cs="宋体"/>
          <w:b/>
          <w:sz w:val="24"/>
        </w:rPr>
        <w:t>破</w:t>
      </w:r>
      <w:r>
        <w:rPr>
          <w:rFonts w:hint="eastAsia" w:ascii="宋体" w:hAnsi="宋体" w:eastAsia="宋体" w:cs="宋体"/>
          <w:b/>
          <w:sz w:val="24"/>
        </w:rPr>
        <w:t>14</w:t>
      </w:r>
      <w:r>
        <w:rPr>
          <w:rFonts w:ascii="宋体" w:hAnsi="宋体" w:eastAsia="宋体" w:cs="宋体"/>
          <w:b/>
          <w:sz w:val="24"/>
        </w:rPr>
        <w:t>号</w:t>
      </w:r>
    </w:p>
    <w:p>
      <w:pPr>
        <w:pStyle w:val="7"/>
        <w:spacing w:line="360" w:lineRule="auto"/>
        <w:ind w:firstLine="567"/>
        <w:rPr>
          <w:rFonts w:hint="default" w:ascii="宋体" w:hAnsi="宋体" w:eastAsia="宋体" w:cs="宋体"/>
          <w:szCs w:val="24"/>
        </w:rPr>
      </w:pPr>
      <w:r>
        <w:rPr>
          <w:rFonts w:hint="default" w:ascii="宋体" w:hAnsi="宋体" w:eastAsia="宋体" w:cs="宋体"/>
          <w:szCs w:val="24"/>
        </w:rPr>
        <w:t>苏州市姑苏区人民</w:t>
      </w:r>
      <w:r>
        <w:rPr>
          <w:rFonts w:ascii="宋体" w:hAnsi="宋体" w:eastAsia="宋体" w:cs="宋体"/>
          <w:szCs w:val="24"/>
        </w:rPr>
        <w:t>法院</w:t>
      </w:r>
      <w:r>
        <w:rPr>
          <w:rFonts w:hint="default" w:ascii="宋体" w:hAnsi="宋体" w:eastAsia="宋体" w:cs="宋体"/>
          <w:szCs w:val="24"/>
        </w:rPr>
        <w:t>（</w:t>
      </w:r>
      <w:r>
        <w:rPr>
          <w:rFonts w:ascii="宋体" w:hAnsi="宋体" w:eastAsia="宋体" w:cs="宋体"/>
          <w:szCs w:val="24"/>
        </w:rPr>
        <w:t>下称</w:t>
      </w:r>
      <w:r>
        <w:rPr>
          <w:rFonts w:hint="default" w:ascii="宋体" w:hAnsi="宋体" w:eastAsia="宋体" w:cs="宋体"/>
          <w:szCs w:val="24"/>
        </w:rPr>
        <w:t>“</w:t>
      </w:r>
      <w:r>
        <w:rPr>
          <w:rFonts w:ascii="宋体" w:hAnsi="宋体" w:eastAsia="宋体" w:cs="宋体"/>
          <w:szCs w:val="24"/>
        </w:rPr>
        <w:t>姑苏法院</w:t>
      </w:r>
      <w:r>
        <w:rPr>
          <w:rFonts w:hint="default" w:ascii="宋体" w:hAnsi="宋体" w:eastAsia="宋体" w:cs="宋体"/>
          <w:szCs w:val="24"/>
        </w:rPr>
        <w:t>”）</w:t>
      </w:r>
      <w:r>
        <w:rPr>
          <w:rFonts w:ascii="宋体" w:hAnsi="宋体" w:eastAsia="宋体"/>
        </w:rPr>
        <w:t>于</w:t>
      </w:r>
      <w:r>
        <w:rPr>
          <w:rFonts w:ascii="宋体" w:hAnsi="宋体" w:eastAsia="宋体" w:cs="仿宋"/>
        </w:rPr>
        <w:t>2019年</w:t>
      </w:r>
      <w:r>
        <w:rPr>
          <w:rFonts w:ascii="宋体" w:hAnsi="宋体" w:eastAsia="宋体" w:cs="仿宋"/>
          <w:lang w:val="en-US"/>
        </w:rPr>
        <w:t>6</w:t>
      </w:r>
      <w:r>
        <w:rPr>
          <w:rFonts w:ascii="宋体" w:hAnsi="宋体" w:eastAsia="宋体" w:cs="仿宋"/>
        </w:rPr>
        <w:t>月12日作出（2019）苏0508破</w:t>
      </w:r>
      <w:r>
        <w:rPr>
          <w:rFonts w:ascii="宋体" w:hAnsi="宋体" w:eastAsia="宋体" w:cs="仿宋"/>
          <w:lang w:val="en-US"/>
        </w:rPr>
        <w:t>14</w:t>
      </w:r>
      <w:r>
        <w:rPr>
          <w:rFonts w:ascii="宋体" w:hAnsi="宋体" w:eastAsia="宋体" w:cs="仿宋"/>
        </w:rPr>
        <w:t>号民事裁定书，裁定受理</w:t>
      </w:r>
      <w:r>
        <w:rPr>
          <w:rFonts w:hint="default" w:ascii="宋体" w:hAnsi="宋体" w:eastAsia="宋体" w:cs="仿宋"/>
        </w:rPr>
        <w:t>申请人</w:t>
      </w:r>
      <w:r>
        <w:rPr>
          <w:rFonts w:ascii="宋体" w:hAnsi="宋体" w:eastAsia="宋体" w:cs="仿宋"/>
          <w:lang w:val="en-US"/>
        </w:rPr>
        <w:t>胡洪</w:t>
      </w:r>
      <w:r>
        <w:rPr>
          <w:rFonts w:hint="default" w:ascii="宋体" w:hAnsi="宋体" w:eastAsia="宋体" w:cs="仿宋"/>
        </w:rPr>
        <w:t>对被申请人苏州市盗梦空间网络科技有限公司</w:t>
      </w:r>
      <w:r>
        <w:rPr>
          <w:rFonts w:ascii="宋体" w:hAnsi="宋体" w:eastAsia="宋体"/>
        </w:rPr>
        <w:t>（下称“</w:t>
      </w:r>
      <w:r>
        <w:rPr>
          <w:rFonts w:ascii="宋体" w:hAnsi="宋体" w:eastAsia="宋体"/>
          <w:lang w:val="en-US"/>
        </w:rPr>
        <w:t>盗梦</w:t>
      </w:r>
      <w:r>
        <w:rPr>
          <w:rFonts w:ascii="宋体" w:hAnsi="宋体" w:eastAsia="宋体"/>
        </w:rPr>
        <w:t>公司”或“</w:t>
      </w:r>
      <w:r>
        <w:rPr>
          <w:rFonts w:ascii="宋体" w:hAnsi="宋体" w:eastAsia="宋体"/>
          <w:lang w:val="en-US"/>
        </w:rPr>
        <w:t>破产</w:t>
      </w:r>
      <w:r>
        <w:rPr>
          <w:rFonts w:ascii="宋体" w:hAnsi="宋体" w:eastAsia="宋体"/>
        </w:rPr>
        <w:t>人”）</w:t>
      </w:r>
      <w:r>
        <w:rPr>
          <w:rFonts w:hint="default" w:ascii="宋体" w:hAnsi="宋体" w:eastAsia="宋体"/>
        </w:rPr>
        <w:t>的</w:t>
      </w:r>
      <w:r>
        <w:rPr>
          <w:rFonts w:ascii="宋体" w:hAnsi="宋体" w:eastAsia="宋体" w:cs="仿宋"/>
        </w:rPr>
        <w:t>破产清算申请</w:t>
      </w:r>
      <w:r>
        <w:rPr>
          <w:rFonts w:ascii="宋体" w:hAnsi="宋体" w:eastAsia="宋体"/>
        </w:rPr>
        <w:t>，</w:t>
      </w:r>
      <w:r>
        <w:rPr>
          <w:rFonts w:ascii="宋体" w:hAnsi="宋体" w:eastAsia="宋体" w:cs="仿宋"/>
        </w:rPr>
        <w:t>并于同日作出（2019）苏0508破1</w:t>
      </w:r>
      <w:r>
        <w:rPr>
          <w:rFonts w:ascii="宋体" w:hAnsi="宋体" w:eastAsia="宋体" w:cs="仿宋"/>
          <w:lang w:val="en-US"/>
        </w:rPr>
        <w:t>4</w:t>
      </w:r>
      <w:r>
        <w:rPr>
          <w:rFonts w:ascii="宋体" w:hAnsi="宋体" w:eastAsia="宋体" w:cs="仿宋"/>
        </w:rPr>
        <w:t>号决定书，指定上海市协力（苏州）律师事务所担任管理人</w:t>
      </w:r>
      <w:r>
        <w:rPr>
          <w:rFonts w:ascii="宋体" w:hAnsi="宋体" w:eastAsia="宋体"/>
        </w:rPr>
        <w:t>。</w:t>
      </w:r>
    </w:p>
    <w:p>
      <w:pPr>
        <w:spacing w:line="360" w:lineRule="auto"/>
        <w:ind w:firstLine="480" w:firstLineChars="200"/>
        <w:rPr>
          <w:rFonts w:asciiTheme="minorEastAsia" w:hAnsiTheme="minorEastAsia" w:cstheme="minorEastAsia"/>
          <w:sz w:val="24"/>
          <w:szCs w:val="32"/>
        </w:rPr>
      </w:pPr>
      <w:r>
        <w:rPr>
          <w:rFonts w:hint="eastAsia" w:asciiTheme="minorEastAsia" w:hAnsiTheme="minorEastAsia" w:cstheme="minorEastAsia"/>
          <w:sz w:val="24"/>
          <w:szCs w:val="32"/>
        </w:rPr>
        <w:t>姑苏法院根据管理人申请，以相关权利人未提出重整或和解申请，盗梦公司不能清偿到期债务且现有资产不足以清偿全部债务，认为盗梦公司已达到法定破产条件，于2019年7月26日，姑苏法院作出（2019）苏0508破14号之二民事裁定书，宣告盗梦公司破产。</w:t>
      </w:r>
    </w:p>
    <w:p>
      <w:pPr>
        <w:spacing w:after="312" w:afterLines="100" w:line="360" w:lineRule="auto"/>
        <w:ind w:firstLine="480" w:firstLineChars="200"/>
      </w:pPr>
      <w:r>
        <w:rPr>
          <w:rFonts w:hint="eastAsia" w:asciiTheme="minorEastAsia" w:hAnsiTheme="minorEastAsia" w:cstheme="minorEastAsia"/>
          <w:sz w:val="24"/>
          <w:szCs w:val="32"/>
        </w:rPr>
        <w:t>截至2019年10月</w:t>
      </w:r>
      <w:r>
        <w:rPr>
          <w:rFonts w:hint="eastAsia" w:asciiTheme="minorEastAsia" w:hAnsiTheme="minorEastAsia" w:cstheme="minorEastAsia"/>
          <w:sz w:val="24"/>
          <w:szCs w:val="32"/>
          <w:lang w:val="en-US" w:eastAsia="zh-CN"/>
        </w:rPr>
        <w:t>14</w:t>
      </w:r>
      <w:r>
        <w:rPr>
          <w:rFonts w:hint="eastAsia" w:asciiTheme="minorEastAsia" w:hAnsiTheme="minorEastAsia" w:cstheme="minorEastAsia"/>
          <w:sz w:val="24"/>
          <w:szCs w:val="32"/>
        </w:rPr>
        <w:t>日，管理人对盗梦公司的财产清理、债权审查等破产清算工作基本结束，现依照《中华人民共和国企业破产法》第一百一十五条之规定，拟定如下分配方案</w:t>
      </w:r>
      <w:r>
        <w:rPr>
          <w:rFonts w:asciiTheme="minorEastAsia" w:hAnsiTheme="minorEastAsia" w:cstheme="minorEastAsia"/>
          <w:sz w:val="24"/>
          <w:szCs w:val="32"/>
        </w:rPr>
        <w:t>：</w:t>
      </w:r>
    </w:p>
    <w:p>
      <w:pPr>
        <w:snapToGrid w:val="0"/>
        <w:spacing w:after="156" w:afterLines="50" w:line="360" w:lineRule="auto"/>
        <w:ind w:right="23" w:firstLine="482" w:firstLineChars="200"/>
        <w:jc w:val="left"/>
        <w:rPr>
          <w:rFonts w:ascii="宋体" w:hAnsi="宋体" w:eastAsia="宋体" w:cs="宋体"/>
          <w:b/>
          <w:sz w:val="24"/>
        </w:rPr>
      </w:pPr>
      <w:r>
        <w:rPr>
          <w:rFonts w:hint="eastAsia" w:ascii="宋体" w:hAnsi="宋体" w:eastAsia="宋体" w:cs="宋体"/>
          <w:b/>
          <w:sz w:val="24"/>
        </w:rPr>
        <w:t>一、参加破产财产分配的债权情况</w:t>
      </w:r>
    </w:p>
    <w:p>
      <w:pPr>
        <w:snapToGrid w:val="0"/>
        <w:spacing w:line="360" w:lineRule="auto"/>
        <w:ind w:right="25" w:firstLine="480" w:firstLineChars="200"/>
        <w:jc w:val="left"/>
        <w:rPr>
          <w:rFonts w:ascii="宋体" w:hAnsi="宋体" w:eastAsia="宋体" w:cs="宋体"/>
          <w:bCs/>
          <w:sz w:val="24"/>
        </w:rPr>
      </w:pPr>
      <w:r>
        <w:rPr>
          <w:rFonts w:hint="eastAsia" w:ascii="宋体" w:hAnsi="宋体" w:eastAsia="宋体" w:cs="宋体"/>
          <w:bCs/>
          <w:sz w:val="24"/>
        </w:rPr>
        <w:t>经姑苏法院裁定确认的无异议债权总额为501123.61元，参加破产财产分配的债权人仅胡洪一人，债权性质为普通债权。</w:t>
      </w:r>
    </w:p>
    <w:p>
      <w:pPr>
        <w:snapToGrid w:val="0"/>
        <w:spacing w:before="156" w:beforeLines="50" w:after="156" w:afterLines="50" w:line="360" w:lineRule="auto"/>
        <w:ind w:right="23" w:firstLine="482" w:firstLineChars="200"/>
        <w:jc w:val="left"/>
        <w:rPr>
          <w:rFonts w:ascii="宋体" w:hAnsi="宋体" w:eastAsia="宋体" w:cs="宋体"/>
          <w:b/>
          <w:sz w:val="24"/>
        </w:rPr>
      </w:pPr>
      <w:r>
        <w:rPr>
          <w:rFonts w:hint="eastAsia" w:ascii="宋体" w:hAnsi="宋体" w:eastAsia="宋体" w:cs="宋体"/>
          <w:b/>
          <w:sz w:val="24"/>
        </w:rPr>
        <w:t>二、可供分配的破产财产总额</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管理人调查发现</w:t>
      </w:r>
      <w:r>
        <w:rPr>
          <w:rFonts w:hint="eastAsia" w:ascii="宋体" w:hAnsi="宋体" w:eastAsia="宋体" w:cs="宋体"/>
          <w:bCs/>
          <w:sz w:val="24"/>
        </w:rPr>
        <w:t>，债权人胡洪</w:t>
      </w:r>
      <w:r>
        <w:rPr>
          <w:rFonts w:ascii="宋体" w:hAnsi="宋体" w:eastAsia="宋体" w:cs="宋体"/>
          <w:bCs/>
          <w:sz w:val="24"/>
        </w:rPr>
        <w:t>曾</w:t>
      </w:r>
      <w:r>
        <w:rPr>
          <w:rFonts w:hint="eastAsia" w:ascii="宋体" w:hAnsi="宋体" w:eastAsia="宋体" w:cs="宋体"/>
          <w:bCs/>
          <w:sz w:val="24"/>
        </w:rPr>
        <w:t>取走盗梦公司八台组装电脑。经管理人发函，胡洪于2019年8月23日将上述电脑归还给管理人。依据盗梦公司第一次债权人会议表决通过的《变价方案》，管理人已采用变卖方式对该电脑予以处置，变卖金额为6500</w:t>
      </w:r>
      <w:r>
        <w:rPr>
          <w:rFonts w:hint="eastAsia" w:ascii="宋体" w:hAnsi="宋体" w:eastAsia="宋体" w:cs="宋体"/>
          <w:bCs/>
          <w:sz w:val="24"/>
          <w:lang w:val="en-US" w:eastAsia="zh-CN"/>
        </w:rPr>
        <w:t>.00</w:t>
      </w:r>
      <w:r>
        <w:rPr>
          <w:rFonts w:hint="eastAsia" w:ascii="宋体" w:hAnsi="宋体" w:eastAsia="宋体" w:cs="宋体"/>
          <w:bCs/>
          <w:sz w:val="24"/>
        </w:rPr>
        <w:t>元。</w:t>
      </w:r>
    </w:p>
    <w:p>
      <w:pPr>
        <w:snapToGrid w:val="0"/>
        <w:spacing w:line="360" w:lineRule="auto"/>
        <w:ind w:right="25" w:firstLine="480" w:firstLineChars="200"/>
        <w:jc w:val="left"/>
        <w:rPr>
          <w:rFonts w:ascii="宋体" w:hAnsi="宋体" w:eastAsia="宋体" w:cs="宋体"/>
          <w:bCs/>
          <w:sz w:val="24"/>
        </w:rPr>
      </w:pPr>
      <w:r>
        <w:rPr>
          <w:rFonts w:hint="eastAsia" w:ascii="宋体" w:hAnsi="宋体" w:eastAsia="宋体" w:cs="宋体"/>
          <w:bCs/>
          <w:sz w:val="24"/>
        </w:rPr>
        <w:t>据此，截至</w:t>
      </w:r>
      <w:r>
        <w:rPr>
          <w:rFonts w:ascii="宋体" w:hAnsi="宋体" w:eastAsia="宋体" w:cs="宋体"/>
          <w:bCs/>
          <w:sz w:val="24"/>
        </w:rPr>
        <w:t>目前</w:t>
      </w:r>
      <w:r>
        <w:rPr>
          <w:rFonts w:hint="eastAsia" w:ascii="宋体" w:hAnsi="宋体" w:eastAsia="宋体" w:cs="宋体"/>
          <w:bCs/>
          <w:sz w:val="24"/>
        </w:rPr>
        <w:t>，盗梦公司可供分配的破产财产总额为6500</w:t>
      </w:r>
      <w:r>
        <w:rPr>
          <w:rFonts w:hint="eastAsia" w:ascii="宋体" w:hAnsi="宋体" w:eastAsia="宋体" w:cs="宋体"/>
          <w:bCs/>
          <w:sz w:val="24"/>
          <w:lang w:val="en-US" w:eastAsia="zh-CN"/>
        </w:rPr>
        <w:t>.00</w:t>
      </w:r>
      <w:r>
        <w:rPr>
          <w:rFonts w:hint="eastAsia" w:ascii="宋体" w:hAnsi="宋体" w:eastAsia="宋体" w:cs="宋体"/>
          <w:bCs/>
          <w:sz w:val="24"/>
        </w:rPr>
        <w:t>元。</w:t>
      </w:r>
    </w:p>
    <w:p>
      <w:pPr>
        <w:snapToGrid w:val="0"/>
        <w:spacing w:before="156" w:beforeLines="50" w:after="156" w:afterLines="50" w:line="360" w:lineRule="auto"/>
        <w:ind w:right="23" w:firstLine="482" w:firstLineChars="200"/>
        <w:jc w:val="left"/>
        <w:rPr>
          <w:rFonts w:ascii="宋体" w:hAnsi="宋体" w:eastAsia="宋体" w:cs="宋体"/>
          <w:b/>
          <w:sz w:val="24"/>
        </w:rPr>
      </w:pPr>
      <w:r>
        <w:rPr>
          <w:rFonts w:hint="eastAsia" w:ascii="宋体" w:hAnsi="宋体" w:eastAsia="宋体" w:cs="宋体"/>
          <w:b/>
          <w:sz w:val="24"/>
        </w:rPr>
        <w:t>三、破产财产分配的顺序、比例和数额</w:t>
      </w:r>
    </w:p>
    <w:p>
      <w:pPr>
        <w:snapToGrid w:val="0"/>
        <w:spacing w:line="360" w:lineRule="auto"/>
        <w:ind w:right="23" w:firstLine="480" w:firstLineChars="200"/>
        <w:jc w:val="left"/>
        <w:rPr>
          <w:rFonts w:ascii="宋体" w:hAnsi="宋体" w:eastAsia="宋体" w:cs="宋体"/>
          <w:bCs/>
          <w:sz w:val="24"/>
        </w:rPr>
      </w:pPr>
      <w:r>
        <w:rPr>
          <w:rFonts w:hint="eastAsia" w:ascii="宋体" w:hAnsi="宋体" w:eastAsia="宋体" w:cs="宋体"/>
          <w:bCs/>
          <w:sz w:val="24"/>
        </w:rPr>
        <w:t>（一）破产费用和共益债务的分配</w:t>
      </w:r>
    </w:p>
    <w:p>
      <w:pPr>
        <w:snapToGrid w:val="0"/>
        <w:spacing w:line="360" w:lineRule="auto"/>
        <w:ind w:right="25" w:firstLine="480" w:firstLineChars="200"/>
        <w:jc w:val="left"/>
        <w:rPr>
          <w:rFonts w:ascii="宋体" w:hAnsi="宋体" w:eastAsia="宋体" w:cs="宋体"/>
          <w:bCs/>
          <w:sz w:val="24"/>
        </w:rPr>
      </w:pPr>
      <w:r>
        <w:rPr>
          <w:rFonts w:hint="eastAsia" w:ascii="宋体" w:hAnsi="宋体" w:eastAsia="宋体" w:cs="宋体"/>
          <w:bCs/>
          <w:sz w:val="24"/>
        </w:rPr>
        <w:t>1.管理人执行职务的费用</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截止目前，管理人在履行职责过程中支出的费用如下：</w:t>
      </w:r>
    </w:p>
    <w:tbl>
      <w:tblPr>
        <w:tblStyle w:val="4"/>
        <w:tblW w:w="7125" w:type="dxa"/>
        <w:tblInd w:w="6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7"/>
        <w:gridCol w:w="2765"/>
        <w:gridCol w:w="2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exact"/>
        </w:trPr>
        <w:tc>
          <w:tcPr>
            <w:tcW w:w="2147" w:type="dxa"/>
            <w:shd w:val="clear" w:color="auto" w:fill="BEBEBE" w:themeFill="background1" w:themeFillShade="BF"/>
          </w:tcPr>
          <w:p>
            <w:pPr>
              <w:pStyle w:val="7"/>
              <w:spacing w:line="360" w:lineRule="auto"/>
              <w:ind w:firstLine="422" w:firstLineChars="200"/>
              <w:jc w:val="center"/>
              <w:rPr>
                <w:rFonts w:hint="default" w:ascii="宋体" w:hAnsi="宋体" w:eastAsia="宋体" w:cs="宋体"/>
                <w:color w:val="auto"/>
                <w:sz w:val="21"/>
                <w:szCs w:val="21"/>
                <w:lang w:val="en-US"/>
              </w:rPr>
            </w:pPr>
            <w:r>
              <w:rPr>
                <w:rFonts w:ascii="宋体" w:hAnsi="宋体" w:eastAsia="宋体" w:cs="宋体"/>
                <w:b/>
                <w:bCs/>
                <w:color w:val="auto"/>
                <w:sz w:val="21"/>
                <w:szCs w:val="21"/>
                <w:lang w:val="en-US"/>
              </w:rPr>
              <w:t>类目</w:t>
            </w:r>
          </w:p>
        </w:tc>
        <w:tc>
          <w:tcPr>
            <w:tcW w:w="2765" w:type="dxa"/>
            <w:shd w:val="clear" w:color="auto" w:fill="BEBEBE" w:themeFill="background1" w:themeFillShade="BF"/>
          </w:tcPr>
          <w:p>
            <w:pPr>
              <w:pStyle w:val="7"/>
              <w:spacing w:line="360" w:lineRule="auto"/>
              <w:ind w:firstLine="422" w:firstLineChars="200"/>
              <w:jc w:val="center"/>
              <w:rPr>
                <w:rFonts w:hint="default" w:ascii="宋体" w:hAnsi="宋体" w:eastAsia="宋体" w:cs="宋体"/>
                <w:color w:val="auto"/>
                <w:sz w:val="21"/>
                <w:szCs w:val="21"/>
                <w:lang w:val="en-US"/>
              </w:rPr>
            </w:pPr>
            <w:r>
              <w:rPr>
                <w:rFonts w:ascii="宋体" w:hAnsi="宋体" w:eastAsia="宋体" w:cs="宋体"/>
                <w:b/>
                <w:bCs/>
                <w:color w:val="auto"/>
                <w:sz w:val="21"/>
                <w:szCs w:val="21"/>
                <w:lang w:val="en-US"/>
              </w:rPr>
              <w:t>费用/元</w:t>
            </w:r>
          </w:p>
        </w:tc>
        <w:tc>
          <w:tcPr>
            <w:tcW w:w="2213" w:type="dxa"/>
            <w:shd w:val="clear" w:color="auto" w:fill="BEBEBE" w:themeFill="background1" w:themeFillShade="BF"/>
          </w:tcPr>
          <w:p>
            <w:pPr>
              <w:pStyle w:val="7"/>
              <w:spacing w:line="360" w:lineRule="auto"/>
              <w:ind w:firstLine="422" w:firstLineChars="200"/>
              <w:jc w:val="center"/>
              <w:rPr>
                <w:rFonts w:hint="default" w:ascii="宋体" w:hAnsi="宋体" w:eastAsia="宋体" w:cs="宋体"/>
                <w:color w:val="auto"/>
                <w:sz w:val="21"/>
                <w:szCs w:val="21"/>
                <w:lang w:val="en-US"/>
              </w:rPr>
            </w:pPr>
            <w:r>
              <w:rPr>
                <w:rFonts w:ascii="宋体" w:hAnsi="宋体" w:eastAsia="宋体" w:cs="宋体"/>
                <w:b/>
                <w:bCs/>
                <w:color w:val="auto"/>
                <w:sz w:val="21"/>
                <w:szCs w:val="21"/>
                <w:lang w:val="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exact"/>
        </w:trPr>
        <w:tc>
          <w:tcPr>
            <w:tcW w:w="2147" w:type="dxa"/>
          </w:tcPr>
          <w:p>
            <w:pPr>
              <w:pStyle w:val="7"/>
              <w:spacing w:line="360" w:lineRule="auto"/>
              <w:ind w:firstLine="420" w:firstLineChars="200"/>
              <w:jc w:val="center"/>
              <w:rPr>
                <w:rFonts w:hint="default" w:ascii="宋体" w:hAnsi="宋体" w:eastAsia="宋体" w:cs="宋体"/>
                <w:color w:val="auto"/>
                <w:sz w:val="21"/>
                <w:szCs w:val="21"/>
                <w:highlight w:val="yellow"/>
                <w:lang w:val="en-US"/>
              </w:rPr>
            </w:pPr>
            <w:r>
              <w:rPr>
                <w:rFonts w:ascii="宋体" w:hAnsi="宋体" w:eastAsia="宋体" w:cs="宋体"/>
                <w:color w:val="auto"/>
                <w:sz w:val="21"/>
                <w:szCs w:val="21"/>
                <w:lang w:val="en-US"/>
              </w:rPr>
              <w:t>刻章</w:t>
            </w:r>
          </w:p>
        </w:tc>
        <w:tc>
          <w:tcPr>
            <w:tcW w:w="2765" w:type="dxa"/>
          </w:tcPr>
          <w:p>
            <w:pPr>
              <w:pStyle w:val="7"/>
              <w:spacing w:line="360" w:lineRule="auto"/>
              <w:ind w:firstLine="420" w:firstLineChars="200"/>
              <w:jc w:val="center"/>
              <w:rPr>
                <w:rFonts w:hint="default" w:ascii="宋体" w:hAnsi="宋体" w:eastAsia="宋体" w:cs="宋体"/>
                <w:color w:val="auto"/>
                <w:sz w:val="21"/>
                <w:szCs w:val="21"/>
                <w:highlight w:val="yellow"/>
                <w:lang w:val="en-US"/>
              </w:rPr>
            </w:pPr>
            <w:r>
              <w:rPr>
                <w:rFonts w:ascii="宋体" w:hAnsi="宋体" w:eastAsia="宋体" w:cs="宋体"/>
                <w:color w:val="auto"/>
                <w:sz w:val="21"/>
                <w:szCs w:val="21"/>
                <w:lang w:val="en-US"/>
              </w:rPr>
              <w:t xml:space="preserve">270.00 </w:t>
            </w:r>
          </w:p>
        </w:tc>
        <w:tc>
          <w:tcPr>
            <w:tcW w:w="2213" w:type="dxa"/>
          </w:tcPr>
          <w:p>
            <w:pPr>
              <w:pStyle w:val="7"/>
              <w:spacing w:line="360" w:lineRule="auto"/>
              <w:ind w:firstLine="420" w:firstLineChars="200"/>
              <w:jc w:val="center"/>
              <w:rPr>
                <w:rFonts w:hint="default" w:ascii="宋体" w:hAnsi="宋体" w:eastAsia="宋体" w:cs="宋体"/>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trPr>
        <w:tc>
          <w:tcPr>
            <w:tcW w:w="2147" w:type="dxa"/>
          </w:tcPr>
          <w:p>
            <w:pPr>
              <w:pStyle w:val="7"/>
              <w:spacing w:line="360" w:lineRule="auto"/>
              <w:ind w:firstLine="420" w:firstLineChars="200"/>
              <w:jc w:val="center"/>
              <w:rPr>
                <w:rFonts w:hint="default" w:ascii="宋体" w:hAnsi="宋体" w:eastAsia="宋体" w:cs="宋体"/>
                <w:color w:val="auto"/>
                <w:sz w:val="21"/>
                <w:szCs w:val="21"/>
                <w:lang w:val="en-US"/>
              </w:rPr>
            </w:pPr>
            <w:r>
              <w:rPr>
                <w:rFonts w:ascii="宋体" w:hAnsi="宋体" w:eastAsia="宋体" w:cs="宋体"/>
                <w:color w:val="auto"/>
                <w:sz w:val="21"/>
                <w:szCs w:val="21"/>
                <w:lang w:val="en-US"/>
              </w:rPr>
              <w:t>邮寄</w:t>
            </w:r>
          </w:p>
        </w:tc>
        <w:tc>
          <w:tcPr>
            <w:tcW w:w="2765" w:type="dxa"/>
          </w:tcPr>
          <w:p>
            <w:pPr>
              <w:pStyle w:val="7"/>
              <w:spacing w:line="360" w:lineRule="auto"/>
              <w:ind w:firstLine="420" w:firstLineChars="200"/>
              <w:jc w:val="center"/>
              <w:rPr>
                <w:rFonts w:hint="default" w:ascii="宋体" w:hAnsi="宋体" w:eastAsia="宋体" w:cs="宋体"/>
                <w:color w:val="auto"/>
                <w:sz w:val="21"/>
                <w:szCs w:val="21"/>
                <w:lang w:val="en-US"/>
              </w:rPr>
            </w:pPr>
            <w:r>
              <w:rPr>
                <w:rFonts w:ascii="宋体" w:hAnsi="宋体" w:eastAsia="宋体" w:cs="宋体"/>
                <w:color w:val="auto"/>
                <w:sz w:val="21"/>
                <w:szCs w:val="21"/>
                <w:lang w:val="en-US"/>
              </w:rPr>
              <w:t>140.00</w:t>
            </w:r>
          </w:p>
        </w:tc>
        <w:tc>
          <w:tcPr>
            <w:tcW w:w="2213" w:type="dxa"/>
          </w:tcPr>
          <w:p>
            <w:pPr>
              <w:pStyle w:val="7"/>
              <w:spacing w:line="360" w:lineRule="auto"/>
              <w:ind w:firstLine="420" w:firstLineChars="200"/>
              <w:jc w:val="center"/>
              <w:rPr>
                <w:rFonts w:hint="default" w:ascii="宋体" w:hAnsi="宋体" w:eastAsia="宋体" w:cs="宋体"/>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trPr>
        <w:tc>
          <w:tcPr>
            <w:tcW w:w="2147" w:type="dxa"/>
          </w:tcPr>
          <w:p>
            <w:pPr>
              <w:pStyle w:val="7"/>
              <w:spacing w:line="360" w:lineRule="auto"/>
              <w:ind w:firstLine="420" w:firstLineChars="200"/>
              <w:jc w:val="center"/>
              <w:rPr>
                <w:rFonts w:hint="default" w:ascii="宋体" w:hAnsi="宋体" w:eastAsia="宋体" w:cs="宋体"/>
                <w:color w:val="auto"/>
                <w:sz w:val="21"/>
                <w:szCs w:val="21"/>
                <w:lang w:val="en-US"/>
              </w:rPr>
            </w:pPr>
            <w:r>
              <w:rPr>
                <w:rFonts w:ascii="宋体" w:hAnsi="宋体" w:eastAsia="宋体" w:cs="宋体"/>
                <w:color w:val="auto"/>
                <w:sz w:val="21"/>
                <w:szCs w:val="21"/>
                <w:lang w:val="en-US"/>
              </w:rPr>
              <w:t>交通</w:t>
            </w:r>
          </w:p>
        </w:tc>
        <w:tc>
          <w:tcPr>
            <w:tcW w:w="2765" w:type="dxa"/>
          </w:tcPr>
          <w:p>
            <w:pPr>
              <w:pStyle w:val="7"/>
              <w:spacing w:line="360" w:lineRule="auto"/>
              <w:ind w:firstLine="420" w:firstLineChars="200"/>
              <w:jc w:val="center"/>
              <w:rPr>
                <w:rFonts w:hint="default" w:ascii="宋体" w:hAnsi="宋体" w:eastAsia="宋体" w:cs="宋体"/>
                <w:color w:val="auto"/>
                <w:sz w:val="21"/>
                <w:szCs w:val="21"/>
                <w:lang w:val="en-US"/>
              </w:rPr>
            </w:pPr>
            <w:r>
              <w:rPr>
                <w:rFonts w:ascii="宋体" w:hAnsi="宋体" w:eastAsia="宋体" w:cs="宋体"/>
                <w:color w:val="auto"/>
                <w:sz w:val="21"/>
                <w:szCs w:val="21"/>
                <w:lang w:val="en-US"/>
              </w:rPr>
              <w:t>800.00</w:t>
            </w:r>
          </w:p>
        </w:tc>
        <w:tc>
          <w:tcPr>
            <w:tcW w:w="2213" w:type="dxa"/>
          </w:tcPr>
          <w:p>
            <w:pPr>
              <w:pStyle w:val="7"/>
              <w:spacing w:line="360" w:lineRule="auto"/>
              <w:ind w:firstLine="420" w:firstLineChars="200"/>
              <w:jc w:val="center"/>
              <w:rPr>
                <w:rFonts w:hint="default" w:ascii="宋体" w:hAnsi="宋体" w:eastAsia="宋体" w:cs="宋体"/>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exact"/>
        </w:trPr>
        <w:tc>
          <w:tcPr>
            <w:tcW w:w="2147" w:type="dxa"/>
          </w:tcPr>
          <w:p>
            <w:pPr>
              <w:pStyle w:val="7"/>
              <w:spacing w:line="360" w:lineRule="auto"/>
              <w:ind w:firstLine="420" w:firstLineChars="200"/>
              <w:jc w:val="center"/>
              <w:rPr>
                <w:rFonts w:hint="default" w:ascii="宋体" w:hAnsi="宋体" w:eastAsia="宋体" w:cs="宋体"/>
                <w:color w:val="auto"/>
                <w:sz w:val="21"/>
                <w:szCs w:val="21"/>
                <w:lang w:val="en-US"/>
              </w:rPr>
            </w:pPr>
            <w:r>
              <w:rPr>
                <w:rFonts w:ascii="宋体" w:hAnsi="宋体" w:eastAsia="宋体" w:cs="宋体"/>
                <w:color w:val="auto"/>
                <w:sz w:val="21"/>
                <w:szCs w:val="21"/>
                <w:lang w:val="en-US"/>
              </w:rPr>
              <w:t>公告</w:t>
            </w:r>
          </w:p>
        </w:tc>
        <w:tc>
          <w:tcPr>
            <w:tcW w:w="2765" w:type="dxa"/>
          </w:tcPr>
          <w:p>
            <w:pPr>
              <w:pStyle w:val="7"/>
              <w:spacing w:line="360" w:lineRule="auto"/>
              <w:ind w:firstLine="420" w:firstLineChars="200"/>
              <w:jc w:val="center"/>
              <w:rPr>
                <w:rFonts w:hint="default" w:ascii="宋体" w:hAnsi="宋体" w:eastAsia="宋体" w:cs="宋体"/>
                <w:color w:val="auto"/>
                <w:sz w:val="21"/>
                <w:szCs w:val="21"/>
                <w:lang w:val="en-US"/>
              </w:rPr>
            </w:pPr>
            <w:r>
              <w:rPr>
                <w:rFonts w:ascii="宋体" w:hAnsi="宋体" w:eastAsia="宋体" w:cs="宋体"/>
                <w:color w:val="auto"/>
                <w:sz w:val="21"/>
                <w:szCs w:val="21"/>
                <w:lang w:val="en-US"/>
              </w:rPr>
              <w:t xml:space="preserve">1500.00 </w:t>
            </w:r>
          </w:p>
        </w:tc>
        <w:tc>
          <w:tcPr>
            <w:tcW w:w="2213" w:type="dxa"/>
          </w:tcPr>
          <w:p>
            <w:pPr>
              <w:pStyle w:val="7"/>
              <w:spacing w:line="360" w:lineRule="auto"/>
              <w:ind w:firstLine="420" w:firstLineChars="200"/>
              <w:jc w:val="center"/>
              <w:rPr>
                <w:rFonts w:hint="default" w:ascii="宋体" w:hAnsi="宋体" w:eastAsia="宋体" w:cs="宋体"/>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exact"/>
        </w:trPr>
        <w:tc>
          <w:tcPr>
            <w:tcW w:w="2147" w:type="dxa"/>
          </w:tcPr>
          <w:p>
            <w:pPr>
              <w:pStyle w:val="7"/>
              <w:spacing w:line="360" w:lineRule="auto"/>
              <w:ind w:firstLine="422" w:firstLineChars="200"/>
              <w:jc w:val="center"/>
              <w:rPr>
                <w:rFonts w:hint="default" w:ascii="宋体" w:hAnsi="宋体" w:eastAsia="宋体" w:cs="宋体"/>
                <w:b/>
                <w:bCs/>
                <w:color w:val="auto"/>
                <w:sz w:val="21"/>
                <w:szCs w:val="21"/>
                <w:lang w:val="en-US"/>
              </w:rPr>
            </w:pPr>
            <w:r>
              <w:rPr>
                <w:rFonts w:ascii="宋体" w:hAnsi="宋体" w:eastAsia="宋体" w:cs="宋体"/>
                <w:b/>
                <w:bCs/>
                <w:color w:val="auto"/>
                <w:sz w:val="21"/>
                <w:szCs w:val="21"/>
                <w:lang w:val="en-US"/>
              </w:rPr>
              <w:t>总计</w:t>
            </w:r>
          </w:p>
        </w:tc>
        <w:tc>
          <w:tcPr>
            <w:tcW w:w="2765" w:type="dxa"/>
          </w:tcPr>
          <w:p>
            <w:pPr>
              <w:pStyle w:val="7"/>
              <w:spacing w:line="360" w:lineRule="auto"/>
              <w:ind w:firstLine="422" w:firstLineChars="200"/>
              <w:jc w:val="center"/>
              <w:rPr>
                <w:rFonts w:hint="default" w:ascii="宋体" w:hAnsi="宋体" w:eastAsia="宋体" w:cs="宋体"/>
                <w:b/>
                <w:bCs/>
                <w:color w:val="auto"/>
                <w:sz w:val="21"/>
                <w:szCs w:val="21"/>
                <w:lang w:val="en-US"/>
              </w:rPr>
            </w:pPr>
            <w:r>
              <w:rPr>
                <w:rFonts w:ascii="宋体" w:hAnsi="宋体" w:eastAsia="宋体" w:cs="宋体"/>
                <w:b/>
                <w:bCs/>
                <w:color w:val="auto"/>
                <w:sz w:val="21"/>
                <w:szCs w:val="21"/>
                <w:lang w:val="en-US"/>
              </w:rPr>
              <w:t>27</w:t>
            </w:r>
            <w:r>
              <w:rPr>
                <w:rFonts w:hint="eastAsia" w:ascii="宋体" w:hAnsi="宋体" w:eastAsia="宋体" w:cs="宋体"/>
                <w:b/>
                <w:bCs/>
                <w:color w:val="auto"/>
                <w:sz w:val="21"/>
                <w:szCs w:val="21"/>
                <w:lang w:val="en-US" w:eastAsia="zh-CN"/>
              </w:rPr>
              <w:t>10</w:t>
            </w:r>
            <w:r>
              <w:rPr>
                <w:rFonts w:ascii="宋体" w:hAnsi="宋体" w:eastAsia="宋体" w:cs="宋体"/>
                <w:b/>
                <w:bCs/>
                <w:color w:val="auto"/>
                <w:sz w:val="21"/>
                <w:szCs w:val="21"/>
                <w:lang w:val="en-US"/>
              </w:rPr>
              <w:t xml:space="preserve">.00 </w:t>
            </w:r>
          </w:p>
        </w:tc>
        <w:tc>
          <w:tcPr>
            <w:tcW w:w="2213" w:type="dxa"/>
          </w:tcPr>
          <w:p>
            <w:pPr>
              <w:pStyle w:val="7"/>
              <w:spacing w:line="360" w:lineRule="auto"/>
              <w:ind w:firstLine="422" w:firstLineChars="200"/>
              <w:jc w:val="center"/>
              <w:rPr>
                <w:rFonts w:hint="default" w:ascii="宋体" w:hAnsi="宋体" w:eastAsia="宋体" w:cs="宋体"/>
                <w:b/>
                <w:bCs/>
                <w:color w:val="auto"/>
                <w:sz w:val="21"/>
                <w:szCs w:val="21"/>
                <w:lang w:val="en-US"/>
              </w:rPr>
            </w:pPr>
          </w:p>
        </w:tc>
      </w:tr>
    </w:tbl>
    <w:p>
      <w:pPr>
        <w:keepNext w:val="0"/>
        <w:keepLines w:val="0"/>
        <w:pageBreakBefore w:val="0"/>
        <w:widowControl w:val="0"/>
        <w:kinsoku/>
        <w:wordWrap/>
        <w:overflowPunct/>
        <w:topLinePunct w:val="0"/>
        <w:autoSpaceDE/>
        <w:autoSpaceDN/>
        <w:bidi w:val="0"/>
        <w:adjustRightInd/>
        <w:snapToGrid w:val="0"/>
        <w:spacing w:before="156" w:beforeLines="50" w:line="360" w:lineRule="auto"/>
        <w:ind w:right="23" w:firstLine="480" w:firstLineChars="200"/>
        <w:jc w:val="left"/>
        <w:textAlignment w:val="auto"/>
        <w:rPr>
          <w:rFonts w:hint="eastAsia" w:ascii="宋体" w:hAnsi="宋体" w:eastAsia="宋体" w:cs="宋体"/>
          <w:bCs/>
          <w:sz w:val="24"/>
          <w:lang w:val="en-US" w:eastAsia="zh-CN"/>
        </w:rPr>
      </w:pPr>
      <w:r>
        <w:rPr>
          <w:rFonts w:hint="eastAsia" w:ascii="宋体" w:hAnsi="宋体" w:eastAsia="宋体" w:cs="宋体"/>
          <w:bCs/>
          <w:sz w:val="24"/>
        </w:rPr>
        <w:t>2.</w:t>
      </w:r>
      <w:r>
        <w:rPr>
          <w:rFonts w:hint="eastAsia" w:ascii="宋体" w:hAnsi="宋体" w:eastAsia="宋体" w:cs="宋体"/>
          <w:bCs/>
          <w:sz w:val="24"/>
          <w:lang w:val="en-US" w:eastAsia="zh-CN"/>
        </w:rPr>
        <w:t>破产案件受理费</w:t>
      </w:r>
    </w:p>
    <w:p>
      <w:pPr>
        <w:keepNext w:val="0"/>
        <w:keepLines w:val="0"/>
        <w:pageBreakBefore w:val="0"/>
        <w:widowControl w:val="0"/>
        <w:kinsoku/>
        <w:wordWrap/>
        <w:overflowPunct/>
        <w:topLinePunct w:val="0"/>
        <w:autoSpaceDE/>
        <w:autoSpaceDN/>
        <w:bidi w:val="0"/>
        <w:adjustRightInd/>
        <w:snapToGrid w:val="0"/>
        <w:spacing w:line="360" w:lineRule="auto"/>
        <w:ind w:right="23" w:firstLine="480" w:firstLineChars="200"/>
        <w:jc w:val="left"/>
        <w:textAlignment w:val="auto"/>
        <w:rPr>
          <w:rFonts w:hint="default" w:ascii="宋体" w:hAnsi="宋体" w:eastAsia="宋体" w:cs="宋体"/>
          <w:bCs/>
          <w:sz w:val="24"/>
          <w:lang w:val="en-US" w:eastAsia="zh-CN"/>
        </w:rPr>
      </w:pPr>
      <w:r>
        <w:rPr>
          <w:rFonts w:hint="default" w:ascii="宋体" w:hAnsi="宋体" w:eastAsia="宋体" w:cs="宋体"/>
          <w:bCs/>
          <w:sz w:val="24"/>
          <w:lang w:val="en-US" w:eastAsia="zh-CN"/>
        </w:rPr>
        <w:t>根据《诉讼费用交纳办法》第十四条第</w:t>
      </w:r>
      <w:r>
        <w:rPr>
          <w:rFonts w:hint="eastAsia" w:ascii="宋体" w:hAnsi="宋体" w:eastAsia="宋体" w:cs="宋体"/>
          <w:bCs/>
          <w:sz w:val="24"/>
          <w:lang w:val="en-US" w:eastAsia="zh-CN"/>
        </w:rPr>
        <w:t>（</w:t>
      </w:r>
      <w:r>
        <w:rPr>
          <w:rFonts w:hint="default" w:ascii="宋体" w:hAnsi="宋体" w:eastAsia="宋体" w:cs="宋体"/>
          <w:bCs/>
          <w:sz w:val="24"/>
          <w:lang w:val="en-US" w:eastAsia="zh-CN"/>
        </w:rPr>
        <w:t>六</w:t>
      </w:r>
      <w:r>
        <w:rPr>
          <w:rFonts w:hint="eastAsia" w:ascii="宋体" w:hAnsi="宋体" w:eastAsia="宋体" w:cs="宋体"/>
          <w:bCs/>
          <w:sz w:val="24"/>
          <w:lang w:val="en-US" w:eastAsia="zh-CN"/>
        </w:rPr>
        <w:t>）</w:t>
      </w:r>
      <w:r>
        <w:rPr>
          <w:rFonts w:hint="default" w:ascii="宋体" w:hAnsi="宋体" w:eastAsia="宋体" w:cs="宋体"/>
          <w:bCs/>
          <w:sz w:val="24"/>
          <w:lang w:val="en-US" w:eastAsia="zh-CN"/>
        </w:rPr>
        <w:t>项规定，破产案件依据破产财产总额计算，按照财产案件受理费标准减半交纳。</w:t>
      </w:r>
    </w:p>
    <w:p>
      <w:pPr>
        <w:keepNext w:val="0"/>
        <w:keepLines w:val="0"/>
        <w:pageBreakBefore w:val="0"/>
        <w:widowControl w:val="0"/>
        <w:kinsoku/>
        <w:wordWrap/>
        <w:overflowPunct/>
        <w:topLinePunct w:val="0"/>
        <w:autoSpaceDE/>
        <w:autoSpaceDN/>
        <w:bidi w:val="0"/>
        <w:adjustRightInd/>
        <w:snapToGrid w:val="0"/>
        <w:spacing w:line="360" w:lineRule="auto"/>
        <w:ind w:right="23" w:firstLine="480" w:firstLineChars="200"/>
        <w:jc w:val="left"/>
        <w:textAlignment w:val="auto"/>
        <w:rPr>
          <w:rFonts w:hint="default" w:ascii="宋体" w:hAnsi="宋体" w:eastAsia="宋体" w:cs="宋体"/>
          <w:bCs/>
          <w:sz w:val="24"/>
          <w:lang w:val="en-US" w:eastAsia="zh-CN"/>
        </w:rPr>
      </w:pPr>
      <w:r>
        <w:rPr>
          <w:rFonts w:hint="default" w:ascii="宋体" w:hAnsi="宋体" w:eastAsia="宋体" w:cs="宋体"/>
          <w:bCs/>
          <w:sz w:val="24"/>
          <w:lang w:val="en-US" w:eastAsia="zh-CN"/>
        </w:rPr>
        <w:t>本案目前可供分配的破产财产总额为</w:t>
      </w:r>
      <w:r>
        <w:rPr>
          <w:rFonts w:hint="eastAsia" w:ascii="宋体" w:hAnsi="宋体" w:eastAsia="宋体" w:cs="宋体"/>
          <w:bCs/>
          <w:sz w:val="24"/>
          <w:lang w:val="en-US" w:eastAsia="zh-CN"/>
        </w:rPr>
        <w:t>6500.00</w:t>
      </w:r>
      <w:r>
        <w:rPr>
          <w:rFonts w:hint="default" w:ascii="宋体" w:hAnsi="宋体" w:eastAsia="宋体" w:cs="宋体"/>
          <w:bCs/>
          <w:sz w:val="24"/>
          <w:lang w:val="en-US" w:eastAsia="zh-CN"/>
        </w:rPr>
        <w:t>元，应缴纳破产案件</w:t>
      </w:r>
      <w:r>
        <w:rPr>
          <w:rFonts w:hint="eastAsia" w:ascii="宋体" w:hAnsi="宋体" w:eastAsia="宋体" w:cs="宋体"/>
          <w:bCs/>
          <w:sz w:val="24"/>
          <w:lang w:val="en-US" w:eastAsia="zh-CN"/>
        </w:rPr>
        <w:t>受理</w:t>
      </w:r>
      <w:r>
        <w:rPr>
          <w:rFonts w:hint="default" w:ascii="宋体" w:hAnsi="宋体" w:eastAsia="宋体" w:cs="宋体"/>
          <w:bCs/>
          <w:sz w:val="24"/>
          <w:lang w:val="en-US" w:eastAsia="zh-CN"/>
        </w:rPr>
        <w:t>费为</w:t>
      </w:r>
      <w:r>
        <w:rPr>
          <w:rFonts w:hint="eastAsia" w:ascii="宋体" w:hAnsi="宋体" w:eastAsia="宋体" w:cs="宋体"/>
          <w:bCs/>
          <w:sz w:val="24"/>
          <w:lang w:val="en-US" w:eastAsia="zh-CN"/>
        </w:rPr>
        <w:t>25.00</w:t>
      </w:r>
      <w:r>
        <w:rPr>
          <w:rFonts w:hint="default" w:ascii="宋体" w:hAnsi="宋体" w:eastAsia="宋体" w:cs="宋体"/>
          <w:bCs/>
          <w:sz w:val="24"/>
          <w:lang w:val="en-US" w:eastAsia="zh-CN"/>
        </w:rPr>
        <w:t>元。</w:t>
      </w:r>
    </w:p>
    <w:p>
      <w:pPr>
        <w:keepNext w:val="0"/>
        <w:keepLines w:val="0"/>
        <w:pageBreakBefore w:val="0"/>
        <w:widowControl w:val="0"/>
        <w:kinsoku/>
        <w:wordWrap/>
        <w:overflowPunct/>
        <w:topLinePunct w:val="0"/>
        <w:autoSpaceDE/>
        <w:autoSpaceDN/>
        <w:bidi w:val="0"/>
        <w:adjustRightInd/>
        <w:snapToGrid w:val="0"/>
        <w:spacing w:line="360" w:lineRule="auto"/>
        <w:ind w:right="23" w:firstLine="480" w:firstLineChars="200"/>
        <w:jc w:val="left"/>
        <w:textAlignment w:val="auto"/>
        <w:rPr>
          <w:rFonts w:ascii="宋体" w:hAnsi="宋体" w:eastAsia="宋体" w:cs="宋体"/>
          <w:bCs/>
          <w:sz w:val="24"/>
        </w:rPr>
      </w:pPr>
      <w:r>
        <w:rPr>
          <w:rFonts w:hint="eastAsia" w:ascii="宋体" w:hAnsi="宋体" w:eastAsia="宋体" w:cs="宋体"/>
          <w:bCs/>
          <w:sz w:val="24"/>
          <w:lang w:val="en-US" w:eastAsia="zh-CN"/>
        </w:rPr>
        <w:t>3.</w:t>
      </w:r>
      <w:r>
        <w:rPr>
          <w:rFonts w:hint="eastAsia" w:ascii="宋体" w:hAnsi="宋体" w:eastAsia="宋体" w:cs="宋体"/>
          <w:bCs/>
          <w:sz w:val="24"/>
        </w:rPr>
        <w:t>管理人报酬</w:t>
      </w:r>
    </w:p>
    <w:p>
      <w:pPr>
        <w:keepNext w:val="0"/>
        <w:keepLines w:val="0"/>
        <w:pageBreakBefore w:val="0"/>
        <w:widowControl w:val="0"/>
        <w:kinsoku/>
        <w:wordWrap/>
        <w:overflowPunct/>
        <w:topLinePunct w:val="0"/>
        <w:autoSpaceDE/>
        <w:autoSpaceDN/>
        <w:bidi w:val="0"/>
        <w:adjustRightInd/>
        <w:snapToGrid w:val="0"/>
        <w:spacing w:line="360" w:lineRule="auto"/>
        <w:ind w:right="23" w:firstLine="480" w:firstLineChars="200"/>
        <w:jc w:val="left"/>
        <w:textAlignment w:val="auto"/>
        <w:rPr>
          <w:rFonts w:ascii="宋体" w:hAnsi="宋体" w:eastAsia="宋体" w:cs="宋体"/>
          <w:bCs/>
          <w:sz w:val="24"/>
        </w:rPr>
      </w:pPr>
      <w:r>
        <w:rPr>
          <w:rFonts w:hint="eastAsia" w:ascii="宋体" w:hAnsi="宋体" w:eastAsia="宋体" w:cs="宋体"/>
          <w:bCs/>
          <w:sz w:val="24"/>
        </w:rPr>
        <w:t>鉴于</w:t>
      </w:r>
      <w:r>
        <w:rPr>
          <w:rFonts w:ascii="宋体" w:hAnsi="宋体" w:eastAsia="宋体" w:cs="宋体"/>
          <w:bCs/>
          <w:sz w:val="24"/>
        </w:rPr>
        <w:t>本案</w:t>
      </w:r>
      <w:r>
        <w:rPr>
          <w:rFonts w:hint="eastAsia" w:ascii="宋体" w:hAnsi="宋体" w:eastAsia="宋体" w:cs="宋体"/>
          <w:bCs/>
          <w:sz w:val="24"/>
        </w:rPr>
        <w:t>可供分配的破产财产总额</w:t>
      </w:r>
      <w:r>
        <w:rPr>
          <w:rFonts w:ascii="宋体" w:hAnsi="宋体" w:eastAsia="宋体" w:cs="宋体"/>
          <w:bCs/>
          <w:sz w:val="24"/>
        </w:rPr>
        <w:t>过低，</w:t>
      </w:r>
      <w:r>
        <w:rPr>
          <w:rFonts w:hint="eastAsia" w:ascii="宋体" w:hAnsi="宋体" w:eastAsia="宋体" w:cs="宋体"/>
          <w:bCs/>
          <w:sz w:val="24"/>
        </w:rPr>
        <w:t>管理人</w:t>
      </w:r>
      <w:r>
        <w:rPr>
          <w:rFonts w:ascii="宋体" w:hAnsi="宋体" w:eastAsia="宋体" w:cs="宋体"/>
          <w:bCs/>
          <w:sz w:val="24"/>
        </w:rPr>
        <w:t>在本案中不申请</w:t>
      </w:r>
      <w:r>
        <w:rPr>
          <w:rFonts w:hint="eastAsia" w:ascii="宋体" w:hAnsi="宋体" w:eastAsia="宋体" w:cs="宋体"/>
          <w:bCs/>
          <w:sz w:val="24"/>
        </w:rPr>
        <w:t>管理人</w:t>
      </w:r>
      <w:r>
        <w:rPr>
          <w:rFonts w:ascii="宋体" w:hAnsi="宋体" w:eastAsia="宋体" w:cs="宋体"/>
          <w:bCs/>
          <w:sz w:val="24"/>
        </w:rPr>
        <w:t>报酬。</w:t>
      </w:r>
    </w:p>
    <w:p>
      <w:pPr>
        <w:snapToGrid w:val="0"/>
        <w:spacing w:line="360" w:lineRule="auto"/>
        <w:ind w:right="25" w:firstLine="480" w:firstLineChars="200"/>
        <w:jc w:val="left"/>
        <w:rPr>
          <w:rFonts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.共益债务</w:t>
      </w:r>
    </w:p>
    <w:p>
      <w:pPr>
        <w:snapToGrid w:val="0"/>
        <w:spacing w:line="360" w:lineRule="auto"/>
        <w:ind w:right="25" w:firstLine="480" w:firstLineChars="200"/>
        <w:jc w:val="left"/>
        <w:rPr>
          <w:rFonts w:ascii="宋体" w:hAnsi="宋体" w:eastAsia="宋体" w:cs="宋体"/>
          <w:bCs/>
          <w:sz w:val="24"/>
        </w:rPr>
      </w:pPr>
      <w:r>
        <w:rPr>
          <w:rFonts w:hint="eastAsia" w:ascii="宋体" w:hAnsi="宋体" w:eastAsia="宋体" w:cs="宋体"/>
          <w:bCs/>
          <w:sz w:val="24"/>
        </w:rPr>
        <w:t>经管理人核实，本案无共益债务。</w:t>
      </w:r>
    </w:p>
    <w:p>
      <w:pPr>
        <w:snapToGrid w:val="0"/>
        <w:spacing w:before="156" w:beforeLines="50" w:line="360" w:lineRule="auto"/>
        <w:ind w:right="23" w:firstLine="480" w:firstLineChars="200"/>
        <w:jc w:val="left"/>
        <w:rPr>
          <w:rFonts w:ascii="宋体" w:hAnsi="宋体" w:eastAsia="宋体" w:cs="宋体"/>
          <w:bCs/>
          <w:sz w:val="24"/>
        </w:rPr>
      </w:pPr>
      <w:r>
        <w:rPr>
          <w:rFonts w:hint="eastAsia" w:ascii="宋体" w:hAnsi="宋体" w:eastAsia="宋体" w:cs="宋体"/>
          <w:bCs/>
          <w:sz w:val="24"/>
        </w:rPr>
        <w:t>综上，本案目前破产费用共计人民币27</w:t>
      </w:r>
      <w:r>
        <w:rPr>
          <w:rFonts w:hint="eastAsia" w:ascii="宋体" w:hAnsi="宋体" w:eastAsia="宋体" w:cs="宋体"/>
          <w:bCs/>
          <w:sz w:val="24"/>
          <w:lang w:val="en-US" w:eastAsia="zh-CN"/>
        </w:rPr>
        <w:t>35.00</w:t>
      </w:r>
      <w:r>
        <w:rPr>
          <w:rFonts w:hint="eastAsia" w:ascii="宋体" w:hAnsi="宋体" w:eastAsia="宋体" w:cs="宋体"/>
          <w:bCs/>
          <w:sz w:val="24"/>
        </w:rPr>
        <w:t>元。</w:t>
      </w:r>
    </w:p>
    <w:p>
      <w:pPr>
        <w:snapToGrid w:val="0"/>
        <w:spacing w:before="156" w:beforeLines="50" w:after="156" w:afterLines="50" w:line="360" w:lineRule="auto"/>
        <w:ind w:right="23" w:firstLine="480" w:firstLineChars="200"/>
        <w:jc w:val="left"/>
        <w:rPr>
          <w:rFonts w:ascii="宋体" w:hAnsi="宋体" w:eastAsia="宋体" w:cs="宋体"/>
          <w:bCs/>
          <w:sz w:val="24"/>
        </w:rPr>
      </w:pPr>
      <w:r>
        <w:rPr>
          <w:rFonts w:hint="eastAsia" w:ascii="宋体" w:hAnsi="宋体" w:eastAsia="宋体" w:cs="宋体"/>
          <w:bCs/>
          <w:sz w:val="24"/>
        </w:rPr>
        <w:t>（二）破产债权的分配</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在支付上述破产费用后，剩余可供分配的破产财产依《中华人民共和国企业破产法》第一百一十三条规定的顺序清偿。本案中参与分配的破产债权</w:t>
      </w:r>
      <w:r>
        <w:rPr>
          <w:rFonts w:hint="eastAsia" w:ascii="宋体" w:hAnsi="宋体" w:eastAsia="宋体" w:cs="宋体"/>
          <w:bCs/>
          <w:sz w:val="24"/>
        </w:rPr>
        <w:t>仅</w:t>
      </w:r>
      <w:r>
        <w:rPr>
          <w:rFonts w:ascii="宋体" w:hAnsi="宋体" w:eastAsia="宋体" w:cs="宋体"/>
          <w:bCs/>
          <w:sz w:val="24"/>
        </w:rPr>
        <w:t>胡洪</w:t>
      </w:r>
      <w:r>
        <w:rPr>
          <w:rFonts w:hint="eastAsia" w:ascii="宋体" w:hAnsi="宋体" w:eastAsia="宋体" w:cs="宋体"/>
          <w:bCs/>
          <w:sz w:val="24"/>
        </w:rPr>
        <w:t>一人</w:t>
      </w:r>
      <w:r>
        <w:rPr>
          <w:rFonts w:ascii="宋体" w:hAnsi="宋体" w:eastAsia="宋体" w:cs="宋体"/>
          <w:bCs/>
          <w:sz w:val="24"/>
        </w:rPr>
        <w:t>，</w:t>
      </w:r>
      <w:r>
        <w:rPr>
          <w:rFonts w:hint="eastAsia" w:ascii="宋体" w:hAnsi="宋体" w:eastAsia="宋体" w:cs="宋体"/>
          <w:bCs/>
          <w:sz w:val="24"/>
        </w:rPr>
        <w:t>性质</w:t>
      </w:r>
      <w:r>
        <w:rPr>
          <w:rFonts w:ascii="宋体" w:hAnsi="宋体" w:eastAsia="宋体" w:cs="宋体"/>
          <w:bCs/>
          <w:sz w:val="24"/>
        </w:rPr>
        <w:t>为</w:t>
      </w:r>
      <w:r>
        <w:rPr>
          <w:rFonts w:hint="eastAsia" w:ascii="宋体" w:hAnsi="宋体" w:eastAsia="宋体" w:cs="宋体"/>
          <w:bCs/>
          <w:sz w:val="24"/>
        </w:rPr>
        <w:t>普通</w:t>
      </w:r>
      <w:r>
        <w:rPr>
          <w:rFonts w:ascii="宋体" w:hAnsi="宋体" w:eastAsia="宋体" w:cs="宋体"/>
          <w:bCs/>
          <w:sz w:val="24"/>
        </w:rPr>
        <w:t>债权，</w:t>
      </w:r>
      <w:r>
        <w:rPr>
          <w:rFonts w:hint="eastAsia" w:ascii="宋体" w:hAnsi="宋体" w:eastAsia="宋体" w:cs="宋体"/>
          <w:bCs/>
          <w:sz w:val="24"/>
        </w:rPr>
        <w:t>故管理人将剩余财产全部分配给债权人胡洪</w:t>
      </w:r>
      <w:r>
        <w:rPr>
          <w:rFonts w:ascii="宋体" w:hAnsi="宋体" w:eastAsia="宋体" w:cs="宋体"/>
          <w:bCs/>
          <w:sz w:val="24"/>
        </w:rPr>
        <w:t>。</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1、目前</w:t>
      </w:r>
      <w:r>
        <w:rPr>
          <w:rFonts w:hint="eastAsia" w:ascii="宋体" w:hAnsi="宋体" w:eastAsia="宋体" w:cs="宋体"/>
          <w:bCs/>
          <w:sz w:val="24"/>
        </w:rPr>
        <w:t>普通</w:t>
      </w:r>
      <w:r>
        <w:rPr>
          <w:rFonts w:ascii="宋体" w:hAnsi="宋体" w:eastAsia="宋体" w:cs="宋体"/>
          <w:bCs/>
          <w:sz w:val="24"/>
        </w:rPr>
        <w:t>债权的分配比例及数额具体为：</w:t>
      </w:r>
    </w:p>
    <w:p>
      <w:pPr>
        <w:wordWrap w:val="0"/>
        <w:snapToGrid w:val="0"/>
        <w:spacing w:line="360" w:lineRule="auto"/>
        <w:ind w:right="23" w:firstLine="480" w:firstLineChars="200"/>
        <w:jc w:val="left"/>
        <w:rPr>
          <w:rFonts w:ascii="宋体" w:hAnsi="宋体" w:eastAsia="宋体" w:cs="宋体"/>
          <w:bCs/>
          <w:sz w:val="24"/>
        </w:rPr>
      </w:pPr>
      <w:r>
        <w:rPr>
          <w:rFonts w:ascii="宋体" w:hAnsi="宋体" w:eastAsia="宋体" w:cs="宋体"/>
          <w:bCs/>
          <w:sz w:val="24"/>
        </w:rPr>
        <w:t>经裁定确认的</w:t>
      </w:r>
      <w:r>
        <w:rPr>
          <w:rFonts w:hint="eastAsia" w:ascii="宋体" w:hAnsi="宋体" w:eastAsia="宋体" w:cs="宋体"/>
          <w:bCs/>
          <w:sz w:val="24"/>
        </w:rPr>
        <w:t>普通</w:t>
      </w:r>
      <w:r>
        <w:rPr>
          <w:rFonts w:ascii="宋体" w:hAnsi="宋体" w:eastAsia="宋体" w:cs="宋体"/>
          <w:bCs/>
          <w:sz w:val="24"/>
        </w:rPr>
        <w:t>债权金额</w:t>
      </w:r>
      <w:r>
        <w:rPr>
          <w:rFonts w:hint="eastAsia" w:ascii="宋体" w:hAnsi="宋体" w:eastAsia="宋体" w:cs="宋体"/>
          <w:bCs/>
          <w:sz w:val="24"/>
        </w:rPr>
        <w:t>501123.61</w:t>
      </w:r>
      <w:r>
        <w:rPr>
          <w:rFonts w:ascii="宋体" w:hAnsi="宋体" w:eastAsia="宋体" w:cs="宋体"/>
          <w:bCs/>
          <w:sz w:val="24"/>
        </w:rPr>
        <w:t>元，参与分配的债权人数为</w:t>
      </w:r>
      <w:r>
        <w:rPr>
          <w:rFonts w:hint="eastAsia" w:ascii="宋体" w:hAnsi="宋体" w:eastAsia="宋体" w:cs="宋体"/>
          <w:bCs/>
          <w:sz w:val="24"/>
        </w:rPr>
        <w:t>1</w:t>
      </w:r>
      <w:r>
        <w:rPr>
          <w:rFonts w:ascii="宋体" w:hAnsi="宋体" w:eastAsia="宋体" w:cs="宋体"/>
          <w:bCs/>
          <w:sz w:val="24"/>
        </w:rPr>
        <w:t>人，目前可供分配的破产财产金额为</w:t>
      </w:r>
      <w:r>
        <w:rPr>
          <w:rFonts w:hint="eastAsia" w:ascii="宋体" w:hAnsi="宋体" w:eastAsia="宋体" w:cs="宋体"/>
          <w:bCs/>
          <w:sz w:val="24"/>
        </w:rPr>
        <w:t>6500</w:t>
      </w:r>
      <w:r>
        <w:rPr>
          <w:rFonts w:hint="eastAsia" w:ascii="宋体" w:hAnsi="宋体" w:eastAsia="宋体" w:cs="宋体"/>
          <w:bCs/>
          <w:sz w:val="24"/>
          <w:lang w:val="en-US" w:eastAsia="zh-CN"/>
        </w:rPr>
        <w:t>.00</w:t>
      </w:r>
      <w:r>
        <w:rPr>
          <w:rFonts w:ascii="宋体" w:hAnsi="宋体" w:eastAsia="宋体" w:cs="宋体"/>
          <w:bCs/>
          <w:sz w:val="24"/>
        </w:rPr>
        <w:t>元，清偿率</w:t>
      </w:r>
      <w:r>
        <w:rPr>
          <w:rFonts w:hint="eastAsia" w:ascii="宋体" w:hAnsi="宋体" w:eastAsia="宋体" w:cs="宋体"/>
          <w:bCs/>
          <w:sz w:val="24"/>
        </w:rPr>
        <w:t>及</w:t>
      </w:r>
      <w:r>
        <w:rPr>
          <w:rFonts w:ascii="宋体" w:hAnsi="宋体" w:eastAsia="宋体" w:cs="宋体"/>
          <w:bCs/>
          <w:sz w:val="24"/>
        </w:rPr>
        <w:t>具体计算</w:t>
      </w:r>
      <w:r>
        <w:rPr>
          <w:rFonts w:hint="eastAsia" w:ascii="宋体" w:hAnsi="宋体" w:eastAsia="宋体" w:cs="宋体"/>
          <w:bCs/>
          <w:sz w:val="24"/>
        </w:rPr>
        <w:t>明细</w:t>
      </w:r>
      <w:r>
        <w:rPr>
          <w:rFonts w:ascii="宋体" w:hAnsi="宋体" w:eastAsia="宋体" w:cs="宋体"/>
          <w:bCs/>
          <w:sz w:val="24"/>
        </w:rPr>
        <w:t>如下：</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（1）可供</w:t>
      </w:r>
      <w:r>
        <w:rPr>
          <w:rFonts w:hint="eastAsia" w:ascii="宋体" w:hAnsi="宋体" w:eastAsia="宋体" w:cs="宋体"/>
          <w:bCs/>
          <w:sz w:val="24"/>
        </w:rPr>
        <w:t>普通</w:t>
      </w:r>
      <w:r>
        <w:rPr>
          <w:rFonts w:ascii="宋体" w:hAnsi="宋体" w:eastAsia="宋体" w:cs="宋体"/>
          <w:bCs/>
          <w:sz w:val="24"/>
        </w:rPr>
        <w:t>债权分配的破产财产金额为：</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破产财产总额</w:t>
      </w:r>
      <w:r>
        <w:rPr>
          <w:rFonts w:hint="eastAsia" w:ascii="宋体" w:hAnsi="宋体" w:eastAsia="宋体" w:cs="宋体"/>
          <w:bCs/>
          <w:sz w:val="24"/>
        </w:rPr>
        <w:t>6500</w:t>
      </w:r>
      <w:r>
        <w:rPr>
          <w:rFonts w:ascii="宋体" w:hAnsi="宋体" w:eastAsia="宋体" w:cs="宋体"/>
          <w:bCs/>
          <w:sz w:val="24"/>
        </w:rPr>
        <w:t>元-破产费用</w:t>
      </w:r>
      <w:r>
        <w:rPr>
          <w:rFonts w:hint="eastAsia" w:ascii="宋体" w:hAnsi="宋体" w:eastAsia="宋体" w:cs="宋体"/>
          <w:bCs/>
          <w:sz w:val="24"/>
        </w:rPr>
        <w:t>27</w:t>
      </w:r>
      <w:r>
        <w:rPr>
          <w:rFonts w:hint="eastAsia" w:ascii="宋体" w:hAnsi="宋体" w:eastAsia="宋体" w:cs="宋体"/>
          <w:bCs/>
          <w:sz w:val="24"/>
          <w:lang w:val="en-US" w:eastAsia="zh-CN"/>
        </w:rPr>
        <w:t>35</w:t>
      </w:r>
      <w:r>
        <w:rPr>
          <w:rFonts w:ascii="宋体" w:hAnsi="宋体" w:eastAsia="宋体" w:cs="宋体"/>
          <w:bCs/>
          <w:sz w:val="24"/>
        </w:rPr>
        <w:t>元=</w:t>
      </w:r>
      <w:r>
        <w:rPr>
          <w:rFonts w:hint="eastAsia" w:ascii="宋体" w:hAnsi="宋体" w:eastAsia="宋体" w:cs="宋体"/>
          <w:bCs/>
          <w:sz w:val="24"/>
        </w:rPr>
        <w:t>37</w:t>
      </w:r>
      <w:r>
        <w:rPr>
          <w:rFonts w:hint="eastAsia" w:ascii="宋体" w:hAnsi="宋体" w:eastAsia="宋体" w:cs="宋体"/>
          <w:bCs/>
          <w:sz w:val="24"/>
          <w:lang w:val="en-US" w:eastAsia="zh-CN"/>
        </w:rPr>
        <w:t>65</w:t>
      </w:r>
      <w:r>
        <w:rPr>
          <w:rFonts w:ascii="宋体" w:hAnsi="宋体" w:eastAsia="宋体" w:cs="宋体"/>
          <w:bCs/>
          <w:sz w:val="24"/>
        </w:rPr>
        <w:t>元</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（2）</w:t>
      </w:r>
      <w:r>
        <w:rPr>
          <w:rFonts w:hint="eastAsia" w:ascii="宋体" w:hAnsi="宋体" w:eastAsia="宋体" w:cs="宋体"/>
          <w:bCs/>
          <w:sz w:val="24"/>
        </w:rPr>
        <w:t>普通</w:t>
      </w:r>
      <w:r>
        <w:rPr>
          <w:rFonts w:ascii="宋体" w:hAnsi="宋体" w:eastAsia="宋体" w:cs="宋体"/>
          <w:bCs/>
          <w:sz w:val="24"/>
        </w:rPr>
        <w:t>债权清偿比例为：</w:t>
      </w:r>
    </w:p>
    <w:p>
      <w:pPr>
        <w:wordWrap w:val="0"/>
        <w:snapToGrid w:val="0"/>
        <w:spacing w:line="360" w:lineRule="auto"/>
        <w:ind w:right="23" w:firstLine="480" w:firstLineChars="200"/>
        <w:jc w:val="left"/>
        <w:rPr>
          <w:rFonts w:hint="eastAsia" w:ascii="宋体" w:hAnsi="宋体" w:eastAsia="宋体" w:cs="宋体"/>
          <w:bCs/>
          <w:sz w:val="24"/>
          <w:highlight w:val="lightGray"/>
        </w:rPr>
      </w:pPr>
      <w:r>
        <w:rPr>
          <w:rFonts w:ascii="宋体" w:hAnsi="宋体" w:eastAsia="宋体" w:cs="宋体"/>
          <w:bCs/>
          <w:sz w:val="24"/>
        </w:rPr>
        <w:t>可供</w:t>
      </w:r>
      <w:r>
        <w:rPr>
          <w:rFonts w:hint="eastAsia" w:ascii="宋体" w:hAnsi="宋体" w:eastAsia="宋体" w:cs="宋体"/>
          <w:bCs/>
          <w:sz w:val="24"/>
        </w:rPr>
        <w:t>普通</w:t>
      </w:r>
      <w:r>
        <w:rPr>
          <w:rFonts w:ascii="宋体" w:hAnsi="宋体" w:eastAsia="宋体" w:cs="宋体"/>
          <w:bCs/>
          <w:sz w:val="24"/>
        </w:rPr>
        <w:t>债权分配的破产财产金额</w:t>
      </w:r>
      <w:r>
        <w:rPr>
          <w:rFonts w:hint="eastAsia" w:ascii="宋体" w:hAnsi="宋体" w:eastAsia="宋体" w:cs="宋体"/>
          <w:bCs/>
          <w:sz w:val="24"/>
        </w:rPr>
        <w:t>37</w:t>
      </w:r>
      <w:r>
        <w:rPr>
          <w:rFonts w:hint="eastAsia" w:ascii="宋体" w:hAnsi="宋体" w:eastAsia="宋体" w:cs="宋体"/>
          <w:bCs/>
          <w:sz w:val="24"/>
          <w:lang w:val="en-US" w:eastAsia="zh-CN"/>
        </w:rPr>
        <w:t>65</w:t>
      </w:r>
      <w:r>
        <w:rPr>
          <w:rFonts w:ascii="宋体" w:hAnsi="宋体" w:eastAsia="宋体" w:cs="宋体"/>
          <w:bCs/>
          <w:sz w:val="24"/>
        </w:rPr>
        <w:t>元÷经裁定确认的</w:t>
      </w:r>
      <w:r>
        <w:rPr>
          <w:rFonts w:hint="eastAsia" w:ascii="宋体" w:hAnsi="宋体" w:eastAsia="宋体" w:cs="宋体"/>
          <w:bCs/>
          <w:sz w:val="24"/>
        </w:rPr>
        <w:t>普通</w:t>
      </w:r>
      <w:r>
        <w:rPr>
          <w:rFonts w:ascii="宋体" w:hAnsi="宋体" w:eastAsia="宋体" w:cs="宋体"/>
          <w:bCs/>
          <w:sz w:val="24"/>
        </w:rPr>
        <w:t>债权金额</w:t>
      </w:r>
      <w:r>
        <w:rPr>
          <w:rFonts w:hint="eastAsia" w:ascii="宋体" w:hAnsi="宋体" w:eastAsia="宋体" w:cs="宋体"/>
          <w:bCs/>
          <w:sz w:val="24"/>
        </w:rPr>
        <w:t>501123.61</w:t>
      </w:r>
      <w:r>
        <w:rPr>
          <w:rFonts w:ascii="宋体" w:hAnsi="宋体" w:eastAsia="宋体" w:cs="宋体"/>
          <w:bCs/>
          <w:sz w:val="24"/>
        </w:rPr>
        <w:t>元=</w:t>
      </w:r>
      <w:r>
        <w:rPr>
          <w:rFonts w:hint="eastAsia" w:ascii="宋体" w:hAnsi="宋体" w:eastAsia="宋体" w:cs="宋体"/>
          <w:bCs/>
          <w:sz w:val="24"/>
        </w:rPr>
        <w:t>0</w:t>
      </w:r>
      <w:r>
        <w:rPr>
          <w:rFonts w:ascii="宋体" w:hAnsi="宋体" w:eastAsia="宋体" w:cs="宋体"/>
          <w:bCs/>
          <w:sz w:val="24"/>
        </w:rPr>
        <w:t>.</w:t>
      </w:r>
      <w:r>
        <w:rPr>
          <w:rFonts w:hint="eastAsia" w:ascii="宋体" w:hAnsi="宋体" w:eastAsia="宋体" w:cs="宋体"/>
          <w:bCs/>
          <w:sz w:val="24"/>
        </w:rPr>
        <w:t>7</w:t>
      </w:r>
      <w:r>
        <w:rPr>
          <w:rFonts w:hint="eastAsia" w:ascii="宋体" w:hAnsi="宋体" w:eastAsia="宋体" w:cs="宋体"/>
          <w:bCs/>
          <w:sz w:val="24"/>
          <w:lang w:val="en-US" w:eastAsia="zh-CN"/>
        </w:rPr>
        <w:t>5</w:t>
      </w:r>
      <w:r>
        <w:rPr>
          <w:rFonts w:ascii="宋体" w:hAnsi="宋体" w:eastAsia="宋体" w:cs="宋体"/>
          <w:bCs/>
          <w:sz w:val="24"/>
        </w:rPr>
        <w:t>%</w:t>
      </w:r>
    </w:p>
    <w:p>
      <w:pPr>
        <w:snapToGrid w:val="0"/>
        <w:spacing w:before="156" w:beforeLines="50" w:after="156" w:afterLines="50" w:line="360" w:lineRule="auto"/>
        <w:ind w:right="23" w:firstLine="482" w:firstLineChars="200"/>
        <w:jc w:val="left"/>
        <w:rPr>
          <w:rFonts w:ascii="宋体" w:hAnsi="宋体" w:eastAsia="宋体" w:cs="宋体"/>
          <w:b/>
          <w:sz w:val="24"/>
        </w:rPr>
      </w:pPr>
      <w:r>
        <w:rPr>
          <w:rFonts w:hint="eastAsia" w:ascii="宋体" w:hAnsi="宋体" w:eastAsia="宋体" w:cs="宋体"/>
          <w:b/>
          <w:sz w:val="24"/>
        </w:rPr>
        <w:t>四、破产财产分配实施办法</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1</w:t>
      </w:r>
      <w:r>
        <w:rPr>
          <w:rFonts w:hint="eastAsia" w:ascii="宋体" w:hAnsi="宋体" w:eastAsia="宋体" w:cs="宋体"/>
          <w:bCs/>
          <w:sz w:val="24"/>
        </w:rPr>
        <w:t>.</w:t>
      </w:r>
      <w:r>
        <w:rPr>
          <w:rFonts w:ascii="宋体" w:hAnsi="宋体" w:eastAsia="宋体" w:cs="宋体"/>
          <w:bCs/>
          <w:sz w:val="24"/>
        </w:rPr>
        <w:t>分配方式：本分配方案以货币</w:t>
      </w:r>
      <w:r>
        <w:rPr>
          <w:rFonts w:hint="eastAsia" w:ascii="宋体" w:hAnsi="宋体" w:eastAsia="宋体" w:cs="宋体"/>
          <w:bCs/>
          <w:sz w:val="24"/>
        </w:rPr>
        <w:t>分配</w:t>
      </w:r>
      <w:r>
        <w:rPr>
          <w:rFonts w:ascii="宋体" w:hAnsi="宋体" w:eastAsia="宋体" w:cs="宋体"/>
          <w:bCs/>
          <w:sz w:val="24"/>
        </w:rPr>
        <w:t>方式进行，由管理人根据债权人提供的银行账号，实施转账支付。若是债权人变更账户的，</w:t>
      </w:r>
      <w:r>
        <w:rPr>
          <w:rFonts w:hint="eastAsia" w:ascii="宋体" w:hAnsi="宋体" w:eastAsia="宋体" w:cs="宋体"/>
          <w:bCs/>
          <w:sz w:val="24"/>
        </w:rPr>
        <w:t>应自收到本分配方案之日起三日内</w:t>
      </w:r>
      <w:r>
        <w:rPr>
          <w:rFonts w:ascii="宋体" w:hAnsi="宋体" w:eastAsia="宋体" w:cs="宋体"/>
          <w:bCs/>
          <w:sz w:val="24"/>
        </w:rPr>
        <w:t>书面通知管理人</w:t>
      </w:r>
      <w:r>
        <w:rPr>
          <w:rFonts w:hint="eastAsia" w:ascii="宋体" w:hAnsi="宋体" w:eastAsia="宋体" w:cs="宋体"/>
          <w:bCs/>
          <w:sz w:val="24"/>
        </w:rPr>
        <w:t>。</w:t>
      </w:r>
    </w:p>
    <w:p>
      <w:pPr>
        <w:snapToGrid w:val="0"/>
        <w:spacing w:line="360" w:lineRule="auto"/>
        <w:ind w:right="25" w:firstLine="480" w:firstLineChars="200"/>
        <w:jc w:val="left"/>
        <w:rPr>
          <w:rFonts w:ascii="宋体" w:hAnsi="宋体" w:eastAsia="宋体" w:cs="宋体"/>
          <w:bCs/>
          <w:sz w:val="24"/>
        </w:rPr>
      </w:pPr>
      <w:r>
        <w:rPr>
          <w:rFonts w:ascii="宋体" w:hAnsi="宋体" w:eastAsia="宋体" w:cs="宋体"/>
          <w:bCs/>
          <w:sz w:val="24"/>
        </w:rPr>
        <w:t>2</w:t>
      </w:r>
      <w:r>
        <w:rPr>
          <w:rFonts w:hint="eastAsia" w:ascii="宋体" w:hAnsi="宋体" w:eastAsia="宋体" w:cs="宋体"/>
          <w:bCs/>
          <w:sz w:val="24"/>
        </w:rPr>
        <w:t>.</w:t>
      </w:r>
      <w:r>
        <w:rPr>
          <w:rFonts w:ascii="宋体" w:hAnsi="宋体" w:eastAsia="宋体" w:cs="宋体"/>
          <w:bCs/>
          <w:sz w:val="24"/>
        </w:rPr>
        <w:t>分配步骤：本分配方案经非现场债权人会议表决通过并由姑苏法院裁定认可或债权人会议两次表决未通过但由姑苏法院裁定认可后，由管理人执行。管理人将按照先破产费用</w:t>
      </w:r>
      <w:r>
        <w:rPr>
          <w:rFonts w:hint="eastAsia" w:ascii="宋体" w:hAnsi="宋体" w:eastAsia="宋体" w:cs="宋体"/>
          <w:bCs/>
          <w:sz w:val="24"/>
        </w:rPr>
        <w:t>后普通</w:t>
      </w:r>
      <w:r>
        <w:rPr>
          <w:rFonts w:ascii="宋体" w:hAnsi="宋体" w:eastAsia="宋体" w:cs="宋体"/>
          <w:bCs/>
          <w:sz w:val="24"/>
        </w:rPr>
        <w:t>债权的顺序依次进行分配。</w:t>
      </w:r>
    </w:p>
    <w:p>
      <w:pPr>
        <w:snapToGrid w:val="0"/>
        <w:spacing w:line="360" w:lineRule="auto"/>
        <w:ind w:right="25" w:firstLine="480" w:firstLineChars="200"/>
        <w:jc w:val="left"/>
        <w:rPr>
          <w:rFonts w:ascii="宋体" w:hAnsi="宋体" w:eastAsia="宋体" w:cs="宋体"/>
          <w:bCs/>
          <w:sz w:val="24"/>
        </w:rPr>
      </w:pPr>
      <w:r>
        <w:rPr>
          <w:rFonts w:hint="eastAsia" w:ascii="宋体" w:hAnsi="宋体" w:eastAsia="宋体" w:cs="宋体"/>
          <w:bCs/>
          <w:sz w:val="24"/>
        </w:rPr>
        <w:t>3.补充分配：</w:t>
      </w:r>
      <w:r>
        <w:rPr>
          <w:rFonts w:ascii="宋体" w:hAnsi="宋体" w:eastAsia="宋体" w:cs="宋体"/>
          <w:bCs/>
          <w:sz w:val="24"/>
        </w:rPr>
        <w:t>本次分配按照上述分配数额和比例进行分配，如果发生未受领、新发现财产等需要进行二次或多次分配的情形，按照本方案规定计算方式计算所得的分配款，管理人将直接汇入债权人确认的收款账户，不再重新表决。</w:t>
      </w:r>
    </w:p>
    <w:p>
      <w:pPr>
        <w:snapToGrid w:val="0"/>
        <w:spacing w:line="360" w:lineRule="auto"/>
        <w:ind w:right="25"/>
        <w:jc w:val="left"/>
        <w:rPr>
          <w:rFonts w:ascii="宋体" w:hAnsi="宋体" w:eastAsia="宋体" w:cs="宋体"/>
          <w:bCs/>
          <w:sz w:val="24"/>
        </w:rPr>
      </w:pPr>
    </w:p>
    <w:p>
      <w:pPr>
        <w:snapToGrid w:val="0"/>
        <w:spacing w:line="360" w:lineRule="auto"/>
        <w:ind w:right="25"/>
        <w:jc w:val="left"/>
        <w:rPr>
          <w:rFonts w:ascii="宋体" w:hAnsi="宋体" w:eastAsia="宋体" w:cs="宋体"/>
          <w:bCs/>
          <w:sz w:val="24"/>
        </w:rPr>
      </w:pPr>
    </w:p>
    <w:p>
      <w:pPr>
        <w:snapToGrid w:val="0"/>
        <w:spacing w:line="360" w:lineRule="auto"/>
        <w:ind w:right="25"/>
        <w:jc w:val="left"/>
        <w:rPr>
          <w:rFonts w:ascii="宋体" w:hAnsi="宋体" w:eastAsia="宋体" w:cs="宋体"/>
          <w:bCs/>
          <w:sz w:val="24"/>
        </w:rPr>
      </w:pPr>
    </w:p>
    <w:p>
      <w:pPr>
        <w:snapToGrid w:val="0"/>
        <w:spacing w:line="360" w:lineRule="auto"/>
        <w:ind w:right="25"/>
        <w:jc w:val="left"/>
        <w:rPr>
          <w:rFonts w:ascii="宋体" w:hAnsi="宋体" w:eastAsia="宋体" w:cs="宋体"/>
          <w:bCs/>
          <w:sz w:val="24"/>
        </w:rPr>
      </w:pPr>
    </w:p>
    <w:p>
      <w:pPr>
        <w:spacing w:line="360" w:lineRule="auto"/>
        <w:jc w:val="right"/>
        <w:rPr>
          <w:rFonts w:ascii="宋体" w:hAnsi="宋体" w:eastAsia="宋体" w:cs="宋体"/>
          <w:color w:val="000000"/>
          <w:sz w:val="24"/>
          <w:szCs w:val="32"/>
        </w:rPr>
      </w:pPr>
      <w:r>
        <w:rPr>
          <w:rFonts w:hint="eastAsia" w:ascii="宋体" w:hAnsi="宋体" w:eastAsia="宋体" w:cs="宋体"/>
          <w:color w:val="000000"/>
          <w:sz w:val="24"/>
          <w:szCs w:val="32"/>
        </w:rPr>
        <w:t>苏州市盗梦空间网络科技有限公司管理人</w:t>
      </w:r>
    </w:p>
    <w:p>
      <w:pPr>
        <w:spacing w:line="360" w:lineRule="auto"/>
        <w:jc w:val="right"/>
        <w:rPr>
          <w:rFonts w:ascii="宋体" w:hAnsi="宋体" w:eastAsia="宋体" w:cs="宋体"/>
          <w:b/>
          <w:bCs/>
          <w:color w:val="000000"/>
        </w:rPr>
      </w:pPr>
      <w:r>
        <w:rPr>
          <w:rFonts w:hint="eastAsia" w:ascii="宋体" w:hAnsi="宋体" w:eastAsia="宋体" w:cs="宋体"/>
          <w:color w:val="000000"/>
          <w:sz w:val="24"/>
          <w:szCs w:val="32"/>
        </w:rPr>
        <w:t>2019年10月</w:t>
      </w:r>
      <w:r>
        <w:rPr>
          <w:rFonts w:hint="eastAsia" w:ascii="宋体" w:hAnsi="宋体" w:eastAsia="宋体" w:cs="宋体"/>
          <w:color w:val="000000"/>
          <w:sz w:val="24"/>
          <w:szCs w:val="32"/>
          <w:lang w:val="en-US" w:eastAsia="zh-CN"/>
        </w:rPr>
        <w:t>14</w:t>
      </w:r>
      <w:r>
        <w:rPr>
          <w:rFonts w:hint="eastAsia" w:ascii="宋体" w:hAnsi="宋体" w:eastAsia="宋体" w:cs="宋体"/>
          <w:color w:val="000000"/>
          <w:sz w:val="24"/>
          <w:szCs w:val="32"/>
        </w:rPr>
        <w:t>日</w:t>
      </w:r>
    </w:p>
    <w:p>
      <w:pPr>
        <w:spacing w:line="360" w:lineRule="auto"/>
        <w:rPr>
          <w:rFonts w:ascii="宋体" w:hAnsi="宋体" w:eastAsia="宋体" w:cs="宋体"/>
          <w:b/>
          <w:bCs/>
          <w:color w:val="000000"/>
        </w:rPr>
      </w:pPr>
    </w:p>
    <w:p>
      <w:pPr>
        <w:spacing w:line="360" w:lineRule="auto"/>
        <w:rPr>
          <w:rFonts w:hint="eastAsia" w:ascii="宋体" w:hAnsi="宋体" w:eastAsia="宋体" w:cs="宋体"/>
          <w:b/>
          <w:bCs/>
          <w:color w:val="000000"/>
        </w:rPr>
      </w:pPr>
    </w:p>
    <w:p>
      <w:pPr>
        <w:spacing w:line="360" w:lineRule="auto"/>
        <w:rPr>
          <w:rFonts w:hint="eastAsia" w:ascii="宋体" w:hAnsi="宋体" w:eastAsia="宋体" w:cs="宋体"/>
          <w:b/>
          <w:bCs/>
          <w:color w:val="000000"/>
        </w:rPr>
      </w:pPr>
    </w:p>
    <w:p>
      <w:pPr>
        <w:spacing w:line="360" w:lineRule="auto"/>
        <w:rPr>
          <w:rFonts w:hint="eastAsia" w:ascii="宋体" w:hAnsi="宋体" w:eastAsia="宋体" w:cs="宋体"/>
          <w:b/>
          <w:bCs/>
          <w:color w:val="000000"/>
        </w:rPr>
      </w:pPr>
    </w:p>
    <w:p>
      <w:pPr>
        <w:spacing w:line="360" w:lineRule="auto"/>
        <w:rPr>
          <w:rFonts w:hint="eastAsia" w:ascii="宋体" w:hAnsi="宋体" w:eastAsia="宋体" w:cs="宋体"/>
          <w:b/>
          <w:bCs/>
          <w:color w:val="000000"/>
        </w:rPr>
      </w:pPr>
    </w:p>
    <w:p>
      <w:pPr>
        <w:spacing w:line="360" w:lineRule="auto"/>
        <w:rPr>
          <w:rFonts w:hint="eastAsia" w:ascii="宋体" w:hAnsi="宋体" w:eastAsia="宋体" w:cs="宋体"/>
          <w:b/>
          <w:bCs/>
          <w:color w:val="000000"/>
        </w:rPr>
      </w:pPr>
    </w:p>
    <w:p>
      <w:pPr>
        <w:spacing w:line="360" w:lineRule="auto"/>
        <w:rPr>
          <w:rFonts w:ascii="宋体" w:hAnsi="宋体" w:eastAsia="宋体" w:cs="宋体"/>
          <w:b/>
          <w:bCs/>
          <w:color w:val="000000"/>
        </w:rPr>
      </w:pPr>
      <w:r>
        <w:rPr>
          <w:rFonts w:hint="eastAsia" w:ascii="宋体" w:hAnsi="宋体" w:eastAsia="宋体" w:cs="宋体"/>
          <w:b/>
          <w:bCs/>
          <w:color w:val="000000"/>
        </w:rPr>
        <w:t>附</w:t>
      </w:r>
      <w:r>
        <w:rPr>
          <w:rFonts w:ascii="宋体" w:hAnsi="宋体" w:eastAsia="宋体" w:cs="宋体"/>
          <w:b/>
          <w:bCs/>
          <w:color w:val="000000"/>
        </w:rPr>
        <w:t>：</w:t>
      </w:r>
      <w:r>
        <w:rPr>
          <w:rFonts w:hint="eastAsia" w:ascii="宋体" w:hAnsi="宋体" w:eastAsia="宋体" w:cs="宋体"/>
          <w:b/>
          <w:bCs/>
          <w:color w:val="000000"/>
        </w:rPr>
        <w:t>1.</w:t>
      </w:r>
      <w:r>
        <w:rPr>
          <w:rFonts w:ascii="宋体" w:hAnsi="宋体" w:eastAsia="宋体" w:cs="宋体"/>
          <w:b/>
          <w:bCs/>
          <w:color w:val="000000"/>
        </w:rPr>
        <w:t>《</w:t>
      </w:r>
      <w:r>
        <w:rPr>
          <w:rFonts w:hint="eastAsia" w:ascii="宋体" w:hAnsi="宋体" w:eastAsia="宋体" w:cs="宋体"/>
          <w:b/>
          <w:bCs/>
          <w:color w:val="000000"/>
        </w:rPr>
        <w:t>苏州市盗梦空间网络科技</w:t>
      </w:r>
      <w:r>
        <w:rPr>
          <w:rFonts w:ascii="宋体" w:hAnsi="宋体" w:eastAsia="宋体" w:cs="宋体"/>
          <w:b/>
          <w:bCs/>
          <w:color w:val="000000"/>
        </w:rPr>
        <w:t>有限公司破产财产分配表》</w:t>
      </w:r>
      <w:r>
        <w:rPr>
          <w:rFonts w:hint="eastAsia" w:ascii="宋体" w:hAnsi="宋体" w:eastAsia="宋体" w:cs="宋体"/>
          <w:b/>
          <w:bCs/>
          <w:color w:val="000000"/>
        </w:rPr>
        <w:t>；</w:t>
      </w:r>
    </w:p>
    <w:p>
      <w:pPr>
        <w:spacing w:line="360" w:lineRule="auto"/>
        <w:ind w:firstLine="422" w:firstLineChars="200"/>
        <w:rPr>
          <w:rFonts w:ascii="宋体" w:hAnsi="宋体" w:eastAsia="宋体" w:cs="宋体"/>
          <w:b/>
          <w:bCs/>
          <w:color w:val="000000"/>
        </w:rPr>
      </w:pPr>
      <w:r>
        <w:rPr>
          <w:rFonts w:hint="eastAsia" w:ascii="宋体" w:hAnsi="宋体" w:eastAsia="宋体" w:cs="宋体"/>
          <w:b/>
          <w:bCs/>
          <w:color w:val="000000"/>
        </w:rPr>
        <w:t>2.《分配登记表》。</w:t>
      </w:r>
    </w:p>
    <w:p>
      <w:pPr>
        <w:spacing w:line="360" w:lineRule="auto"/>
        <w:jc w:val="center"/>
        <w:rPr>
          <w:rFonts w:hint="eastAsia" w:ascii="宋体" w:hAnsi="宋体" w:eastAsia="宋体" w:cs="宋体"/>
          <w:b/>
          <w:bCs/>
          <w:color w:val="000000"/>
          <w:sz w:val="22"/>
          <w:szCs w:val="28"/>
        </w:rPr>
      </w:pPr>
    </w:p>
    <w:p>
      <w:pPr>
        <w:spacing w:line="360" w:lineRule="auto"/>
        <w:jc w:val="center"/>
        <w:rPr>
          <w:rFonts w:ascii="宋体" w:hAnsi="宋体" w:eastAsia="宋体" w:cs="宋体"/>
          <w:b/>
          <w:bCs/>
          <w:color w:val="000000"/>
          <w:sz w:val="22"/>
          <w:szCs w:val="28"/>
        </w:rPr>
      </w:pPr>
      <w:r>
        <w:rPr>
          <w:rFonts w:hint="eastAsia" w:ascii="宋体" w:hAnsi="宋体" w:eastAsia="宋体" w:cs="宋体"/>
          <w:b/>
          <w:bCs/>
          <w:color w:val="000000"/>
          <w:sz w:val="22"/>
          <w:szCs w:val="28"/>
        </w:rPr>
        <w:t>苏州市盗梦空间网络科技</w:t>
      </w:r>
      <w:r>
        <w:rPr>
          <w:rFonts w:ascii="宋体" w:hAnsi="宋体" w:eastAsia="宋体" w:cs="宋体"/>
          <w:b/>
          <w:bCs/>
          <w:color w:val="000000"/>
          <w:sz w:val="22"/>
          <w:szCs w:val="28"/>
        </w:rPr>
        <w:t>有限公司破产财产分配表</w:t>
      </w:r>
    </w:p>
    <w:p>
      <w:pPr>
        <w:spacing w:line="360" w:lineRule="auto"/>
        <w:jc w:val="right"/>
        <w:rPr>
          <w:rFonts w:ascii="宋体" w:hAnsi="宋体" w:eastAsia="宋体" w:cs="宋体"/>
          <w:b/>
          <w:bCs/>
          <w:color w:val="000000"/>
        </w:rPr>
      </w:pPr>
      <w:r>
        <w:rPr>
          <w:rFonts w:hint="eastAsia" w:ascii="宋体" w:hAnsi="宋体" w:eastAsia="宋体" w:cs="宋体"/>
          <w:b/>
          <w:bCs/>
          <w:color w:val="000000"/>
        </w:rPr>
        <w:t>（截至2019年10月</w:t>
      </w:r>
      <w:r>
        <w:rPr>
          <w:rFonts w:hint="eastAsia" w:ascii="宋体" w:hAnsi="宋体" w:eastAsia="宋体" w:cs="宋体"/>
          <w:b/>
          <w:bCs/>
          <w:color w:val="000000"/>
          <w:lang w:val="en-US" w:eastAsia="zh-CN"/>
        </w:rPr>
        <w:t>14</w:t>
      </w:r>
      <w:bookmarkStart w:id="0" w:name="_GoBack"/>
      <w:bookmarkEnd w:id="0"/>
      <w:r>
        <w:rPr>
          <w:rFonts w:hint="eastAsia" w:ascii="宋体" w:hAnsi="宋体" w:eastAsia="宋体" w:cs="宋体"/>
          <w:b/>
          <w:bCs/>
          <w:color w:val="000000"/>
        </w:rPr>
        <w:t>日）</w:t>
      </w:r>
    </w:p>
    <w:tbl>
      <w:tblPr>
        <w:tblStyle w:val="4"/>
        <w:tblW w:w="87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283"/>
        <w:gridCol w:w="2126"/>
        <w:gridCol w:w="1276"/>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646" w:type="dxa"/>
            <w:shd w:val="clear" w:color="auto" w:fill="BEBEBE" w:themeFill="background1" w:themeFillShade="BF"/>
            <w:vAlign w:val="center"/>
          </w:tcPr>
          <w:p>
            <w:pPr>
              <w:jc w:val="center"/>
              <w:rPr>
                <w:rFonts w:eastAsia="宋体"/>
                <w:szCs w:val="21"/>
              </w:rPr>
            </w:pPr>
            <w:r>
              <w:rPr>
                <w:rFonts w:eastAsia="宋体"/>
                <w:szCs w:val="21"/>
              </w:rPr>
              <w:t>序号</w:t>
            </w:r>
          </w:p>
        </w:tc>
        <w:tc>
          <w:tcPr>
            <w:tcW w:w="1283" w:type="dxa"/>
            <w:shd w:val="clear" w:color="auto" w:fill="BEBEBE" w:themeFill="background1" w:themeFillShade="BF"/>
            <w:vAlign w:val="center"/>
          </w:tcPr>
          <w:p>
            <w:pPr>
              <w:jc w:val="center"/>
              <w:rPr>
                <w:rFonts w:eastAsia="宋体"/>
                <w:szCs w:val="21"/>
              </w:rPr>
            </w:pPr>
            <w:r>
              <w:rPr>
                <w:rFonts w:eastAsia="宋体"/>
                <w:szCs w:val="21"/>
              </w:rPr>
              <w:t>债权人名称</w:t>
            </w:r>
          </w:p>
        </w:tc>
        <w:tc>
          <w:tcPr>
            <w:tcW w:w="2126" w:type="dxa"/>
            <w:shd w:val="clear" w:color="auto" w:fill="BEBEBE" w:themeFill="background1" w:themeFillShade="BF"/>
            <w:vAlign w:val="center"/>
          </w:tcPr>
          <w:p>
            <w:pPr>
              <w:jc w:val="center"/>
              <w:rPr>
                <w:rFonts w:eastAsia="宋体"/>
                <w:szCs w:val="21"/>
              </w:rPr>
            </w:pPr>
            <w:r>
              <w:rPr>
                <w:rFonts w:hint="eastAsia" w:eastAsia="宋体"/>
                <w:szCs w:val="21"/>
              </w:rPr>
              <w:t>确认债权</w:t>
            </w:r>
            <w:r>
              <w:rPr>
                <w:rFonts w:eastAsia="宋体"/>
                <w:szCs w:val="21"/>
              </w:rPr>
              <w:t>金额（</w:t>
            </w:r>
            <w:r>
              <w:rPr>
                <w:rFonts w:hint="eastAsia" w:eastAsia="宋体"/>
                <w:szCs w:val="21"/>
              </w:rPr>
              <w:t>元</w:t>
            </w:r>
            <w:r>
              <w:rPr>
                <w:rFonts w:eastAsia="宋体"/>
                <w:szCs w:val="21"/>
              </w:rPr>
              <w:t>）</w:t>
            </w:r>
          </w:p>
        </w:tc>
        <w:tc>
          <w:tcPr>
            <w:tcW w:w="1276" w:type="dxa"/>
            <w:shd w:val="clear" w:color="auto" w:fill="BEBEBE" w:themeFill="background1" w:themeFillShade="BF"/>
            <w:vAlign w:val="center"/>
          </w:tcPr>
          <w:p>
            <w:pPr>
              <w:jc w:val="center"/>
              <w:rPr>
                <w:rFonts w:eastAsia="宋体"/>
                <w:szCs w:val="21"/>
              </w:rPr>
            </w:pPr>
            <w:r>
              <w:rPr>
                <w:rFonts w:eastAsia="宋体"/>
                <w:szCs w:val="21"/>
              </w:rPr>
              <w:t>债权性质</w:t>
            </w:r>
          </w:p>
        </w:tc>
        <w:tc>
          <w:tcPr>
            <w:tcW w:w="1701" w:type="dxa"/>
            <w:shd w:val="clear" w:color="auto" w:fill="BEBEBE" w:themeFill="background1" w:themeFillShade="BF"/>
            <w:vAlign w:val="center"/>
          </w:tcPr>
          <w:p>
            <w:pPr>
              <w:jc w:val="center"/>
              <w:rPr>
                <w:rFonts w:eastAsia="宋体"/>
                <w:szCs w:val="21"/>
                <w:highlight w:val="yellow"/>
              </w:rPr>
            </w:pPr>
            <w:r>
              <w:rPr>
                <w:rFonts w:eastAsia="宋体"/>
                <w:szCs w:val="21"/>
              </w:rPr>
              <w:t>分配金额（</w:t>
            </w:r>
            <w:r>
              <w:rPr>
                <w:rFonts w:hint="eastAsia" w:eastAsia="宋体"/>
                <w:szCs w:val="21"/>
              </w:rPr>
              <w:t>元</w:t>
            </w:r>
            <w:r>
              <w:rPr>
                <w:rFonts w:eastAsia="宋体"/>
                <w:szCs w:val="21"/>
              </w:rPr>
              <w:t>）</w:t>
            </w:r>
          </w:p>
        </w:tc>
        <w:tc>
          <w:tcPr>
            <w:tcW w:w="1701" w:type="dxa"/>
            <w:shd w:val="clear" w:color="auto" w:fill="BEBEBE" w:themeFill="background1" w:themeFillShade="BF"/>
            <w:vAlign w:val="center"/>
          </w:tcPr>
          <w:p>
            <w:pPr>
              <w:jc w:val="center"/>
              <w:rPr>
                <w:rFonts w:eastAsia="宋体"/>
                <w:szCs w:val="21"/>
              </w:rPr>
            </w:pPr>
            <w:r>
              <w:rPr>
                <w:rFonts w:eastAsia="宋体"/>
                <w:szCs w:val="21"/>
              </w:rPr>
              <w:t>清偿比例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46" w:type="dxa"/>
            <w:shd w:val="clear" w:color="auto" w:fill="auto"/>
            <w:vAlign w:val="center"/>
          </w:tcPr>
          <w:p>
            <w:pPr>
              <w:jc w:val="center"/>
              <w:rPr>
                <w:rFonts w:eastAsia="宋体"/>
                <w:szCs w:val="21"/>
              </w:rPr>
            </w:pPr>
            <w:r>
              <w:rPr>
                <w:rFonts w:eastAsia="宋体"/>
                <w:szCs w:val="21"/>
              </w:rPr>
              <w:t>1</w:t>
            </w:r>
          </w:p>
        </w:tc>
        <w:tc>
          <w:tcPr>
            <w:tcW w:w="1283" w:type="dxa"/>
            <w:shd w:val="clear" w:color="auto" w:fill="auto"/>
            <w:vAlign w:val="center"/>
          </w:tcPr>
          <w:p>
            <w:pPr>
              <w:jc w:val="center"/>
              <w:rPr>
                <w:rFonts w:eastAsia="宋体"/>
                <w:szCs w:val="21"/>
              </w:rPr>
            </w:pPr>
            <w:r>
              <w:rPr>
                <w:rFonts w:hint="eastAsia" w:eastAsia="宋体"/>
                <w:szCs w:val="21"/>
              </w:rPr>
              <w:t>胡洪</w:t>
            </w:r>
          </w:p>
        </w:tc>
        <w:tc>
          <w:tcPr>
            <w:tcW w:w="2126" w:type="dxa"/>
            <w:vAlign w:val="center"/>
          </w:tcPr>
          <w:p>
            <w:pPr>
              <w:jc w:val="center"/>
              <w:rPr>
                <w:rFonts w:eastAsia="宋体"/>
                <w:szCs w:val="21"/>
              </w:rPr>
            </w:pPr>
            <w:r>
              <w:rPr>
                <w:rFonts w:hint="eastAsia" w:eastAsia="宋体"/>
                <w:szCs w:val="21"/>
              </w:rPr>
              <w:t>501123.61</w:t>
            </w:r>
          </w:p>
        </w:tc>
        <w:tc>
          <w:tcPr>
            <w:tcW w:w="1276" w:type="dxa"/>
            <w:vAlign w:val="center"/>
          </w:tcPr>
          <w:p>
            <w:pPr>
              <w:jc w:val="center"/>
              <w:rPr>
                <w:rFonts w:eastAsia="宋体"/>
                <w:szCs w:val="21"/>
              </w:rPr>
            </w:pPr>
            <w:r>
              <w:rPr>
                <w:rFonts w:hint="eastAsia" w:eastAsia="宋体"/>
                <w:szCs w:val="21"/>
              </w:rPr>
              <w:t>普通</w:t>
            </w:r>
            <w:r>
              <w:rPr>
                <w:rFonts w:eastAsia="宋体"/>
                <w:szCs w:val="21"/>
              </w:rPr>
              <w:t>债权</w:t>
            </w:r>
          </w:p>
        </w:tc>
        <w:tc>
          <w:tcPr>
            <w:tcW w:w="1701" w:type="dxa"/>
            <w:vAlign w:val="center"/>
          </w:tcPr>
          <w:p>
            <w:pPr>
              <w:jc w:val="center"/>
              <w:rPr>
                <w:rFonts w:eastAsia="宋体"/>
                <w:szCs w:val="21"/>
              </w:rPr>
            </w:pPr>
            <w:r>
              <w:rPr>
                <w:rFonts w:hint="eastAsia" w:eastAsia="宋体"/>
                <w:szCs w:val="21"/>
              </w:rPr>
              <w:t>37</w:t>
            </w:r>
            <w:r>
              <w:rPr>
                <w:rFonts w:hint="eastAsia" w:eastAsia="宋体"/>
                <w:szCs w:val="21"/>
                <w:lang w:val="en-US" w:eastAsia="zh-CN"/>
              </w:rPr>
              <w:t>65</w:t>
            </w:r>
            <w:r>
              <w:rPr>
                <w:rFonts w:hint="eastAsia" w:eastAsia="宋体"/>
                <w:szCs w:val="21"/>
              </w:rPr>
              <w:t>.00</w:t>
            </w:r>
          </w:p>
        </w:tc>
        <w:tc>
          <w:tcPr>
            <w:tcW w:w="1701" w:type="dxa"/>
            <w:vAlign w:val="center"/>
          </w:tcPr>
          <w:p>
            <w:pPr>
              <w:jc w:val="center"/>
              <w:rPr>
                <w:rFonts w:eastAsia="宋体"/>
                <w:bCs/>
                <w:color w:val="000000"/>
                <w:szCs w:val="21"/>
              </w:rPr>
            </w:pPr>
            <w:r>
              <w:rPr>
                <w:rFonts w:hint="eastAsia" w:eastAsia="宋体"/>
                <w:bCs/>
                <w:color w:val="000000"/>
                <w:szCs w:val="21"/>
              </w:rPr>
              <w:t>0.7</w:t>
            </w:r>
            <w:r>
              <w:rPr>
                <w:rFonts w:hint="eastAsia" w:eastAsia="宋体"/>
                <w:bCs/>
                <w:color w:val="000000"/>
                <w:szCs w:val="21"/>
                <w:lang w:val="en-US" w:eastAsia="zh-CN"/>
              </w:rPr>
              <w:t>5</w:t>
            </w:r>
            <w:r>
              <w:rPr>
                <w:rFonts w:eastAsia="宋体"/>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929" w:type="dxa"/>
            <w:gridSpan w:val="2"/>
            <w:shd w:val="clear" w:color="auto" w:fill="auto"/>
            <w:vAlign w:val="center"/>
          </w:tcPr>
          <w:p>
            <w:pPr>
              <w:jc w:val="center"/>
              <w:rPr>
                <w:rFonts w:eastAsia="宋体"/>
                <w:b/>
                <w:bCs/>
                <w:szCs w:val="21"/>
              </w:rPr>
            </w:pPr>
            <w:r>
              <w:rPr>
                <w:rFonts w:hint="eastAsia" w:eastAsia="宋体"/>
                <w:b/>
                <w:bCs/>
                <w:szCs w:val="21"/>
              </w:rPr>
              <w:t>总计</w:t>
            </w:r>
          </w:p>
        </w:tc>
        <w:tc>
          <w:tcPr>
            <w:tcW w:w="2126" w:type="dxa"/>
            <w:vAlign w:val="center"/>
          </w:tcPr>
          <w:p>
            <w:pPr>
              <w:jc w:val="center"/>
              <w:rPr>
                <w:rFonts w:eastAsia="宋体"/>
                <w:b/>
                <w:bCs/>
                <w:szCs w:val="21"/>
              </w:rPr>
            </w:pPr>
            <w:r>
              <w:rPr>
                <w:rFonts w:hint="eastAsia" w:eastAsia="宋体"/>
                <w:b/>
                <w:bCs/>
                <w:szCs w:val="21"/>
              </w:rPr>
              <w:t>501123.61</w:t>
            </w:r>
          </w:p>
        </w:tc>
        <w:tc>
          <w:tcPr>
            <w:tcW w:w="1276" w:type="dxa"/>
            <w:vAlign w:val="center"/>
          </w:tcPr>
          <w:p>
            <w:pPr>
              <w:jc w:val="center"/>
              <w:rPr>
                <w:rFonts w:eastAsia="宋体"/>
                <w:b/>
                <w:bCs/>
                <w:szCs w:val="21"/>
              </w:rPr>
            </w:pPr>
            <w:r>
              <w:rPr>
                <w:rFonts w:hint="eastAsia" w:eastAsia="宋体"/>
                <w:b/>
                <w:bCs/>
                <w:szCs w:val="21"/>
              </w:rPr>
              <w:t>普通</w:t>
            </w:r>
            <w:r>
              <w:rPr>
                <w:rFonts w:eastAsia="宋体"/>
                <w:b/>
                <w:bCs/>
                <w:szCs w:val="21"/>
              </w:rPr>
              <w:t>债权</w:t>
            </w:r>
          </w:p>
        </w:tc>
        <w:tc>
          <w:tcPr>
            <w:tcW w:w="1701" w:type="dxa"/>
            <w:vAlign w:val="center"/>
          </w:tcPr>
          <w:p>
            <w:pPr>
              <w:jc w:val="center"/>
              <w:rPr>
                <w:rFonts w:eastAsia="宋体"/>
                <w:b/>
                <w:bCs/>
                <w:szCs w:val="21"/>
              </w:rPr>
            </w:pPr>
            <w:r>
              <w:rPr>
                <w:rFonts w:hint="eastAsia" w:eastAsia="宋体"/>
                <w:b/>
                <w:bCs/>
                <w:szCs w:val="21"/>
              </w:rPr>
              <w:t>37</w:t>
            </w:r>
            <w:r>
              <w:rPr>
                <w:rFonts w:hint="eastAsia" w:eastAsia="宋体"/>
                <w:b/>
                <w:bCs/>
                <w:szCs w:val="21"/>
                <w:lang w:val="en-US" w:eastAsia="zh-CN"/>
              </w:rPr>
              <w:t>65</w:t>
            </w:r>
            <w:r>
              <w:rPr>
                <w:rFonts w:hint="eastAsia" w:eastAsia="宋体"/>
                <w:b/>
                <w:bCs/>
                <w:szCs w:val="21"/>
              </w:rPr>
              <w:t>.00</w:t>
            </w:r>
          </w:p>
        </w:tc>
        <w:tc>
          <w:tcPr>
            <w:tcW w:w="1701" w:type="dxa"/>
            <w:vAlign w:val="center"/>
          </w:tcPr>
          <w:p>
            <w:pPr>
              <w:jc w:val="center"/>
              <w:rPr>
                <w:rFonts w:eastAsia="宋体"/>
                <w:b/>
                <w:bCs/>
                <w:color w:val="000000"/>
                <w:szCs w:val="21"/>
              </w:rPr>
            </w:pPr>
            <w:r>
              <w:rPr>
                <w:rFonts w:hint="eastAsia" w:eastAsia="宋体"/>
                <w:b/>
                <w:bCs/>
                <w:color w:val="000000"/>
                <w:szCs w:val="21"/>
              </w:rPr>
              <w:t>0.7</w:t>
            </w:r>
            <w:r>
              <w:rPr>
                <w:rFonts w:hint="eastAsia" w:eastAsia="宋体"/>
                <w:b/>
                <w:bCs/>
                <w:color w:val="000000"/>
                <w:szCs w:val="21"/>
                <w:lang w:val="en-US" w:eastAsia="zh-CN"/>
              </w:rPr>
              <w:t>5</w:t>
            </w:r>
            <w:r>
              <w:rPr>
                <w:rFonts w:eastAsia="宋体"/>
                <w:b/>
                <w:bCs/>
                <w:color w:val="000000"/>
                <w:szCs w:val="21"/>
              </w:rPr>
              <w:t>%</w:t>
            </w:r>
          </w:p>
        </w:tc>
      </w:tr>
    </w:tbl>
    <w:p>
      <w:pPr>
        <w:snapToGrid w:val="0"/>
        <w:spacing w:line="360" w:lineRule="auto"/>
        <w:ind w:right="25"/>
        <w:jc w:val="left"/>
        <w:rPr>
          <w:rFonts w:ascii="宋体" w:hAnsi="宋体" w:eastAsia="宋体" w:cs="宋体"/>
          <w:bCs/>
          <w:sz w:val="24"/>
        </w:rPr>
      </w:pPr>
      <w:r>
        <w:rPr>
          <w:rFonts w:hint="eastAsia" w:ascii="宋体" w:hAnsi="宋体" w:eastAsia="宋体" w:cs="宋体"/>
          <w:bCs/>
          <w:sz w:val="24"/>
        </w:rPr>
        <w:t xml:space="preserve"> </w:t>
      </w:r>
    </w:p>
    <w:p>
      <w:pPr>
        <w:snapToGrid w:val="0"/>
        <w:spacing w:line="360" w:lineRule="auto"/>
        <w:ind w:right="25"/>
        <w:jc w:val="center"/>
        <w:rPr>
          <w:rFonts w:ascii="宋体" w:hAnsi="宋体" w:eastAsia="宋体" w:cs="宋体"/>
          <w:b/>
          <w:bCs/>
          <w:color w:val="000000"/>
          <w:sz w:val="22"/>
          <w:szCs w:val="28"/>
        </w:rPr>
      </w:pPr>
      <w:r>
        <w:rPr>
          <w:rFonts w:hint="eastAsia" w:ascii="宋体" w:hAnsi="宋体" w:eastAsia="宋体" w:cs="宋体"/>
          <w:b/>
          <w:bCs/>
          <w:color w:val="000000"/>
          <w:sz w:val="22"/>
          <w:szCs w:val="28"/>
        </w:rPr>
        <w:t>分配登记表</w:t>
      </w:r>
    </w:p>
    <w:tbl>
      <w:tblPr>
        <w:tblStyle w:val="4"/>
        <w:tblW w:w="87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283"/>
        <w:gridCol w:w="2126"/>
        <w:gridCol w:w="2733"/>
        <w:gridCol w:w="1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646" w:type="dxa"/>
            <w:shd w:val="clear" w:color="auto" w:fill="BEBEBE" w:themeFill="background1" w:themeFillShade="BF"/>
            <w:vAlign w:val="center"/>
          </w:tcPr>
          <w:p>
            <w:pPr>
              <w:jc w:val="center"/>
              <w:rPr>
                <w:rFonts w:eastAsia="宋体"/>
                <w:szCs w:val="21"/>
              </w:rPr>
            </w:pPr>
            <w:r>
              <w:rPr>
                <w:rFonts w:eastAsia="宋体"/>
                <w:szCs w:val="21"/>
              </w:rPr>
              <w:t>序号</w:t>
            </w:r>
          </w:p>
        </w:tc>
        <w:tc>
          <w:tcPr>
            <w:tcW w:w="1283" w:type="dxa"/>
            <w:shd w:val="clear" w:color="auto" w:fill="BEBEBE" w:themeFill="background1" w:themeFillShade="BF"/>
            <w:vAlign w:val="center"/>
          </w:tcPr>
          <w:p>
            <w:pPr>
              <w:jc w:val="center"/>
              <w:rPr>
                <w:rFonts w:eastAsia="宋体"/>
                <w:szCs w:val="21"/>
              </w:rPr>
            </w:pPr>
            <w:r>
              <w:rPr>
                <w:rFonts w:eastAsia="宋体"/>
                <w:szCs w:val="21"/>
              </w:rPr>
              <w:t>债权人名称</w:t>
            </w:r>
          </w:p>
        </w:tc>
        <w:tc>
          <w:tcPr>
            <w:tcW w:w="2126" w:type="dxa"/>
            <w:shd w:val="clear" w:color="auto" w:fill="BEBEBE" w:themeFill="background1" w:themeFillShade="BF"/>
            <w:vAlign w:val="center"/>
          </w:tcPr>
          <w:p>
            <w:pPr>
              <w:jc w:val="center"/>
              <w:rPr>
                <w:rFonts w:eastAsia="宋体"/>
                <w:szCs w:val="21"/>
              </w:rPr>
            </w:pPr>
            <w:r>
              <w:rPr>
                <w:rFonts w:hint="eastAsia" w:eastAsia="宋体"/>
                <w:szCs w:val="21"/>
              </w:rPr>
              <w:t>住址</w:t>
            </w:r>
          </w:p>
        </w:tc>
        <w:tc>
          <w:tcPr>
            <w:tcW w:w="2733" w:type="dxa"/>
            <w:shd w:val="clear" w:color="auto" w:fill="BEBEBE" w:themeFill="background1" w:themeFillShade="BF"/>
            <w:vAlign w:val="center"/>
          </w:tcPr>
          <w:p>
            <w:pPr>
              <w:jc w:val="center"/>
              <w:rPr>
                <w:rFonts w:eastAsia="宋体"/>
                <w:szCs w:val="21"/>
                <w:highlight w:val="yellow"/>
              </w:rPr>
            </w:pPr>
            <w:r>
              <w:rPr>
                <w:rFonts w:hint="eastAsia" w:eastAsia="宋体"/>
                <w:szCs w:val="21"/>
              </w:rPr>
              <w:t>收款银行账号</w:t>
            </w:r>
          </w:p>
        </w:tc>
        <w:tc>
          <w:tcPr>
            <w:tcW w:w="1945" w:type="dxa"/>
            <w:shd w:val="clear" w:color="auto" w:fill="BEBEBE" w:themeFill="background1" w:themeFillShade="BF"/>
            <w:vAlign w:val="center"/>
          </w:tcPr>
          <w:p>
            <w:pPr>
              <w:jc w:val="center"/>
              <w:rPr>
                <w:rFonts w:eastAsia="宋体"/>
                <w:szCs w:val="21"/>
              </w:rPr>
            </w:pPr>
            <w:r>
              <w:rPr>
                <w:rFonts w:hint="eastAsia" w:eastAsia="宋体"/>
                <w:szCs w:val="21"/>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46" w:type="dxa"/>
            <w:shd w:val="clear" w:color="auto" w:fill="auto"/>
            <w:vAlign w:val="center"/>
          </w:tcPr>
          <w:p>
            <w:pPr>
              <w:jc w:val="center"/>
              <w:rPr>
                <w:rFonts w:eastAsia="宋体"/>
                <w:szCs w:val="21"/>
              </w:rPr>
            </w:pPr>
            <w:r>
              <w:rPr>
                <w:rFonts w:eastAsia="宋体"/>
                <w:szCs w:val="21"/>
              </w:rPr>
              <w:t>1</w:t>
            </w:r>
          </w:p>
        </w:tc>
        <w:tc>
          <w:tcPr>
            <w:tcW w:w="1283" w:type="dxa"/>
            <w:shd w:val="clear" w:color="auto" w:fill="auto"/>
            <w:vAlign w:val="center"/>
          </w:tcPr>
          <w:p>
            <w:pPr>
              <w:jc w:val="center"/>
              <w:rPr>
                <w:rFonts w:eastAsia="宋体"/>
                <w:szCs w:val="21"/>
              </w:rPr>
            </w:pPr>
            <w:r>
              <w:rPr>
                <w:rFonts w:hint="eastAsia" w:eastAsia="宋体"/>
                <w:szCs w:val="21"/>
              </w:rPr>
              <w:t>胡洪</w:t>
            </w:r>
          </w:p>
        </w:tc>
        <w:tc>
          <w:tcPr>
            <w:tcW w:w="2126" w:type="dxa"/>
            <w:vAlign w:val="center"/>
          </w:tcPr>
          <w:p>
            <w:pPr>
              <w:jc w:val="center"/>
              <w:rPr>
                <w:rFonts w:eastAsia="宋体"/>
                <w:szCs w:val="21"/>
              </w:rPr>
            </w:pPr>
            <w:r>
              <w:rPr>
                <w:rFonts w:ascii="Helvetica Neue" w:hAnsi="Helvetica Neue" w:cs="Helvetica Neue"/>
                <w:color w:val="000000"/>
                <w:kern w:val="0"/>
                <w:szCs w:val="21"/>
              </w:rPr>
              <w:t>长桥新村5-4一楼</w:t>
            </w:r>
          </w:p>
        </w:tc>
        <w:tc>
          <w:tcPr>
            <w:tcW w:w="2733" w:type="dxa"/>
            <w:vAlign w:val="center"/>
          </w:tcPr>
          <w:p>
            <w:pPr>
              <w:jc w:val="center"/>
              <w:rPr>
                <w:rFonts w:eastAsia="宋体"/>
                <w:szCs w:val="21"/>
              </w:rPr>
            </w:pPr>
            <w:r>
              <w:rPr>
                <w:rFonts w:eastAsia="宋体"/>
                <w:szCs w:val="21"/>
              </w:rPr>
              <w:t>4563 5161 0103 5012 794</w:t>
            </w:r>
          </w:p>
        </w:tc>
        <w:tc>
          <w:tcPr>
            <w:tcW w:w="1945" w:type="dxa"/>
            <w:vAlign w:val="center"/>
          </w:tcPr>
          <w:p>
            <w:pPr>
              <w:jc w:val="center"/>
              <w:rPr>
                <w:rFonts w:eastAsia="宋体"/>
                <w:bCs/>
                <w:color w:val="000000"/>
                <w:szCs w:val="21"/>
              </w:rPr>
            </w:pPr>
            <w:r>
              <w:rPr>
                <w:rFonts w:hint="eastAsia" w:eastAsia="宋体"/>
                <w:bCs/>
                <w:color w:val="000000"/>
                <w:szCs w:val="21"/>
              </w:rPr>
              <w:t>中国银行</w:t>
            </w:r>
            <w:r>
              <w:rPr>
                <w:rFonts w:eastAsia="宋体"/>
                <w:bCs/>
                <w:color w:val="000000"/>
                <w:szCs w:val="21"/>
              </w:rPr>
              <w:t>苏州</w:t>
            </w:r>
            <w:r>
              <w:rPr>
                <w:rFonts w:hint="eastAsia" w:eastAsia="宋体"/>
                <w:bCs/>
                <w:color w:val="000000"/>
                <w:szCs w:val="21"/>
              </w:rPr>
              <w:t>宝带支行</w:t>
            </w:r>
          </w:p>
        </w:tc>
      </w:tr>
    </w:tbl>
    <w:p>
      <w:pPr>
        <w:snapToGrid w:val="0"/>
        <w:spacing w:line="360" w:lineRule="auto"/>
        <w:ind w:right="25"/>
        <w:jc w:val="center"/>
        <w:rPr>
          <w:rFonts w:ascii="宋体" w:hAnsi="宋体" w:eastAsia="宋体" w:cs="宋体"/>
          <w:b/>
          <w:bCs/>
          <w:color w:val="000000"/>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SongStd-Light">
    <w:altName w:val="宋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NumberOnly"/>
    <w:panose1 w:val="02000503000000020004"/>
    <w:charset w:val="00"/>
    <w:family w:val="auto"/>
    <w:pitch w:val="default"/>
    <w:sig w:usb0="00000000" w:usb1="00000000" w:usb2="00000010" w:usb3="00000000" w:csb0="00000001" w:csb1="00000000"/>
  </w:font>
  <w:font w:name="NumberOnly">
    <w:panose1 w:val="020B0500000000000000"/>
    <w:charset w:val="00"/>
    <w:family w:val="auto"/>
    <w:pitch w:val="default"/>
    <w:sig w:usb0="8000002F" w:usb1="10000048" w:usb2="00000000" w:usb3="00000000" w:csb0="0000011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64770" cy="1460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770" cy="146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5pt;width:5.1pt;mso-position-horizontal:center;mso-position-horizontal-relative:margin;mso-wrap-style:none;z-index:251658240;mso-width-relative:page;mso-height-relative:page;" filled="f" stroked="f" coordsize="21600,21600" o:gfxdata="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fzS7RAAAAAwEAAA8AAAAAAAAAAQAgAAAAIgAA&#10;AGRycy9kb3ducmV2LnhtbFBLAQIUABQAAAAIAIdO4kCBPUSdDwIAAAQEAAAOAAAAAAAAAAEAIAAA&#10;ACABAABkcnMvZTJvRG9jLnhtbFBLBQYAAAAABgAGAFkBAACh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pPr>
    <w:r>
      <w:rPr>
        <w:rFonts w:hint="eastAsia"/>
      </w:rPr>
      <w:t>苏州市盗梦空间网络科技有限公司管理人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4643E"/>
    <w:rsid w:val="001A272D"/>
    <w:rsid w:val="00474245"/>
    <w:rsid w:val="00656F26"/>
    <w:rsid w:val="00754DDA"/>
    <w:rsid w:val="007742E0"/>
    <w:rsid w:val="007907A4"/>
    <w:rsid w:val="007F3731"/>
    <w:rsid w:val="00A61546"/>
    <w:rsid w:val="00A827D6"/>
    <w:rsid w:val="00AD6AF6"/>
    <w:rsid w:val="00EE0DED"/>
    <w:rsid w:val="00FF264E"/>
    <w:rsid w:val="0274643E"/>
    <w:rsid w:val="055C3EB4"/>
    <w:rsid w:val="0A9E51A2"/>
    <w:rsid w:val="0C441EF7"/>
    <w:rsid w:val="0DEA0219"/>
    <w:rsid w:val="0E61637C"/>
    <w:rsid w:val="127F39F8"/>
    <w:rsid w:val="14FF52E6"/>
    <w:rsid w:val="19A248A2"/>
    <w:rsid w:val="1EB40D44"/>
    <w:rsid w:val="1F4C62E1"/>
    <w:rsid w:val="20943C1B"/>
    <w:rsid w:val="2DDE41AC"/>
    <w:rsid w:val="2F38734D"/>
    <w:rsid w:val="327923AF"/>
    <w:rsid w:val="344811C3"/>
    <w:rsid w:val="355B450C"/>
    <w:rsid w:val="361222DB"/>
    <w:rsid w:val="399440E5"/>
    <w:rsid w:val="3BE4343C"/>
    <w:rsid w:val="3DB868AE"/>
    <w:rsid w:val="41B227DD"/>
    <w:rsid w:val="43C31748"/>
    <w:rsid w:val="44B1732E"/>
    <w:rsid w:val="468D5A6D"/>
    <w:rsid w:val="4BA667D7"/>
    <w:rsid w:val="4E6A57F5"/>
    <w:rsid w:val="4EB31BDB"/>
    <w:rsid w:val="4F7D5444"/>
    <w:rsid w:val="55D655E1"/>
    <w:rsid w:val="57750829"/>
    <w:rsid w:val="5EAD505C"/>
    <w:rsid w:val="60326314"/>
    <w:rsid w:val="688C3B52"/>
    <w:rsid w:val="6C94794B"/>
    <w:rsid w:val="6D4B5D8D"/>
    <w:rsid w:val="70EB017D"/>
    <w:rsid w:val="72E00C0B"/>
    <w:rsid w:val="73F876C6"/>
    <w:rsid w:val="758047B4"/>
    <w:rsid w:val="76934117"/>
    <w:rsid w:val="7C0A4EFF"/>
    <w:rsid w:val="7EC02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基本段落]"/>
    <w:basedOn w:val="8"/>
    <w:unhideWhenUsed/>
    <w:qFormat/>
    <w:uiPriority w:val="99"/>
  </w:style>
  <w:style w:type="paragraph" w:customStyle="1" w:styleId="8">
    <w:name w:val="[无段落样式]"/>
    <w:unhideWhenUsed/>
    <w:qFormat/>
    <w:uiPriority w:val="99"/>
    <w:pPr>
      <w:widowControl w:val="0"/>
      <w:autoSpaceDE w:val="0"/>
      <w:autoSpaceDN w:val="0"/>
      <w:adjustRightInd w:val="0"/>
      <w:spacing w:line="288" w:lineRule="auto"/>
      <w:jc w:val="both"/>
      <w:textAlignment w:val="center"/>
    </w:pPr>
    <w:rPr>
      <w:rFonts w:hint="eastAsia" w:ascii="AdobeSongStd-Light" w:hAnsi="AdobeSongStd-Light" w:eastAsia="AdobeSongStd-Light" w:cs="Times New Roman"/>
      <w:color w:val="000000"/>
      <w:sz w:val="24"/>
      <w:lang w:val="zh-CN"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266</Words>
  <Characters>1519</Characters>
  <Lines>12</Lines>
  <Paragraphs>3</Paragraphs>
  <TotalTime>9</TotalTime>
  <ScaleCrop>false</ScaleCrop>
  <LinksUpToDate>false</LinksUpToDate>
  <CharactersWithSpaces>1782</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2019-10-10T07:40:00Z</dcterms:created>
  <dc:creator>YJ</dc:creator>
  <cp:lastModifiedBy>YJ</cp:lastModifiedBy>
  <cp:lastPrinted>2019-10-14T02:04:59Z</cp:lastPrinted>
  <dcterms:modified xsi:type="dcterms:W3CDTF">2019-10-14T02:10:40Z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