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B9431" w14:textId="77777777" w:rsidR="00AD0D5D" w:rsidRDefault="00AD0D5D" w:rsidP="00AD0D5D">
      <w:pPr>
        <w:pStyle w:val="3"/>
        <w:ind w:leftChars="0" w:left="0"/>
        <w:rPr>
          <w:rFonts w:ascii="Arial" w:hAnsi="Arial" w:cs="Arial"/>
        </w:rPr>
      </w:pPr>
      <w:r>
        <w:rPr>
          <w:rFonts w:ascii="Arial" w:hAnsi="Arial" w:cs="Arial" w:hint="eastAsia"/>
        </w:rPr>
        <w:t>杭州捷佳鞋业有限公司破产清算案</w:t>
      </w:r>
    </w:p>
    <w:p w14:paraId="3A00E36F" w14:textId="77777777" w:rsidR="00AD0D5D" w:rsidRPr="00780BD0" w:rsidRDefault="00AD0D5D" w:rsidP="00AD0D5D">
      <w:pPr>
        <w:pStyle w:val="3"/>
        <w:rPr>
          <w:rFonts w:ascii="Arial" w:hAnsi="Arial" w:cs="Arial"/>
        </w:rPr>
      </w:pPr>
      <w:bookmarkStart w:id="0" w:name="_GoBack"/>
      <w:r w:rsidRPr="00780BD0">
        <w:rPr>
          <w:rFonts w:ascii="Arial" w:hAnsi="Arial" w:cs="Arial"/>
        </w:rPr>
        <w:t>债务人财产管理及变价方案</w:t>
      </w:r>
    </w:p>
    <w:bookmarkEnd w:id="0"/>
    <w:p w14:paraId="4F21E5AD" w14:textId="77777777" w:rsidR="00AD0D5D" w:rsidRPr="00780BD0" w:rsidRDefault="00AD0D5D" w:rsidP="00AD0D5D">
      <w:pPr>
        <w:pStyle w:val="3"/>
        <w:rPr>
          <w:rFonts w:ascii="Arial" w:hAnsi="Arial" w:cs="Arial"/>
          <w:sz w:val="21"/>
          <w:szCs w:val="21"/>
        </w:rPr>
      </w:pPr>
    </w:p>
    <w:p w14:paraId="6274FB35" w14:textId="77777777" w:rsidR="00AD0D5D" w:rsidRPr="00780BD0" w:rsidRDefault="00AD0D5D" w:rsidP="00AD0D5D">
      <w:pPr>
        <w:spacing w:line="360" w:lineRule="auto"/>
        <w:rPr>
          <w:rFonts w:ascii="Arial" w:eastAsia="仿宋_GB2312" w:hAnsi="Arial" w:cs="Arial"/>
          <w:b/>
          <w:sz w:val="28"/>
          <w:szCs w:val="28"/>
        </w:rPr>
      </w:pPr>
      <w:r w:rsidRPr="00780BD0">
        <w:rPr>
          <w:rFonts w:ascii="Arial" w:eastAsia="仿宋_GB2312" w:hAnsi="Arial" w:cs="Arial"/>
          <w:b/>
          <w:sz w:val="28"/>
          <w:szCs w:val="28"/>
        </w:rPr>
        <w:t>杭州市余杭区人民法院：</w:t>
      </w:r>
    </w:p>
    <w:p w14:paraId="3CD60688" w14:textId="77777777" w:rsidR="00AD0D5D" w:rsidRPr="00780BD0" w:rsidRDefault="00AD0D5D" w:rsidP="00AD0D5D">
      <w:pPr>
        <w:spacing w:line="360" w:lineRule="auto"/>
        <w:rPr>
          <w:rFonts w:ascii="Arial" w:eastAsia="仿宋_GB2312" w:hAnsi="Arial" w:cs="Arial"/>
          <w:b/>
          <w:sz w:val="28"/>
          <w:szCs w:val="28"/>
        </w:rPr>
      </w:pPr>
      <w:r w:rsidRPr="00780BD0">
        <w:rPr>
          <w:rFonts w:ascii="Arial" w:eastAsia="仿宋_GB2312" w:hAnsi="Arial" w:cs="Arial"/>
          <w:b/>
          <w:sz w:val="28"/>
          <w:szCs w:val="28"/>
        </w:rPr>
        <w:t>各位债权人：</w:t>
      </w:r>
    </w:p>
    <w:p w14:paraId="79C566EB" w14:textId="77777777" w:rsidR="00AD0D5D" w:rsidRPr="00780BD0" w:rsidRDefault="00AD0D5D" w:rsidP="00AD0D5D">
      <w:pPr>
        <w:spacing w:line="360" w:lineRule="auto"/>
        <w:ind w:firstLineChars="200" w:firstLine="560"/>
        <w:rPr>
          <w:rFonts w:ascii="Arial" w:eastAsia="仿宋_GB2312" w:hAnsi="Arial" w:cs="Arial"/>
          <w:sz w:val="28"/>
          <w:szCs w:val="28"/>
        </w:rPr>
      </w:pPr>
      <w:r w:rsidRPr="00780BD0">
        <w:rPr>
          <w:rFonts w:ascii="Arial" w:eastAsia="仿宋_GB2312" w:hAnsi="Arial" w:cs="Arial"/>
          <w:sz w:val="28"/>
          <w:szCs w:val="28"/>
        </w:rPr>
        <w:t>为保护债权人利益、提高资产变价效益、保障破产清算程序顺利推进，管理人根据《中华人民共和国企业破产法》（以下简称</w:t>
      </w:r>
      <w:r w:rsidRPr="00780BD0">
        <w:rPr>
          <w:rFonts w:ascii="Arial" w:eastAsia="仿宋_GB2312" w:hAnsi="Arial" w:cs="Arial"/>
          <w:sz w:val="28"/>
          <w:szCs w:val="28"/>
        </w:rPr>
        <w:t>“</w:t>
      </w:r>
      <w:r w:rsidRPr="00780BD0">
        <w:rPr>
          <w:rFonts w:ascii="Arial" w:eastAsia="仿宋_GB2312" w:hAnsi="Arial" w:cs="Arial"/>
          <w:sz w:val="28"/>
          <w:szCs w:val="28"/>
        </w:rPr>
        <w:t>《企业破产法》</w:t>
      </w:r>
      <w:r w:rsidRPr="00780BD0">
        <w:rPr>
          <w:rFonts w:ascii="Arial" w:eastAsia="仿宋_GB2312" w:hAnsi="Arial" w:cs="Arial"/>
          <w:sz w:val="28"/>
          <w:szCs w:val="28"/>
        </w:rPr>
        <w:t>”</w:t>
      </w:r>
      <w:r w:rsidRPr="00780BD0">
        <w:rPr>
          <w:rFonts w:ascii="Arial" w:eastAsia="仿宋_GB2312" w:hAnsi="Arial" w:cs="Arial"/>
          <w:sz w:val="28"/>
          <w:szCs w:val="28"/>
        </w:rPr>
        <w:t>）的规定，制定《债务人财产管理及变价方案》，提请债权人会议表决，具体如下：</w:t>
      </w:r>
    </w:p>
    <w:p w14:paraId="250A4B92" w14:textId="77777777" w:rsidR="00AD0D5D" w:rsidRPr="00780BD0" w:rsidRDefault="00AD0D5D" w:rsidP="00AD0D5D">
      <w:pPr>
        <w:spacing w:line="360" w:lineRule="auto"/>
        <w:ind w:firstLineChars="200" w:firstLine="562"/>
        <w:rPr>
          <w:rFonts w:ascii="Arial" w:eastAsia="仿宋_GB2312" w:hAnsi="Arial" w:cs="Arial"/>
          <w:b/>
          <w:sz w:val="28"/>
          <w:szCs w:val="28"/>
        </w:rPr>
      </w:pPr>
      <w:r w:rsidRPr="00780BD0">
        <w:rPr>
          <w:rFonts w:ascii="Arial" w:eastAsia="仿宋_GB2312" w:hAnsi="Arial" w:cs="Arial"/>
          <w:b/>
          <w:sz w:val="28"/>
          <w:szCs w:val="28"/>
        </w:rPr>
        <w:t>一、财产范围</w:t>
      </w:r>
    </w:p>
    <w:p w14:paraId="1701DFCE" w14:textId="77777777" w:rsidR="00AD0D5D" w:rsidRPr="00780BD0" w:rsidRDefault="00AD0D5D" w:rsidP="00AD0D5D">
      <w:pPr>
        <w:spacing w:line="360" w:lineRule="auto"/>
        <w:ind w:firstLineChars="200" w:firstLine="560"/>
        <w:rPr>
          <w:rFonts w:ascii="Arial" w:eastAsia="仿宋_GB2312" w:hAnsi="Arial" w:cs="Arial"/>
          <w:sz w:val="28"/>
          <w:szCs w:val="28"/>
        </w:rPr>
      </w:pPr>
      <w:r w:rsidRPr="00780BD0">
        <w:rPr>
          <w:rFonts w:ascii="Arial" w:eastAsia="仿宋_GB2312" w:hAnsi="Arial" w:cs="Arial"/>
          <w:sz w:val="28"/>
          <w:szCs w:val="28"/>
        </w:rPr>
        <w:t>管理人管理及变价涉及的财产属于债务人的所有财产。经清点核查，目前债务人尚无可供清偿的财产。但不排除通过诉讼收回财产及清算过程中发现有应收账款或其他资产，因此制定本财产管理及变价方案。</w:t>
      </w:r>
    </w:p>
    <w:p w14:paraId="3DF3AB6A" w14:textId="77777777" w:rsidR="00AD0D5D" w:rsidRPr="00780BD0" w:rsidRDefault="00AD0D5D" w:rsidP="00AD0D5D">
      <w:pPr>
        <w:spacing w:before="156" w:after="156" w:line="360" w:lineRule="auto"/>
        <w:rPr>
          <w:rFonts w:ascii="Arial" w:eastAsia="仿宋_GB2312" w:hAnsi="Arial" w:cs="Arial"/>
          <w:b/>
          <w:sz w:val="28"/>
          <w:szCs w:val="28"/>
        </w:rPr>
      </w:pPr>
      <w:r w:rsidRPr="00780BD0">
        <w:rPr>
          <w:rFonts w:ascii="Arial" w:eastAsia="仿宋_GB2312" w:hAnsi="Arial" w:cs="Arial"/>
          <w:b/>
          <w:sz w:val="28"/>
          <w:szCs w:val="28"/>
        </w:rPr>
        <w:t>二、债务人财产管理及变价方案</w:t>
      </w:r>
    </w:p>
    <w:p w14:paraId="4803E995" w14:textId="77777777" w:rsidR="00AD0D5D" w:rsidRPr="00780BD0" w:rsidRDefault="00AD0D5D" w:rsidP="00AD0D5D">
      <w:pPr>
        <w:spacing w:before="156" w:after="156" w:line="360" w:lineRule="auto"/>
        <w:rPr>
          <w:rFonts w:ascii="Arial" w:eastAsia="仿宋_GB2312" w:hAnsi="Arial" w:cs="Arial"/>
          <w:b/>
          <w:sz w:val="28"/>
          <w:szCs w:val="28"/>
        </w:rPr>
      </w:pPr>
      <w:r w:rsidRPr="00780BD0">
        <w:rPr>
          <w:rFonts w:ascii="Arial" w:eastAsia="仿宋_GB2312" w:hAnsi="Arial" w:cs="Arial"/>
          <w:b/>
          <w:sz w:val="28"/>
          <w:szCs w:val="28"/>
        </w:rPr>
        <w:t>（一）财产管理及变价的基本原则</w:t>
      </w:r>
    </w:p>
    <w:p w14:paraId="5924DE6E" w14:textId="77777777" w:rsidR="00AD0D5D" w:rsidRPr="00780BD0" w:rsidRDefault="00AD0D5D" w:rsidP="00AD0D5D">
      <w:pPr>
        <w:spacing w:line="276" w:lineRule="auto"/>
        <w:ind w:firstLineChars="200" w:firstLine="560"/>
        <w:rPr>
          <w:rFonts w:ascii="Arial" w:eastAsia="仿宋_GB2312" w:hAnsi="Arial" w:cs="Arial"/>
          <w:bCs/>
          <w:sz w:val="28"/>
          <w:szCs w:val="28"/>
        </w:rPr>
      </w:pPr>
      <w:r w:rsidRPr="00780BD0">
        <w:rPr>
          <w:rFonts w:ascii="Arial" w:eastAsia="仿宋_GB2312" w:hAnsi="Arial" w:cs="Arial"/>
          <w:bCs/>
          <w:sz w:val="28"/>
          <w:szCs w:val="28"/>
        </w:rPr>
        <w:t>1</w:t>
      </w:r>
      <w:r w:rsidRPr="00780BD0">
        <w:rPr>
          <w:rFonts w:ascii="Arial" w:eastAsia="仿宋_GB2312" w:hAnsi="Arial" w:cs="Arial"/>
          <w:bCs/>
          <w:sz w:val="28"/>
          <w:szCs w:val="28"/>
        </w:rPr>
        <w:t>、忠实勤勉原则</w:t>
      </w:r>
    </w:p>
    <w:p w14:paraId="767611FA" w14:textId="77777777" w:rsidR="00AD0D5D" w:rsidRPr="00780BD0" w:rsidRDefault="00AD0D5D" w:rsidP="00AD0D5D">
      <w:pPr>
        <w:spacing w:line="360" w:lineRule="auto"/>
        <w:ind w:firstLineChars="200" w:firstLine="560"/>
        <w:rPr>
          <w:rFonts w:ascii="Arial" w:eastAsia="仿宋_GB2312" w:hAnsi="Arial" w:cs="Arial"/>
          <w:b/>
          <w:bCs/>
          <w:sz w:val="28"/>
          <w:szCs w:val="28"/>
        </w:rPr>
      </w:pPr>
      <w:r w:rsidRPr="00780BD0">
        <w:rPr>
          <w:rFonts w:ascii="Arial" w:eastAsia="仿宋_GB2312" w:hAnsi="Arial" w:cs="Arial"/>
          <w:sz w:val="28"/>
          <w:szCs w:val="28"/>
        </w:rPr>
        <w:t>遵守管理人职业道德规范，诚实守信，勤勉尽责，依法履行管理债务人财产的职责。</w:t>
      </w:r>
    </w:p>
    <w:p w14:paraId="2A9C92DE" w14:textId="77777777" w:rsidR="00AD0D5D" w:rsidRPr="00780BD0" w:rsidRDefault="00AD0D5D" w:rsidP="00AD0D5D">
      <w:pPr>
        <w:spacing w:line="360" w:lineRule="auto"/>
        <w:ind w:firstLineChars="200" w:firstLine="560"/>
        <w:rPr>
          <w:rFonts w:ascii="Arial" w:eastAsia="仿宋_GB2312" w:hAnsi="Arial" w:cs="Arial"/>
          <w:bCs/>
          <w:sz w:val="28"/>
          <w:szCs w:val="28"/>
        </w:rPr>
      </w:pPr>
      <w:r w:rsidRPr="00780BD0">
        <w:rPr>
          <w:rFonts w:ascii="Arial" w:eastAsia="仿宋_GB2312" w:hAnsi="Arial" w:cs="Arial"/>
          <w:bCs/>
          <w:sz w:val="28"/>
          <w:szCs w:val="28"/>
        </w:rPr>
        <w:t>2</w:t>
      </w:r>
      <w:r w:rsidRPr="00780BD0">
        <w:rPr>
          <w:rFonts w:ascii="Arial" w:eastAsia="仿宋_GB2312" w:hAnsi="Arial" w:cs="Arial"/>
          <w:bCs/>
          <w:sz w:val="28"/>
          <w:szCs w:val="28"/>
        </w:rPr>
        <w:t>、破产财产价值最大化原则</w:t>
      </w:r>
    </w:p>
    <w:p w14:paraId="53BB099E" w14:textId="77777777" w:rsidR="00AD0D5D" w:rsidRPr="00780BD0" w:rsidRDefault="00AD0D5D" w:rsidP="00AD0D5D">
      <w:pPr>
        <w:spacing w:line="360" w:lineRule="auto"/>
        <w:ind w:firstLineChars="200" w:firstLine="560"/>
        <w:rPr>
          <w:rFonts w:ascii="Arial" w:eastAsia="仿宋_GB2312" w:hAnsi="Arial" w:cs="Arial"/>
          <w:sz w:val="28"/>
          <w:szCs w:val="28"/>
        </w:rPr>
      </w:pPr>
      <w:r w:rsidRPr="00780BD0">
        <w:rPr>
          <w:rFonts w:ascii="Arial" w:eastAsia="仿宋_GB2312" w:hAnsi="Arial" w:cs="Arial"/>
          <w:sz w:val="28"/>
          <w:szCs w:val="28"/>
        </w:rPr>
        <w:t>采取切实有效措施，避免资产流失，维护资产价值不受非正常损害；依法变现债务人财产，实现债务人财产价值最大化，提高破产清偿率。</w:t>
      </w:r>
    </w:p>
    <w:p w14:paraId="496CCA5D" w14:textId="77777777" w:rsidR="00AD0D5D" w:rsidRPr="00780BD0" w:rsidRDefault="00AD0D5D" w:rsidP="00AD0D5D">
      <w:pPr>
        <w:spacing w:line="360" w:lineRule="auto"/>
        <w:ind w:firstLineChars="200" w:firstLine="560"/>
        <w:rPr>
          <w:rFonts w:ascii="Arial" w:eastAsia="仿宋_GB2312" w:hAnsi="Arial" w:cs="Arial"/>
          <w:bCs/>
          <w:sz w:val="28"/>
          <w:szCs w:val="28"/>
        </w:rPr>
      </w:pPr>
      <w:r w:rsidRPr="00780BD0">
        <w:rPr>
          <w:rFonts w:ascii="Arial" w:eastAsia="仿宋_GB2312" w:hAnsi="Arial" w:cs="Arial"/>
          <w:bCs/>
          <w:sz w:val="28"/>
          <w:szCs w:val="28"/>
        </w:rPr>
        <w:t>3</w:t>
      </w:r>
      <w:r w:rsidRPr="00780BD0">
        <w:rPr>
          <w:rFonts w:ascii="Arial" w:eastAsia="仿宋_GB2312" w:hAnsi="Arial" w:cs="Arial"/>
          <w:bCs/>
          <w:sz w:val="28"/>
          <w:szCs w:val="28"/>
        </w:rPr>
        <w:t>、合法和公平原则</w:t>
      </w:r>
    </w:p>
    <w:p w14:paraId="6D9C3510" w14:textId="77777777" w:rsidR="00AD0D5D" w:rsidRPr="00780BD0" w:rsidRDefault="00AD0D5D" w:rsidP="00AD0D5D">
      <w:pPr>
        <w:spacing w:line="360" w:lineRule="auto"/>
        <w:ind w:firstLineChars="200" w:firstLine="560"/>
        <w:rPr>
          <w:rFonts w:ascii="Arial" w:eastAsia="仿宋_GB2312" w:hAnsi="Arial" w:cs="Arial"/>
          <w:sz w:val="28"/>
          <w:szCs w:val="28"/>
        </w:rPr>
      </w:pPr>
      <w:r w:rsidRPr="00780BD0">
        <w:rPr>
          <w:rFonts w:ascii="Arial" w:eastAsia="仿宋_GB2312" w:hAnsi="Arial" w:cs="Arial"/>
          <w:sz w:val="28"/>
          <w:szCs w:val="28"/>
        </w:rPr>
        <w:lastRenderedPageBreak/>
        <w:t>依法追究隐匿、转移、侵占、挪用资产的不法行为，尽力监管和维持债务人财产状况，公平保护债权人的利益。</w:t>
      </w:r>
    </w:p>
    <w:p w14:paraId="1CAC9A81" w14:textId="77777777" w:rsidR="00AD0D5D" w:rsidRPr="00780BD0" w:rsidRDefault="00AD0D5D" w:rsidP="00AD0D5D">
      <w:pPr>
        <w:spacing w:line="360" w:lineRule="auto"/>
        <w:ind w:firstLineChars="200" w:firstLine="560"/>
        <w:rPr>
          <w:rFonts w:ascii="Arial" w:eastAsia="仿宋_GB2312" w:hAnsi="Arial" w:cs="Arial"/>
          <w:bCs/>
          <w:sz w:val="28"/>
          <w:szCs w:val="28"/>
        </w:rPr>
      </w:pPr>
      <w:r w:rsidRPr="00780BD0">
        <w:rPr>
          <w:rFonts w:ascii="Arial" w:eastAsia="仿宋_GB2312" w:hAnsi="Arial" w:cs="Arial"/>
          <w:bCs/>
          <w:sz w:val="28"/>
          <w:szCs w:val="28"/>
        </w:rPr>
        <w:t>4</w:t>
      </w:r>
      <w:r w:rsidRPr="00780BD0">
        <w:rPr>
          <w:rFonts w:ascii="Arial" w:eastAsia="仿宋_GB2312" w:hAnsi="Arial" w:cs="Arial"/>
          <w:bCs/>
          <w:sz w:val="28"/>
          <w:szCs w:val="28"/>
        </w:rPr>
        <w:t>、效率和成本相结合原则</w:t>
      </w:r>
    </w:p>
    <w:p w14:paraId="24B00BB9" w14:textId="77777777" w:rsidR="00AD0D5D" w:rsidRPr="00780BD0" w:rsidRDefault="00AD0D5D" w:rsidP="00AD0D5D">
      <w:pPr>
        <w:spacing w:line="360" w:lineRule="auto"/>
        <w:rPr>
          <w:rFonts w:ascii="Arial" w:eastAsia="仿宋_GB2312" w:hAnsi="Arial" w:cs="Arial"/>
          <w:sz w:val="28"/>
          <w:szCs w:val="28"/>
        </w:rPr>
      </w:pPr>
      <w:r w:rsidRPr="00780BD0">
        <w:rPr>
          <w:rFonts w:ascii="Arial" w:eastAsia="仿宋_GB2312" w:hAnsi="Arial" w:cs="Arial"/>
          <w:sz w:val="28"/>
          <w:szCs w:val="28"/>
        </w:rPr>
        <w:t xml:space="preserve">    </w:t>
      </w:r>
      <w:r w:rsidRPr="00780BD0">
        <w:rPr>
          <w:rFonts w:ascii="Arial" w:eastAsia="仿宋_GB2312" w:hAnsi="Arial" w:cs="Arial"/>
          <w:sz w:val="28"/>
          <w:szCs w:val="28"/>
        </w:rPr>
        <w:t>控制交易成本及费用，减少各类交易费用，提高工作效率，建议在各类变价方案公告中明确财产变价产生的各类税、费由买受人承担。</w:t>
      </w:r>
    </w:p>
    <w:p w14:paraId="10BE8F47" w14:textId="77777777" w:rsidR="00AD0D5D" w:rsidRPr="00780BD0" w:rsidRDefault="00AD0D5D" w:rsidP="00AD0D5D">
      <w:pPr>
        <w:spacing w:line="360" w:lineRule="auto"/>
        <w:rPr>
          <w:rFonts w:ascii="Arial" w:eastAsia="仿宋_GB2312" w:hAnsi="Arial" w:cs="Arial"/>
          <w:sz w:val="28"/>
          <w:szCs w:val="28"/>
        </w:rPr>
      </w:pPr>
      <w:r w:rsidRPr="00780BD0">
        <w:rPr>
          <w:rFonts w:ascii="Arial" w:eastAsia="仿宋_GB2312" w:hAnsi="Arial" w:cs="Arial"/>
          <w:b/>
          <w:sz w:val="28"/>
          <w:szCs w:val="28"/>
        </w:rPr>
        <w:t>（二）财产管理及变价具体方案</w:t>
      </w:r>
    </w:p>
    <w:p w14:paraId="798B4CD0" w14:textId="77777777" w:rsidR="00AD0D5D" w:rsidRPr="00780BD0" w:rsidRDefault="00AD0D5D" w:rsidP="00AD0D5D">
      <w:pPr>
        <w:spacing w:line="580" w:lineRule="exact"/>
        <w:ind w:firstLine="570"/>
        <w:rPr>
          <w:rFonts w:ascii="Arial" w:eastAsia="仿宋_GB2312" w:hAnsi="Arial" w:cs="Arial"/>
          <w:bCs/>
          <w:sz w:val="28"/>
          <w:szCs w:val="28"/>
        </w:rPr>
      </w:pPr>
      <w:r w:rsidRPr="00780BD0">
        <w:rPr>
          <w:rFonts w:ascii="Arial" w:eastAsia="仿宋_GB2312" w:hAnsi="Arial" w:cs="Arial"/>
          <w:bCs/>
          <w:sz w:val="28"/>
          <w:szCs w:val="28"/>
        </w:rPr>
        <w:t>1</w:t>
      </w:r>
      <w:r w:rsidRPr="00780BD0">
        <w:rPr>
          <w:rFonts w:ascii="Arial" w:eastAsia="仿宋_GB2312" w:hAnsi="Arial" w:cs="Arial"/>
          <w:bCs/>
          <w:sz w:val="28"/>
          <w:szCs w:val="28"/>
        </w:rPr>
        <w:t>、现金资产</w:t>
      </w:r>
    </w:p>
    <w:p w14:paraId="700EC657" w14:textId="77777777" w:rsidR="00AD0D5D" w:rsidRPr="00780BD0" w:rsidRDefault="00AD0D5D" w:rsidP="00AD0D5D">
      <w:pPr>
        <w:spacing w:line="580" w:lineRule="exact"/>
        <w:ind w:firstLineChars="200" w:firstLine="560"/>
        <w:rPr>
          <w:rFonts w:ascii="Arial" w:eastAsia="仿宋_GB2312" w:hAnsi="Arial" w:cs="Arial"/>
          <w:sz w:val="28"/>
          <w:szCs w:val="28"/>
        </w:rPr>
      </w:pPr>
      <w:r w:rsidRPr="00780BD0">
        <w:rPr>
          <w:rFonts w:ascii="Arial" w:eastAsia="仿宋_GB2312" w:hAnsi="Arial" w:cs="Arial"/>
          <w:sz w:val="28"/>
          <w:szCs w:val="28"/>
        </w:rPr>
        <w:t>债务人的现金资产</w:t>
      </w:r>
      <w:r>
        <w:rPr>
          <w:rFonts w:ascii="Arial" w:eastAsia="仿宋_GB2312" w:hAnsi="Arial" w:cs="Arial" w:hint="eastAsia"/>
          <w:sz w:val="28"/>
          <w:szCs w:val="28"/>
        </w:rPr>
        <w:t>（如有）</w:t>
      </w:r>
      <w:r w:rsidRPr="00780BD0">
        <w:rPr>
          <w:rFonts w:ascii="Arial" w:eastAsia="仿宋_GB2312" w:hAnsi="Arial" w:cs="Arial"/>
          <w:sz w:val="28"/>
          <w:szCs w:val="28"/>
        </w:rPr>
        <w:t>一律划入管理人账户。公告费用、</w:t>
      </w:r>
      <w:r>
        <w:rPr>
          <w:rFonts w:ascii="Arial" w:eastAsia="仿宋_GB2312" w:hAnsi="Arial" w:cs="Arial" w:hint="eastAsia"/>
          <w:sz w:val="28"/>
          <w:szCs w:val="28"/>
        </w:rPr>
        <w:t>邮寄费用</w:t>
      </w:r>
      <w:r w:rsidRPr="00780BD0">
        <w:rPr>
          <w:rFonts w:ascii="Arial" w:eastAsia="仿宋_GB2312" w:hAnsi="Arial" w:cs="Arial"/>
          <w:sz w:val="28"/>
          <w:szCs w:val="28"/>
        </w:rPr>
        <w:t>等支出，纳入破产费用，管理人向法院报告核准后，根据费用开支需要支出。</w:t>
      </w:r>
    </w:p>
    <w:p w14:paraId="01DBDE56" w14:textId="77777777" w:rsidR="00AD0D5D" w:rsidRPr="00780BD0" w:rsidRDefault="00AD0D5D" w:rsidP="00AD0D5D">
      <w:pPr>
        <w:spacing w:line="580" w:lineRule="exact"/>
        <w:ind w:firstLine="570"/>
        <w:rPr>
          <w:rFonts w:ascii="Arial" w:eastAsia="仿宋_GB2312" w:hAnsi="Arial" w:cs="Arial"/>
          <w:sz w:val="28"/>
          <w:szCs w:val="28"/>
        </w:rPr>
      </w:pPr>
      <w:r w:rsidRPr="00780BD0">
        <w:rPr>
          <w:rFonts w:ascii="Arial" w:eastAsia="仿宋_GB2312" w:hAnsi="Arial" w:cs="Arial"/>
          <w:sz w:val="28"/>
          <w:szCs w:val="28"/>
        </w:rPr>
        <w:t>2</w:t>
      </w:r>
      <w:r w:rsidRPr="00780BD0">
        <w:rPr>
          <w:rFonts w:ascii="Arial" w:eastAsia="仿宋_GB2312" w:hAnsi="Arial" w:cs="Arial"/>
          <w:sz w:val="28"/>
          <w:szCs w:val="28"/>
        </w:rPr>
        <w:t>、应收账款催收</w:t>
      </w:r>
    </w:p>
    <w:p w14:paraId="6AED3DEA" w14:textId="77777777" w:rsidR="00AD0D5D" w:rsidRPr="00780BD0" w:rsidRDefault="00AD0D5D" w:rsidP="00AD0D5D">
      <w:pPr>
        <w:spacing w:line="580" w:lineRule="exact"/>
        <w:ind w:firstLine="562"/>
        <w:rPr>
          <w:rFonts w:ascii="Arial" w:eastAsia="仿宋_GB2312" w:hAnsi="Arial" w:cs="Arial"/>
          <w:sz w:val="28"/>
          <w:szCs w:val="28"/>
        </w:rPr>
      </w:pPr>
      <w:r w:rsidRPr="00780BD0">
        <w:rPr>
          <w:rFonts w:ascii="Arial" w:eastAsia="仿宋_GB2312" w:hAnsi="Arial" w:cs="Arial"/>
          <w:sz w:val="28"/>
          <w:szCs w:val="28"/>
        </w:rPr>
        <w:t>针对债务人可能存在的应收债权，管理人将依法通过电话、发函、协商沟通和诉讼等方式进行催收。由于债务人已停止经营，且管理人目前尚未发现债务人存在应收债权，但不排除在破产清算过程中发现应收债权的可能。故申请债权人会议作如下授权：在对外债权的催讨过程中，授权管理人可按账面金额降低幅度不超过</w:t>
      </w:r>
      <w:r w:rsidRPr="00780BD0">
        <w:rPr>
          <w:rFonts w:ascii="Arial" w:eastAsia="仿宋_GB2312" w:hAnsi="Arial" w:cs="Arial"/>
          <w:sz w:val="28"/>
          <w:szCs w:val="28"/>
        </w:rPr>
        <w:t>30%</w:t>
      </w:r>
      <w:r w:rsidRPr="00780BD0">
        <w:rPr>
          <w:rFonts w:ascii="Arial" w:eastAsia="仿宋_GB2312" w:hAnsi="Arial" w:cs="Arial"/>
          <w:sz w:val="28"/>
          <w:szCs w:val="28"/>
        </w:rPr>
        <w:t>的范围内进行协商或调解实现催讨；</w:t>
      </w:r>
      <w:r>
        <w:rPr>
          <w:rFonts w:ascii="Arial" w:eastAsia="仿宋_GB2312" w:hAnsi="Arial" w:cs="Arial" w:hint="eastAsia"/>
          <w:sz w:val="28"/>
          <w:szCs w:val="28"/>
        </w:rPr>
        <w:t>考虑到催收成本等因素，</w:t>
      </w:r>
      <w:r w:rsidRPr="00780BD0">
        <w:rPr>
          <w:rFonts w:ascii="Arial" w:eastAsia="仿宋_GB2312" w:hAnsi="Arial" w:cs="Arial"/>
          <w:sz w:val="28"/>
          <w:szCs w:val="28"/>
        </w:rPr>
        <w:t>授权管理人可适时放弃应付款单位在杭州市辖区内且金额在</w:t>
      </w:r>
      <w:r w:rsidRPr="00780BD0">
        <w:rPr>
          <w:rFonts w:ascii="Arial" w:eastAsia="仿宋_GB2312" w:hAnsi="Arial" w:cs="Arial"/>
          <w:sz w:val="28"/>
          <w:szCs w:val="28"/>
        </w:rPr>
        <w:t>5000</w:t>
      </w:r>
      <w:r w:rsidRPr="00780BD0">
        <w:rPr>
          <w:rFonts w:ascii="Arial" w:eastAsia="仿宋_GB2312" w:hAnsi="Arial" w:cs="Arial"/>
          <w:sz w:val="28"/>
          <w:szCs w:val="28"/>
        </w:rPr>
        <w:t>元（含本数）以下的小额债权，以及应付款单位在杭州市范围外且金额在</w:t>
      </w:r>
      <w:r w:rsidRPr="00780BD0">
        <w:rPr>
          <w:rFonts w:ascii="Arial" w:eastAsia="仿宋_GB2312" w:hAnsi="Arial" w:cs="Arial"/>
          <w:sz w:val="28"/>
          <w:szCs w:val="28"/>
        </w:rPr>
        <w:t>1</w:t>
      </w:r>
      <w:r w:rsidRPr="00780BD0">
        <w:rPr>
          <w:rFonts w:ascii="Arial" w:eastAsia="仿宋_GB2312" w:hAnsi="Arial" w:cs="Arial"/>
          <w:sz w:val="28"/>
          <w:szCs w:val="28"/>
        </w:rPr>
        <w:t>万元（含本数）以下的小额债权。对外债权如出现证据不足或超过诉讼时效的，且经管理人催讨无果的，授权管理人直接作核销处理。</w:t>
      </w:r>
    </w:p>
    <w:p w14:paraId="2A6D2E73" w14:textId="77777777" w:rsidR="00AD0D5D" w:rsidRPr="00780BD0" w:rsidRDefault="00AD0D5D" w:rsidP="00AD0D5D">
      <w:pPr>
        <w:spacing w:line="580" w:lineRule="exact"/>
        <w:ind w:firstLine="562"/>
        <w:rPr>
          <w:rFonts w:ascii="Arial" w:eastAsia="仿宋_GB2312" w:hAnsi="Arial" w:cs="Arial"/>
          <w:sz w:val="28"/>
          <w:szCs w:val="28"/>
        </w:rPr>
      </w:pPr>
      <w:r w:rsidRPr="00780BD0">
        <w:rPr>
          <w:rFonts w:ascii="Arial" w:eastAsia="仿宋_GB2312" w:hAnsi="Arial" w:cs="Arial"/>
          <w:sz w:val="28"/>
          <w:szCs w:val="28"/>
        </w:rPr>
        <w:t>3</w:t>
      </w:r>
      <w:r w:rsidRPr="00780BD0">
        <w:rPr>
          <w:rFonts w:ascii="Arial" w:eastAsia="仿宋_GB2312" w:hAnsi="Arial" w:cs="Arial"/>
          <w:sz w:val="28"/>
          <w:szCs w:val="28"/>
        </w:rPr>
        <w:t>、其他</w:t>
      </w:r>
    </w:p>
    <w:p w14:paraId="399BC6AC" w14:textId="77777777" w:rsidR="00AD0D5D" w:rsidRPr="00780BD0" w:rsidRDefault="00AD0D5D" w:rsidP="00AD0D5D">
      <w:pPr>
        <w:spacing w:line="580" w:lineRule="exact"/>
        <w:ind w:firstLine="480"/>
        <w:jc w:val="left"/>
        <w:rPr>
          <w:rFonts w:ascii="Arial" w:eastAsia="仿宋_GB2312" w:hAnsi="Arial" w:cs="Arial"/>
          <w:sz w:val="28"/>
          <w:szCs w:val="28"/>
        </w:rPr>
      </w:pPr>
      <w:r w:rsidRPr="00780BD0">
        <w:rPr>
          <w:rFonts w:ascii="Arial" w:eastAsia="仿宋_GB2312" w:hAnsi="Arial" w:cs="Arial"/>
          <w:sz w:val="28"/>
          <w:szCs w:val="28"/>
        </w:rPr>
        <w:t>对车辆、设备、股权等实物类资产（如有），原则上通过司法网络拍</w:t>
      </w:r>
      <w:r w:rsidRPr="00780BD0">
        <w:rPr>
          <w:rFonts w:ascii="Arial" w:eastAsia="仿宋_GB2312" w:hAnsi="Arial" w:cs="Arial"/>
          <w:sz w:val="28"/>
          <w:szCs w:val="28"/>
        </w:rPr>
        <w:lastRenderedPageBreak/>
        <w:t>卖的方式进行处置。债务人各项资产中评估价值不大于</w:t>
      </w:r>
      <w:r w:rsidRPr="00780BD0">
        <w:rPr>
          <w:rFonts w:ascii="Arial" w:eastAsia="仿宋_GB2312" w:hAnsi="Arial" w:cs="Arial"/>
          <w:sz w:val="28"/>
          <w:szCs w:val="28"/>
        </w:rPr>
        <w:t>1</w:t>
      </w:r>
      <w:r w:rsidRPr="00780BD0">
        <w:rPr>
          <w:rFonts w:ascii="Arial" w:eastAsia="仿宋_GB2312" w:hAnsi="Arial" w:cs="Arial"/>
          <w:sz w:val="28"/>
          <w:szCs w:val="28"/>
        </w:rPr>
        <w:t>万元的小额资产，如空调、小型设备等，如不适用公开拍卖的方式进行处置，管理人有权采取个别出售、委托代售等最有利于资产变价的方式进行处置。</w:t>
      </w:r>
    </w:p>
    <w:p w14:paraId="2821869C" w14:textId="77777777" w:rsidR="00AD0D5D" w:rsidRPr="00780BD0" w:rsidRDefault="00AD0D5D" w:rsidP="00AD0D5D">
      <w:pPr>
        <w:spacing w:line="460" w:lineRule="atLeast"/>
        <w:rPr>
          <w:rFonts w:ascii="Arial" w:eastAsia="仿宋_GB2312" w:hAnsi="Arial" w:cs="Arial"/>
          <w:b/>
          <w:bCs/>
          <w:sz w:val="28"/>
          <w:szCs w:val="28"/>
        </w:rPr>
      </w:pPr>
      <w:r w:rsidRPr="00780BD0">
        <w:rPr>
          <w:rFonts w:ascii="Arial" w:eastAsia="仿宋_GB2312" w:hAnsi="Arial" w:cs="Arial"/>
          <w:b/>
          <w:sz w:val="28"/>
          <w:szCs w:val="28"/>
        </w:rPr>
        <w:t>三、</w:t>
      </w:r>
      <w:r w:rsidRPr="00780BD0">
        <w:rPr>
          <w:rFonts w:ascii="Arial" w:eastAsia="仿宋_GB2312" w:hAnsi="Arial" w:cs="Arial"/>
          <w:b/>
          <w:bCs/>
          <w:sz w:val="28"/>
          <w:szCs w:val="28"/>
        </w:rPr>
        <w:t>中介机构费用方案</w:t>
      </w:r>
    </w:p>
    <w:p w14:paraId="2935C525" w14:textId="77777777" w:rsidR="00AD0D5D" w:rsidRPr="00780BD0" w:rsidRDefault="00AD0D5D" w:rsidP="00AD0D5D">
      <w:pPr>
        <w:spacing w:line="460" w:lineRule="atLeast"/>
        <w:ind w:firstLineChars="200" w:firstLine="560"/>
        <w:rPr>
          <w:rFonts w:ascii="Arial" w:eastAsia="仿宋_GB2312" w:hAnsi="Arial" w:cs="Arial"/>
          <w:sz w:val="28"/>
          <w:szCs w:val="28"/>
        </w:rPr>
      </w:pPr>
      <w:r w:rsidRPr="00780BD0">
        <w:rPr>
          <w:rFonts w:ascii="Arial" w:eastAsia="仿宋_GB2312" w:hAnsi="Arial" w:cs="Arial"/>
          <w:sz w:val="28"/>
          <w:szCs w:val="28"/>
        </w:rPr>
        <w:t>虽然债务人目前的资产情况和财务状况不适于聘请中介机构，但不排除在破产清算过程中有新情况或者余杭法院认为有必要，管理人开展财务管理和变价工作时，根据需要聘请必要人员及中介机构，其中如需聘请审计机构和评估机构，管理人将通过询价的形式选定中介机构，中介机构费用应当符合浙江省物价局公布的相关标准。</w:t>
      </w:r>
    </w:p>
    <w:p w14:paraId="0ED8F84F" w14:textId="77777777" w:rsidR="00AD0D5D" w:rsidRPr="00780BD0" w:rsidRDefault="00AD0D5D" w:rsidP="00AD0D5D">
      <w:pPr>
        <w:spacing w:line="580" w:lineRule="exact"/>
        <w:jc w:val="left"/>
        <w:rPr>
          <w:rFonts w:ascii="Arial" w:eastAsia="仿宋_GB2312" w:hAnsi="Arial" w:cs="Arial"/>
          <w:b/>
          <w:sz w:val="28"/>
          <w:szCs w:val="28"/>
        </w:rPr>
      </w:pPr>
      <w:r w:rsidRPr="00780BD0">
        <w:rPr>
          <w:rFonts w:ascii="Arial" w:eastAsia="仿宋_GB2312" w:hAnsi="Arial" w:cs="Arial"/>
          <w:b/>
          <w:sz w:val="28"/>
          <w:szCs w:val="28"/>
        </w:rPr>
        <w:t>四、附则</w:t>
      </w:r>
    </w:p>
    <w:p w14:paraId="34BA9656" w14:textId="77777777" w:rsidR="00AD0D5D" w:rsidRPr="00780BD0" w:rsidRDefault="00AD0D5D" w:rsidP="00AD0D5D">
      <w:pPr>
        <w:spacing w:line="580" w:lineRule="exact"/>
        <w:ind w:firstLine="480"/>
        <w:jc w:val="left"/>
        <w:rPr>
          <w:rFonts w:ascii="Arial" w:eastAsia="仿宋_GB2312" w:hAnsi="Arial" w:cs="Arial"/>
          <w:sz w:val="28"/>
          <w:szCs w:val="28"/>
        </w:rPr>
      </w:pPr>
      <w:r w:rsidRPr="00780BD0">
        <w:rPr>
          <w:rFonts w:ascii="Arial" w:eastAsia="仿宋_GB2312" w:hAnsi="Arial" w:cs="Arial"/>
          <w:sz w:val="28"/>
          <w:szCs w:val="28"/>
        </w:rPr>
        <w:t>财产处置后，债权人和债务人不得阻碍或影响管理人将财产交付给买受人。本方案经债权人会议表决通过后即生效。《企业破产法》及相关法律、司法解释和当地司法政策有相关规定的，管理人也可依法参照执行。</w:t>
      </w:r>
    </w:p>
    <w:p w14:paraId="75263E73" w14:textId="77777777" w:rsidR="00AD0D5D" w:rsidRPr="00780BD0" w:rsidRDefault="00AD0D5D" w:rsidP="00AD0D5D">
      <w:pPr>
        <w:spacing w:line="580" w:lineRule="exact"/>
        <w:ind w:firstLine="480"/>
        <w:jc w:val="left"/>
        <w:rPr>
          <w:rFonts w:ascii="Arial" w:eastAsia="仿宋_GB2312" w:hAnsi="Arial" w:cs="Arial"/>
          <w:bCs/>
          <w:sz w:val="28"/>
          <w:szCs w:val="28"/>
        </w:rPr>
      </w:pPr>
      <w:r w:rsidRPr="00780BD0">
        <w:rPr>
          <w:rFonts w:ascii="Arial" w:eastAsia="仿宋_GB2312" w:hAnsi="Arial" w:cs="Arial"/>
          <w:bCs/>
          <w:sz w:val="28"/>
          <w:szCs w:val="28"/>
        </w:rPr>
        <w:t>以上方案，提请债权人会议讨论表决。</w:t>
      </w:r>
    </w:p>
    <w:p w14:paraId="5736C07B" w14:textId="77777777" w:rsidR="00AD0D5D" w:rsidRPr="00780BD0" w:rsidRDefault="00AD0D5D" w:rsidP="00AD0D5D">
      <w:pPr>
        <w:spacing w:line="580" w:lineRule="exact"/>
        <w:ind w:firstLine="480"/>
        <w:jc w:val="left"/>
        <w:rPr>
          <w:rFonts w:ascii="Arial" w:eastAsia="仿宋_GB2312" w:hAnsi="Arial" w:cs="Arial"/>
          <w:bCs/>
          <w:sz w:val="28"/>
          <w:szCs w:val="28"/>
        </w:rPr>
      </w:pPr>
    </w:p>
    <w:p w14:paraId="6A830E84" w14:textId="77777777" w:rsidR="00AD0D5D" w:rsidRPr="00780BD0" w:rsidRDefault="00AD0D5D" w:rsidP="00AD0D5D">
      <w:pPr>
        <w:jc w:val="right"/>
        <w:rPr>
          <w:rFonts w:ascii="Arial" w:eastAsia="仿宋_GB2312" w:hAnsi="Arial" w:cs="Arial"/>
          <w:bCs/>
          <w:sz w:val="28"/>
          <w:szCs w:val="28"/>
        </w:rPr>
      </w:pPr>
      <w:r w:rsidRPr="00780BD0">
        <w:rPr>
          <w:rFonts w:ascii="Arial" w:eastAsia="仿宋_GB2312" w:hAnsi="Arial" w:cs="Arial"/>
          <w:bCs/>
          <w:sz w:val="28"/>
          <w:szCs w:val="28"/>
        </w:rPr>
        <w:t>杭州捷佳鞋业有限公司管理人</w:t>
      </w:r>
    </w:p>
    <w:p w14:paraId="40D0C401" w14:textId="77777777" w:rsidR="00AD0D5D" w:rsidRPr="00780BD0" w:rsidRDefault="00AD0D5D" w:rsidP="00AD0D5D">
      <w:pPr>
        <w:pStyle w:val="3"/>
        <w:jc w:val="right"/>
        <w:rPr>
          <w:rFonts w:ascii="Arial" w:eastAsia="仿宋_GB2312" w:hAnsi="Arial" w:cs="Arial"/>
          <w:bCs/>
          <w:sz w:val="28"/>
          <w:szCs w:val="28"/>
        </w:rPr>
        <w:sectPr w:rsidR="00AD0D5D" w:rsidRPr="00780BD0" w:rsidSect="00AD0D5D">
          <w:headerReference w:type="default" r:id="rId6"/>
          <w:footerReference w:type="default" r:id="rId7"/>
          <w:pgSz w:w="11906" w:h="16838"/>
          <w:pgMar w:top="1361" w:right="1474" w:bottom="1361" w:left="1588" w:header="851" w:footer="992" w:gutter="0"/>
          <w:pgNumType w:fmt="numberInDash"/>
          <w:cols w:space="425"/>
          <w:docGrid w:type="lines" w:linePitch="312"/>
        </w:sectPr>
      </w:pPr>
      <w:bookmarkStart w:id="1" w:name="_Toc11701"/>
      <w:bookmarkStart w:id="2" w:name="_Toc10456"/>
      <w:bookmarkStart w:id="3" w:name="_Toc22238"/>
      <w:bookmarkStart w:id="4" w:name="_Toc9047"/>
      <w:r w:rsidRPr="00780BD0">
        <w:rPr>
          <w:rFonts w:ascii="Arial" w:eastAsia="仿宋_GB2312" w:hAnsi="Arial" w:cs="Arial"/>
          <w:b w:val="0"/>
          <w:bCs/>
          <w:sz w:val="28"/>
          <w:szCs w:val="28"/>
        </w:rPr>
        <w:t>二〇一九年十二月</w:t>
      </w:r>
      <w:bookmarkEnd w:id="1"/>
      <w:r w:rsidRPr="00780BD0">
        <w:rPr>
          <w:rFonts w:ascii="Arial" w:eastAsia="仿宋_GB2312" w:hAnsi="Arial" w:cs="Arial"/>
          <w:b w:val="0"/>
          <w:bCs/>
          <w:sz w:val="28"/>
          <w:szCs w:val="28"/>
        </w:rPr>
        <w:t>三日</w:t>
      </w:r>
      <w:bookmarkEnd w:id="2"/>
      <w:bookmarkEnd w:id="3"/>
      <w:bookmarkEnd w:id="4"/>
    </w:p>
    <w:p w14:paraId="33D1DF1C" w14:textId="77777777" w:rsidR="00687871" w:rsidRPr="00AD0D5D" w:rsidRDefault="00687871"/>
    <w:sectPr w:rsidR="00687871" w:rsidRPr="00AD0D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D322C" w14:textId="77777777" w:rsidR="00CA3F2D" w:rsidRDefault="00CA3F2D" w:rsidP="00AD0D5D">
      <w:r>
        <w:separator/>
      </w:r>
    </w:p>
  </w:endnote>
  <w:endnote w:type="continuationSeparator" w:id="0">
    <w:p w14:paraId="51F8FB63" w14:textId="77777777" w:rsidR="00CA3F2D" w:rsidRDefault="00CA3F2D" w:rsidP="00AD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7443F" w14:textId="2A9F989B" w:rsidR="00AD0D5D" w:rsidRDefault="00AD0D5D">
    <w:pPr>
      <w:pStyle w:val="a5"/>
    </w:pPr>
    <w:r>
      <w:rPr>
        <w:noProof/>
      </w:rPr>
      <mc:AlternateContent>
        <mc:Choice Requires="wps">
          <w:drawing>
            <wp:anchor distT="0" distB="0" distL="114300" distR="114300" simplePos="0" relativeHeight="251658240" behindDoc="0" locked="0" layoutInCell="1" allowOverlap="1" wp14:anchorId="23FC4357" wp14:editId="7F48E5AA">
              <wp:simplePos x="0" y="0"/>
              <wp:positionH relativeFrom="margin">
                <wp:align>center</wp:align>
              </wp:positionH>
              <wp:positionV relativeFrom="paragraph">
                <wp:posOffset>0</wp:posOffset>
              </wp:positionV>
              <wp:extent cx="247650" cy="131445"/>
              <wp:effectExtent l="0" t="0" r="3810" b="1016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31445"/>
                      </a:xfrm>
                      <a:prstGeom prst="rect">
                        <a:avLst/>
                      </a:prstGeom>
                      <a:noFill/>
                      <a:ln w="6350">
                        <a:noFill/>
                      </a:ln>
                      <a:effectLst/>
                    </wps:spPr>
                    <wps:txbx>
                      <w:txbxContent>
                        <w:sdt>
                          <w:sdtPr>
                            <w:rPr>
                              <w:rStyle w:val="a7"/>
                            </w:rPr>
                            <w:id w:val="1342738166"/>
                          </w:sdtPr>
                          <w:sdtContent>
                            <w:p w14:paraId="1FB02671" w14:textId="77777777" w:rsidR="00AD0D5D" w:rsidRDefault="00AD0D5D">
                              <w:pPr>
                                <w:pStyle w:val="a5"/>
                                <w:rPr>
                                  <w:rStyle w:val="a7"/>
                                </w:rPr>
                              </w:pPr>
                              <w:r>
                                <w:rPr>
                                  <w:rStyle w:val="a7"/>
                                </w:rPr>
                                <w:fldChar w:fldCharType="begin"/>
                              </w:r>
                              <w:r>
                                <w:rPr>
                                  <w:rStyle w:val="a7"/>
                                </w:rPr>
                                <w:instrText xml:space="preserve"> PAGE </w:instrText>
                              </w:r>
                              <w:r>
                                <w:rPr>
                                  <w:rStyle w:val="a7"/>
                                </w:rPr>
                                <w:fldChar w:fldCharType="separate"/>
                              </w:r>
                              <w:r>
                                <w:rPr>
                                  <w:rStyle w:val="a7"/>
                                  <w:noProof/>
                                </w:rPr>
                                <w:t>- 36 -</w:t>
                              </w:r>
                              <w:r>
                                <w:rPr>
                                  <w:rStyle w:val="a7"/>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23FC4357" id="_x0000_t202" coordsize="21600,21600" o:spt="202" path="m,l,21600r21600,l21600,xe">
              <v:stroke joinstyle="miter"/>
              <v:path gradientshapeok="t" o:connecttype="rect"/>
            </v:shapetype>
            <v:shape id="文本框 2" o:spid="_x0000_s1026" type="#_x0000_t202" style="position:absolute;margin-left:0;margin-top:0;width:19.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afJQIAACwEAAAOAAAAZHJzL2Uyb0RvYy54bWysU02O0zAY3SNxB8t7mrbTKShqOiozKkKq&#10;mJEKYu06ThPh2JbtNikHgBuwmg17ztVz8Ow07fCzQmycF3/P7/uf3bS1JHthXaVVRkeDISVCcZ1X&#10;apvRD++XL15R4jxTOZNaiYwehKM38+fPZo1JxViXWubCEogolzYmo6X3Jk0Sx0tRMzfQRigYC21r&#10;5vFrt0luWQP1Wibj4XCaNNrmxmounMPtXWek86hfFIL7+6JwwhOZUcTm42njuQlnMp+xdGuZKSt+&#10;CoP9QxQ1qxScnqXumGdkZ6s/pOqKW+104Qdc14kuioqLmAOyGQ1/y2ZdMiNiLiiOM+cyuf8ny9/t&#10;Hyyp8oyOKVGsRouO374eH38cv38h41CexrgUrLUBz7evdYs2x1SdWWn+yYGSPOF0DxzYoRxtYevw&#10;RaIED9GBw7nqovWE43I8eTm9hoXDNLoaTSbXwW1yeWys82+ErkkAGbVoagyA7VfOd9SeEnwpvayk&#10;xD1LpSJNRqdXkP/FAnGpwo2II3KSCVl0gQfk200LkQA3Oj8ge6u78XGGLyuEsmLOPzCLeUH02AF/&#10;j6OQGi71CVFSavv5b/eBjzbCSkmD+cuowoJQIt8qtDeMag9sDzY9ULv6VmOgR9gtwyPEA+tlDwur&#10;649YjEXwARNTHJ4y6nt467sdwGJxsVhEEgbSML9Sa8MvLV7sPMoZq3ypxKnjGMnYp9P6hJl/+h9Z&#10;lyWf/wQAAP//AwBQSwMEFAAGAAgAAAAhAPrkKITYAAAAAwEAAA8AAABkcnMvZG93bnJldi54bWxM&#10;j81OwzAQhO9IvIO1lbhRpy3iJ8SpoCI9IrXhwNGNlyRgryPbTcPbs+UCl5FGs5r5tlhPzooRQ+w9&#10;KVjMMxBIjTc9tQre6ur6HkRMmoy2nlDBN0ZYl5cXhc6NP9EOx31qBZdQzLWCLqUhlzI2HTod535A&#10;4uzDB6cT29BKE/SJy52Vyyy7lU73xAudHnDTYfO1PzoFm6quw4gx2HfcVqvP1+cbfJmUuppNT48g&#10;Ek7p7xjO+IwOJTMd/JFMFFYBP5J+lbPVA7uDgmV2B7Is5H/28gcAAP//AwBQSwECLQAUAAYACAAA&#10;ACEAtoM4kv4AAADhAQAAEwAAAAAAAAAAAAAAAAAAAAAAW0NvbnRlbnRfVHlwZXNdLnhtbFBLAQIt&#10;ABQABgAIAAAAIQA4/SH/1gAAAJQBAAALAAAAAAAAAAAAAAAAAC8BAABfcmVscy8ucmVsc1BLAQIt&#10;ABQABgAIAAAAIQBj1OafJQIAACwEAAAOAAAAAAAAAAAAAAAAAC4CAABkcnMvZTJvRG9jLnhtbFBL&#10;AQItABQABgAIAAAAIQD65CiE2AAAAAMBAAAPAAAAAAAAAAAAAAAAAH8EAABkcnMvZG93bnJldi54&#10;bWxQSwUGAAAAAAQABADzAAAAhAUAAAAA&#10;" filled="f" stroked="f" strokeweight=".5pt">
              <v:textbox style="mso-fit-shape-to-text:t" inset="0,0,0,0">
                <w:txbxContent>
                  <w:sdt>
                    <w:sdtPr>
                      <w:rPr>
                        <w:rStyle w:val="a7"/>
                      </w:rPr>
                      <w:id w:val="1342738166"/>
                    </w:sdtPr>
                    <w:sdtContent>
                      <w:p w14:paraId="1FB02671" w14:textId="77777777" w:rsidR="00AD0D5D" w:rsidRDefault="00AD0D5D">
                        <w:pPr>
                          <w:pStyle w:val="a5"/>
                          <w:rPr>
                            <w:rStyle w:val="a7"/>
                          </w:rPr>
                        </w:pPr>
                        <w:r>
                          <w:rPr>
                            <w:rStyle w:val="a7"/>
                          </w:rPr>
                          <w:fldChar w:fldCharType="begin"/>
                        </w:r>
                        <w:r>
                          <w:rPr>
                            <w:rStyle w:val="a7"/>
                          </w:rPr>
                          <w:instrText xml:space="preserve"> PAGE </w:instrText>
                        </w:r>
                        <w:r>
                          <w:rPr>
                            <w:rStyle w:val="a7"/>
                          </w:rPr>
                          <w:fldChar w:fldCharType="separate"/>
                        </w:r>
                        <w:r>
                          <w:rPr>
                            <w:rStyle w:val="a7"/>
                            <w:noProof/>
                          </w:rPr>
                          <w:t>- 36 -</w:t>
                        </w:r>
                        <w:r>
                          <w:rPr>
                            <w:rStyle w:val="a7"/>
                          </w:rPr>
                          <w:fldChar w:fldCharType="end"/>
                        </w:r>
                      </w:p>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79E15" w14:textId="77777777" w:rsidR="00CA3F2D" w:rsidRDefault="00CA3F2D" w:rsidP="00AD0D5D">
      <w:r>
        <w:separator/>
      </w:r>
    </w:p>
  </w:footnote>
  <w:footnote w:type="continuationSeparator" w:id="0">
    <w:p w14:paraId="12E3EE4A" w14:textId="77777777" w:rsidR="00CA3F2D" w:rsidRDefault="00CA3F2D" w:rsidP="00AD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62994" w14:textId="77777777" w:rsidR="00AD0D5D" w:rsidRPr="003E791C" w:rsidRDefault="00AD0D5D" w:rsidP="003E791C">
    <w:pPr>
      <w:pStyle w:val="a3"/>
      <w:rPr>
        <w:rFonts w:ascii="仿宋" w:eastAsia="仿宋" w:hAnsi="仿宋" w:cs="仿宋"/>
        <w:sz w:val="21"/>
        <w:szCs w:val="21"/>
      </w:rPr>
    </w:pPr>
    <w:r>
      <w:rPr>
        <w:rFonts w:ascii="仿宋" w:eastAsia="仿宋" w:hAnsi="仿宋" w:cs="仿宋" w:hint="eastAsia"/>
        <w:sz w:val="21"/>
        <w:szCs w:val="21"/>
      </w:rPr>
      <w:t>杭州捷佳鞋业有限公司第一次债权人会议资料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71"/>
    <w:rsid w:val="00687871"/>
    <w:rsid w:val="00AD0D5D"/>
    <w:rsid w:val="00CA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E1498D-5CDB-45DC-B802-EB984ABF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D5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AD0D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AD0D5D"/>
    <w:rPr>
      <w:sz w:val="18"/>
      <w:szCs w:val="18"/>
    </w:rPr>
  </w:style>
  <w:style w:type="paragraph" w:styleId="a5">
    <w:name w:val="footer"/>
    <w:basedOn w:val="a"/>
    <w:link w:val="a6"/>
    <w:uiPriority w:val="99"/>
    <w:unhideWhenUsed/>
    <w:qFormat/>
    <w:rsid w:val="00AD0D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AD0D5D"/>
    <w:rPr>
      <w:sz w:val="18"/>
      <w:szCs w:val="18"/>
    </w:rPr>
  </w:style>
  <w:style w:type="character" w:styleId="a7">
    <w:name w:val="page number"/>
    <w:basedOn w:val="a0"/>
    <w:uiPriority w:val="99"/>
    <w:unhideWhenUsed/>
    <w:qFormat/>
    <w:rsid w:val="00AD0D5D"/>
  </w:style>
  <w:style w:type="paragraph" w:customStyle="1" w:styleId="3">
    <w:name w:val="样式3"/>
    <w:basedOn w:val="a8"/>
    <w:qFormat/>
    <w:rsid w:val="00AD0D5D"/>
    <w:pPr>
      <w:jc w:val="center"/>
    </w:pPr>
    <w:rPr>
      <w:rFonts w:eastAsia="仿宋"/>
      <w:b/>
      <w:sz w:val="36"/>
    </w:rPr>
  </w:style>
  <w:style w:type="paragraph" w:styleId="a8">
    <w:name w:val="table of authorities"/>
    <w:basedOn w:val="a"/>
    <w:next w:val="a"/>
    <w:uiPriority w:val="99"/>
    <w:semiHidden/>
    <w:unhideWhenUsed/>
    <w:rsid w:val="00AD0D5D"/>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传莉 熊</dc:creator>
  <cp:keywords/>
  <dc:description/>
  <cp:lastModifiedBy>传莉 熊</cp:lastModifiedBy>
  <cp:revision>2</cp:revision>
  <dcterms:created xsi:type="dcterms:W3CDTF">2019-12-31T09:03:00Z</dcterms:created>
  <dcterms:modified xsi:type="dcterms:W3CDTF">2019-12-31T09:04:00Z</dcterms:modified>
</cp:coreProperties>
</file>