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sz w:val="44"/>
          <w:szCs w:val="44"/>
          <w:lang w:val="en-US" w:eastAsia="zh-CN"/>
        </w:rPr>
      </w:pPr>
      <w:r>
        <w:rPr>
          <w:rFonts w:hint="eastAsia" w:ascii="仿宋" w:hAnsi="仿宋" w:eastAsia="仿宋" w:cs="仿宋"/>
          <w:color w:val="auto"/>
          <w:sz w:val="44"/>
          <w:szCs w:val="44"/>
          <w:lang w:val="en-US" w:eastAsia="zh-CN"/>
        </w:rPr>
        <w:t>黔西县中友房地产开发有限责任公司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sz w:val="44"/>
          <w:szCs w:val="44"/>
          <w:lang w:val="en-US" w:eastAsia="zh-CN"/>
        </w:rPr>
      </w:pPr>
      <w:r>
        <w:rPr>
          <w:rFonts w:hint="eastAsia" w:ascii="仿宋" w:hAnsi="仿宋" w:eastAsia="仿宋" w:cs="仿宋"/>
          <w:color w:val="auto"/>
          <w:sz w:val="44"/>
          <w:szCs w:val="44"/>
          <w:lang w:val="en-US" w:eastAsia="zh-CN"/>
        </w:rPr>
        <w:t>黔西县友联旅游开发有限公司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auto"/>
          <w:sz w:val="44"/>
          <w:szCs w:val="44"/>
          <w:lang w:val="en-US" w:eastAsia="zh-CN"/>
        </w:rPr>
      </w:pPr>
      <w:r>
        <w:rPr>
          <w:rFonts w:hint="eastAsia" w:ascii="仿宋" w:hAnsi="仿宋" w:eastAsia="仿宋" w:cs="仿宋"/>
          <w:color w:val="auto"/>
          <w:sz w:val="44"/>
          <w:szCs w:val="44"/>
          <w:lang w:val="en-US" w:eastAsia="zh-CN"/>
        </w:rPr>
        <w:t>合并破产清算案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auto"/>
          <w:sz w:val="44"/>
          <w:szCs w:val="44"/>
          <w:lang w:val="en-US" w:eastAsia="zh-CN"/>
        </w:rPr>
      </w:pPr>
      <w:r>
        <w:rPr>
          <w:rFonts w:hint="eastAsia" w:ascii="仿宋" w:hAnsi="仿宋" w:eastAsia="仿宋" w:cs="仿宋"/>
          <w:color w:val="auto"/>
          <w:sz w:val="44"/>
          <w:szCs w:val="44"/>
          <w:lang w:val="en-US" w:eastAsia="zh-CN"/>
        </w:rPr>
        <w:t>破产财产变卖招募买受人公告</w:t>
      </w:r>
    </w:p>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2018年1月4日，黔西县人民法院分别裁定受理黔西县中友房地产开发有限责任公司（下称“中友公司”）、黔西县友联旅游开发有限公司（下称“友联公司”）破产清算案，并于2018年11月23日决定中友公司与友联公司实质合并破产，指定中友公司管理人担任中友公司、友联公司实质合并破产管理人（下称“管理人”）。根据黔西县人民法院裁定认可的《破产财产变价方案》，管理人分别于2019年8月2日、2019年9月17日将破产财产挂网拍卖，两次拍卖均流拍，依据《破产财产变价方案》，破产财产进入变卖阶段，为实现破产财产价值最大化充分保护债权人利益，现对破产财产变卖招募买受人公告如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一、公司情况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黔西县中友房地产开发有限责任公司，统一社会信用代码：91520522057092292P，类型：有限责任公司，成立日期：2012年11月27日，法定代表人：罗阳，注册资本：人民币1,000万元整，住所：贵州省毕节市黔西县城关镇水西大道西段（城关信用社四楼），经营范围：房地产开发经营，营业期限：2012年11月27日至2032年11月27日，登记机关：黔西县市场监督管理局。</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黔西县友联旅游开发有限公司，统一社会信用代码：91520522587291918N，类型：有限责任公司(自然人投资或控股)，成立日期：2012年1月18日，法定代表人：秦正刚，注册资本：人民币6,656万元整，住所：贵州省毕节市黔西县城关镇城东路原老政府大院内：经营范围：旅游开发、房地产开发经营，营业期限：2012年1月18日至2032年1月18日；登记机关：黔西县市场监督管理局。</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both"/>
        <w:textAlignment w:val="auto"/>
        <w:rPr>
          <w:rFonts w:hint="eastAsia" w:ascii="仿宋" w:hAnsi="仿宋" w:eastAsia="仿宋" w:cs="仿宋"/>
          <w:color w:val="auto"/>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二、本次变卖的破产财产</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1、以出让方式取得的40076平方米(证载面积)国有土地使用权：坐落黔西县城关镇城西村，属于水西古城项目用地，尚未建设建筑物或构筑物。土地用途为商业、住宅，土地使用权终止日期为商业2052年9月9日、住宅2082年年9月9日，证号为黔县用（2013）第0064号</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评估价格为43689</w:t>
      </w:r>
      <w:r>
        <w:rPr>
          <w:rFonts w:hint="eastAsia" w:ascii="仿宋" w:hAnsi="仿宋" w:eastAsia="仿宋" w:cs="仿宋"/>
          <w:color w:val="auto"/>
          <w:sz w:val="30"/>
          <w:szCs w:val="30"/>
          <w:lang w:val="en-US" w:eastAsia="zh-CN"/>
        </w:rPr>
        <w:t>000</w:t>
      </w:r>
      <w:r>
        <w:rPr>
          <w:rFonts w:hint="eastAsia" w:ascii="仿宋" w:hAnsi="仿宋" w:eastAsia="仿宋" w:cs="仿宋"/>
          <w:color w:val="auto"/>
          <w:sz w:val="30"/>
          <w:szCs w:val="30"/>
        </w:rPr>
        <w:t>元。</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水西古城</w:t>
      </w:r>
      <w:r>
        <w:rPr>
          <w:rFonts w:hint="eastAsia" w:ascii="仿宋" w:hAnsi="仿宋" w:eastAsia="仿宋" w:cs="仿宋"/>
          <w:color w:val="auto"/>
          <w:sz w:val="30"/>
          <w:szCs w:val="30"/>
        </w:rPr>
        <w:t>房产(包含了根据管理人审查结果列为</w:t>
      </w:r>
      <w:r>
        <w:rPr>
          <w:rFonts w:hint="eastAsia" w:ascii="仿宋" w:hAnsi="仿宋" w:eastAsia="仿宋" w:cs="仿宋"/>
          <w:color w:val="auto"/>
          <w:sz w:val="30"/>
          <w:szCs w:val="30"/>
          <w:lang w:val="en-US" w:eastAsia="zh-CN"/>
        </w:rPr>
        <w:t>变卖</w:t>
      </w:r>
      <w:r>
        <w:rPr>
          <w:rFonts w:hint="eastAsia" w:ascii="仿宋" w:hAnsi="仿宋" w:eastAsia="仿宋" w:cs="仿宋"/>
          <w:color w:val="auto"/>
          <w:sz w:val="30"/>
          <w:szCs w:val="30"/>
        </w:rPr>
        <w:t>标的但相应购房人不服审查结果已起诉对应的待定房产)：总建筑面积</w:t>
      </w:r>
      <w:r>
        <w:rPr>
          <w:rFonts w:hint="eastAsia" w:ascii="仿宋" w:hAnsi="仿宋" w:eastAsia="仿宋" w:cs="仿宋"/>
          <w:color w:val="auto"/>
          <w:sz w:val="30"/>
          <w:szCs w:val="30"/>
        </w:rPr>
        <w:t>98762.18平方米，其分布于水西古城项目内已进行不同程度开发建设的31、32、33、35号地块内各有关楼栋（</w:t>
      </w:r>
      <w:r>
        <w:rPr>
          <w:rFonts w:hint="eastAsia" w:ascii="仿宋" w:hAnsi="仿宋" w:eastAsia="仿宋" w:cs="仿宋"/>
          <w:color w:val="auto"/>
          <w:sz w:val="30"/>
          <w:szCs w:val="30"/>
          <w:lang w:val="en-US" w:eastAsia="zh-CN"/>
        </w:rPr>
        <w:t>房产的建设现状请向管理人了解或实地踏勘</w:t>
      </w:r>
      <w:r>
        <w:rPr>
          <w:rFonts w:hint="eastAsia" w:ascii="仿宋" w:hAnsi="仿宋" w:eastAsia="仿宋" w:cs="仿宋"/>
          <w:color w:val="auto"/>
          <w:sz w:val="30"/>
          <w:szCs w:val="30"/>
        </w:rPr>
        <w:t>）</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评估价格</w:t>
      </w:r>
      <w:r>
        <w:rPr>
          <w:rFonts w:hint="eastAsia" w:ascii="仿宋" w:hAnsi="仿宋" w:eastAsia="仿宋" w:cs="仿宋"/>
          <w:color w:val="auto"/>
          <w:sz w:val="30"/>
          <w:szCs w:val="30"/>
          <w:lang w:val="en-US" w:eastAsia="zh-CN"/>
        </w:rPr>
        <w:t>285110600</w:t>
      </w:r>
      <w:r>
        <w:rPr>
          <w:rFonts w:hint="eastAsia" w:ascii="仿宋" w:hAnsi="仿宋" w:eastAsia="仿宋" w:cs="仿宋"/>
          <w:color w:val="auto"/>
          <w:sz w:val="30"/>
          <w:szCs w:val="30"/>
        </w:rPr>
        <w:t>元</w:t>
      </w:r>
      <w:r>
        <w:rPr>
          <w:rFonts w:hint="eastAsia" w:ascii="仿宋" w:hAnsi="仿宋" w:eastAsia="仿宋" w:cs="仿宋"/>
          <w:color w:val="auto"/>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评估</w:t>
      </w:r>
      <w:r>
        <w:rPr>
          <w:rFonts w:hint="eastAsia" w:ascii="仿宋" w:hAnsi="仿宋" w:eastAsia="仿宋" w:cs="仿宋"/>
          <w:color w:val="auto"/>
          <w:sz w:val="30"/>
          <w:szCs w:val="30"/>
          <w:lang w:val="en-US" w:eastAsia="zh-CN"/>
        </w:rPr>
        <w:t>价值对应的房产数量，系来源于</w:t>
      </w:r>
      <w:r>
        <w:rPr>
          <w:rFonts w:hint="eastAsia" w:ascii="仿宋" w:hAnsi="仿宋" w:eastAsia="仿宋" w:cs="仿宋"/>
          <w:color w:val="auto"/>
          <w:sz w:val="30"/>
          <w:szCs w:val="30"/>
        </w:rPr>
        <w:t>管理人</w:t>
      </w:r>
      <w:r>
        <w:rPr>
          <w:rFonts w:hint="eastAsia" w:ascii="仿宋" w:hAnsi="仿宋" w:eastAsia="仿宋" w:cs="仿宋"/>
          <w:color w:val="auto"/>
          <w:sz w:val="30"/>
          <w:szCs w:val="30"/>
          <w:lang w:val="en-US" w:eastAsia="zh-CN"/>
        </w:rPr>
        <w:t>对购房债权的</w:t>
      </w:r>
      <w:r>
        <w:rPr>
          <w:rFonts w:hint="eastAsia" w:ascii="仿宋" w:hAnsi="仿宋" w:eastAsia="仿宋" w:cs="仿宋"/>
          <w:color w:val="auto"/>
          <w:sz w:val="30"/>
          <w:szCs w:val="30"/>
        </w:rPr>
        <w:t>审查结果</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后部分</w:t>
      </w:r>
      <w:r>
        <w:rPr>
          <w:rFonts w:hint="eastAsia" w:ascii="仿宋" w:hAnsi="仿宋" w:eastAsia="仿宋" w:cs="仿宋"/>
          <w:color w:val="auto"/>
          <w:sz w:val="30"/>
          <w:szCs w:val="30"/>
        </w:rPr>
        <w:t>购房人不服管理人审查结果已起诉主张继续履行相应商品房买卖合同</w:t>
      </w:r>
      <w:r>
        <w:rPr>
          <w:rFonts w:hint="eastAsia" w:ascii="仿宋" w:hAnsi="仿宋" w:eastAsia="仿宋" w:cs="仿宋"/>
          <w:color w:val="auto"/>
          <w:sz w:val="30"/>
          <w:szCs w:val="30"/>
          <w:lang w:val="en-US" w:eastAsia="zh-CN"/>
        </w:rPr>
        <w:t>，若生效法律文书改变管理人的审查结果，则相应房产将不再属于破产财产。经管理人统计，目前</w:t>
      </w:r>
      <w:r>
        <w:rPr>
          <w:rFonts w:hint="eastAsia" w:ascii="仿宋" w:hAnsi="仿宋" w:eastAsia="仿宋" w:cs="仿宋"/>
          <w:color w:val="auto"/>
          <w:sz w:val="30"/>
          <w:szCs w:val="30"/>
        </w:rPr>
        <w:t>已纳入破产财产评估范围</w:t>
      </w:r>
      <w:r>
        <w:rPr>
          <w:rFonts w:hint="eastAsia" w:ascii="仿宋" w:hAnsi="仿宋" w:eastAsia="仿宋" w:cs="仿宋"/>
          <w:color w:val="auto"/>
          <w:sz w:val="30"/>
          <w:szCs w:val="30"/>
          <w:lang w:val="en-US" w:eastAsia="zh-CN"/>
        </w:rPr>
        <w:t>但涉诉的</w:t>
      </w:r>
      <w:r>
        <w:rPr>
          <w:rFonts w:hint="eastAsia" w:ascii="仿宋" w:hAnsi="仿宋" w:eastAsia="仿宋" w:cs="仿宋"/>
          <w:color w:val="auto"/>
          <w:sz w:val="30"/>
          <w:szCs w:val="30"/>
        </w:rPr>
        <w:t>房产共计</w:t>
      </w:r>
      <w:r>
        <w:rPr>
          <w:rFonts w:hint="eastAsia" w:ascii="仿宋" w:hAnsi="仿宋" w:eastAsia="仿宋" w:cs="仿宋"/>
          <w:color w:val="auto"/>
          <w:sz w:val="30"/>
          <w:szCs w:val="30"/>
          <w:lang w:val="en-US" w:eastAsia="zh-CN"/>
        </w:rPr>
        <w:t>11203.81</w:t>
      </w:r>
      <w:r>
        <w:rPr>
          <w:rFonts w:hint="eastAsia" w:ascii="仿宋" w:hAnsi="仿宋" w:eastAsia="仿宋" w:cs="仿宋"/>
          <w:color w:val="auto"/>
          <w:sz w:val="30"/>
          <w:szCs w:val="30"/>
        </w:rPr>
        <w:t>平方米(见《水西古城涉诉已评估房产清单》)，对应评估价</w:t>
      </w:r>
      <w:r>
        <w:rPr>
          <w:rFonts w:hint="eastAsia" w:ascii="仿宋" w:hAnsi="仿宋" w:eastAsia="仿宋" w:cs="仿宋"/>
          <w:color w:val="auto"/>
          <w:sz w:val="30"/>
          <w:szCs w:val="30"/>
          <w:lang w:val="en-US" w:eastAsia="zh-CN"/>
        </w:rPr>
        <w:t>合计78663500</w:t>
      </w:r>
      <w:r>
        <w:rPr>
          <w:rFonts w:hint="eastAsia" w:ascii="仿宋" w:hAnsi="仿宋" w:eastAsia="仿宋" w:cs="仿宋"/>
          <w:color w:val="auto"/>
          <w:sz w:val="30"/>
          <w:szCs w:val="30"/>
        </w:rPr>
        <w:t>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该11203.81</w:t>
      </w:r>
      <w:r>
        <w:rPr>
          <w:rFonts w:hint="eastAsia" w:ascii="仿宋" w:hAnsi="仿宋" w:eastAsia="仿宋" w:cs="仿宋"/>
          <w:color w:val="auto"/>
          <w:sz w:val="30"/>
          <w:szCs w:val="30"/>
        </w:rPr>
        <w:t>平方米</w:t>
      </w:r>
      <w:r>
        <w:rPr>
          <w:rFonts w:hint="eastAsia" w:ascii="仿宋" w:hAnsi="仿宋" w:eastAsia="仿宋" w:cs="仿宋"/>
          <w:color w:val="auto"/>
          <w:sz w:val="30"/>
          <w:szCs w:val="30"/>
          <w:lang w:val="en-US" w:eastAsia="zh-CN"/>
        </w:rPr>
        <w:t>的待定房产</w:t>
      </w:r>
      <w:r>
        <w:rPr>
          <w:rFonts w:hint="eastAsia" w:ascii="仿宋" w:hAnsi="仿宋" w:eastAsia="仿宋" w:cs="仿宋"/>
          <w:color w:val="auto"/>
          <w:sz w:val="30"/>
          <w:szCs w:val="30"/>
        </w:rPr>
        <w:t>本次</w:t>
      </w:r>
      <w:r>
        <w:rPr>
          <w:rFonts w:hint="eastAsia" w:ascii="仿宋" w:hAnsi="仿宋" w:eastAsia="仿宋" w:cs="仿宋"/>
          <w:color w:val="auto"/>
          <w:sz w:val="30"/>
          <w:szCs w:val="30"/>
          <w:lang w:val="en-US" w:eastAsia="zh-CN"/>
        </w:rPr>
        <w:t>仍列为变卖</w:t>
      </w:r>
      <w:r>
        <w:rPr>
          <w:rFonts w:hint="eastAsia" w:ascii="仿宋" w:hAnsi="仿宋" w:eastAsia="仿宋" w:cs="仿宋"/>
          <w:color w:val="auto"/>
          <w:sz w:val="30"/>
          <w:szCs w:val="30"/>
        </w:rPr>
        <w:t>标的，</w:t>
      </w:r>
      <w:r>
        <w:rPr>
          <w:rFonts w:hint="eastAsia" w:ascii="仿宋" w:hAnsi="仿宋" w:eastAsia="仿宋" w:cs="仿宋"/>
          <w:color w:val="auto"/>
          <w:sz w:val="30"/>
          <w:szCs w:val="30"/>
          <w:lang w:val="en-US" w:eastAsia="zh-CN"/>
        </w:rPr>
        <w:t>因其涉及的诉讼尚未下达生效法律文书，故变卖</w:t>
      </w:r>
      <w:r>
        <w:rPr>
          <w:rFonts w:hint="eastAsia" w:ascii="仿宋" w:hAnsi="仿宋" w:eastAsia="仿宋" w:cs="仿宋"/>
          <w:color w:val="auto"/>
          <w:sz w:val="30"/>
          <w:szCs w:val="30"/>
        </w:rPr>
        <w:t>成交后此类相应房产</w:t>
      </w:r>
      <w:r>
        <w:rPr>
          <w:rFonts w:hint="eastAsia" w:ascii="仿宋" w:hAnsi="仿宋" w:eastAsia="仿宋" w:cs="仿宋"/>
          <w:color w:val="auto"/>
          <w:sz w:val="30"/>
          <w:szCs w:val="30"/>
          <w:lang w:val="en-US" w:eastAsia="zh-CN"/>
        </w:rPr>
        <w:t>暂</w:t>
      </w:r>
      <w:r>
        <w:rPr>
          <w:rFonts w:hint="eastAsia" w:ascii="仿宋" w:hAnsi="仿宋" w:eastAsia="仿宋" w:cs="仿宋"/>
          <w:color w:val="auto"/>
          <w:sz w:val="30"/>
          <w:szCs w:val="30"/>
        </w:rPr>
        <w:t>不实质性交割</w:t>
      </w:r>
      <w:r>
        <w:rPr>
          <w:rFonts w:hint="eastAsia" w:ascii="仿宋" w:hAnsi="仿宋" w:eastAsia="仿宋" w:cs="仿宋"/>
          <w:color w:val="auto"/>
          <w:sz w:val="30"/>
          <w:szCs w:val="30"/>
          <w:lang w:val="en-US" w:eastAsia="zh-CN"/>
        </w:rPr>
        <w:t>给</w:t>
      </w:r>
      <w:r>
        <w:rPr>
          <w:rFonts w:hint="eastAsia" w:ascii="仿宋" w:hAnsi="仿宋" w:eastAsia="仿宋" w:cs="仿宋"/>
          <w:color w:val="auto"/>
          <w:sz w:val="30"/>
          <w:szCs w:val="30"/>
        </w:rPr>
        <w:t>买受人。若生效法律文书确定维持管理人审查结果的，在收到生效法律文书10个工作日内管理人再与买受人实质性交割相</w:t>
      </w:r>
      <w:r>
        <w:rPr>
          <w:rFonts w:hint="eastAsia" w:ascii="仿宋" w:hAnsi="仿宋" w:eastAsia="仿宋" w:cs="仿宋"/>
          <w:color w:val="auto"/>
          <w:sz w:val="30"/>
          <w:szCs w:val="30"/>
          <w:lang w:val="en-US" w:eastAsia="zh-CN"/>
        </w:rPr>
        <w:t>对</w:t>
      </w:r>
      <w:r>
        <w:rPr>
          <w:rFonts w:hint="eastAsia" w:ascii="仿宋" w:hAnsi="仿宋" w:eastAsia="仿宋" w:cs="仿宋"/>
          <w:color w:val="auto"/>
          <w:sz w:val="30"/>
          <w:szCs w:val="30"/>
        </w:rPr>
        <w:t>应房产，若生效法律文书确定继续履行商品房买卖合同的，相对应房产应从成交范围中扣减，总成交</w:t>
      </w:r>
      <w:r>
        <w:rPr>
          <w:rFonts w:hint="eastAsia" w:ascii="仿宋" w:hAnsi="仿宋" w:eastAsia="仿宋" w:cs="仿宋"/>
          <w:color w:val="auto"/>
          <w:sz w:val="30"/>
          <w:szCs w:val="30"/>
          <w:lang w:val="en-US" w:eastAsia="zh-CN"/>
        </w:rPr>
        <w:t>价</w:t>
      </w:r>
      <w:r>
        <w:rPr>
          <w:rFonts w:hint="eastAsia" w:ascii="仿宋" w:hAnsi="仿宋" w:eastAsia="仿宋" w:cs="仿宋"/>
          <w:color w:val="auto"/>
          <w:sz w:val="30"/>
          <w:szCs w:val="30"/>
        </w:rPr>
        <w:t>款也相应扣减</w:t>
      </w:r>
      <w:r>
        <w:rPr>
          <w:rFonts w:hint="eastAsia" w:ascii="仿宋" w:hAnsi="仿宋" w:eastAsia="仿宋" w:cs="仿宋"/>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、水西古城内属于破产财产的物资、设备。物资设备主要为办公用具，其外观、性能以现场实物为准</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共56项</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详见</w:t>
      </w:r>
      <w:r>
        <w:rPr>
          <w:rFonts w:hint="eastAsia" w:ascii="仿宋" w:hAnsi="仿宋" w:eastAsia="仿宋" w:cs="仿宋"/>
          <w:color w:val="auto"/>
          <w:sz w:val="30"/>
          <w:szCs w:val="30"/>
          <w:lang w:val="en-US" w:eastAsia="zh-CN"/>
        </w:rPr>
        <w:t>所附</w:t>
      </w:r>
      <w:r>
        <w:rPr>
          <w:rFonts w:hint="eastAsia" w:ascii="仿宋" w:hAnsi="仿宋" w:eastAsia="仿宋" w:cs="仿宋"/>
          <w:color w:val="auto"/>
          <w:sz w:val="30"/>
          <w:szCs w:val="30"/>
        </w:rPr>
        <w:t>《物资设备清单》</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评估价值164400元。</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rPr>
        <w:t>、别克牌小型普通客车一辆(车牌号贵F38720)，评估价值48000元。</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rPr>
        <w:t>本次</w:t>
      </w:r>
      <w:r>
        <w:rPr>
          <w:rFonts w:hint="eastAsia" w:ascii="仿宋" w:hAnsi="仿宋" w:eastAsia="仿宋" w:cs="仿宋"/>
          <w:color w:val="auto"/>
          <w:sz w:val="30"/>
          <w:szCs w:val="30"/>
          <w:lang w:val="en-US" w:eastAsia="zh-CN"/>
        </w:rPr>
        <w:t>变卖</w:t>
      </w:r>
      <w:r>
        <w:rPr>
          <w:rFonts w:hint="eastAsia" w:ascii="仿宋" w:hAnsi="仿宋" w:eastAsia="仿宋" w:cs="仿宋"/>
          <w:color w:val="auto"/>
          <w:sz w:val="30"/>
          <w:szCs w:val="30"/>
        </w:rPr>
        <w:t>前管理人审查后决定继续履行的商品房买卖合同涉及的171套房产(有关信息见《继续履行合同清单》)，</w:t>
      </w:r>
      <w:r>
        <w:rPr>
          <w:rFonts w:hint="eastAsia" w:ascii="仿宋" w:hAnsi="仿宋" w:eastAsia="仿宋" w:cs="仿宋"/>
          <w:color w:val="auto"/>
          <w:sz w:val="30"/>
          <w:szCs w:val="30"/>
        </w:rPr>
        <w:t>其中58名购房人尚欠付购房尾款8912</w:t>
      </w:r>
      <w:r>
        <w:rPr>
          <w:rFonts w:hint="eastAsia" w:ascii="仿宋" w:hAnsi="仿宋" w:eastAsia="仿宋" w:cs="仿宋"/>
          <w:color w:val="auto"/>
          <w:sz w:val="30"/>
          <w:szCs w:val="30"/>
          <w:lang w:val="en-US" w:eastAsia="zh-CN"/>
        </w:rPr>
        <w:t>000</w:t>
      </w:r>
      <w:r>
        <w:rPr>
          <w:rFonts w:hint="eastAsia" w:ascii="仿宋" w:hAnsi="仿宋" w:eastAsia="仿宋" w:cs="仿宋"/>
          <w:color w:val="auto"/>
          <w:sz w:val="30"/>
          <w:szCs w:val="30"/>
        </w:rPr>
        <w:t>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评估价值</w:t>
      </w:r>
      <w:r>
        <w:rPr>
          <w:rFonts w:hint="eastAsia" w:ascii="仿宋" w:hAnsi="仿宋" w:eastAsia="仿宋" w:cs="仿宋"/>
          <w:color w:val="auto"/>
          <w:sz w:val="30"/>
          <w:szCs w:val="30"/>
        </w:rPr>
        <w:t>8912</w:t>
      </w:r>
      <w:r>
        <w:rPr>
          <w:rFonts w:hint="eastAsia" w:ascii="仿宋" w:hAnsi="仿宋" w:eastAsia="仿宋" w:cs="仿宋"/>
          <w:color w:val="auto"/>
          <w:sz w:val="30"/>
          <w:szCs w:val="30"/>
          <w:lang w:val="en-US" w:eastAsia="zh-CN"/>
        </w:rPr>
        <w:t>000</w:t>
      </w:r>
      <w:r>
        <w:rPr>
          <w:rFonts w:hint="eastAsia" w:ascii="仿宋" w:hAnsi="仿宋" w:eastAsia="仿宋" w:cs="仿宋"/>
          <w:color w:val="auto"/>
          <w:sz w:val="30"/>
          <w:szCs w:val="30"/>
        </w:rPr>
        <w:t>元</w:t>
      </w:r>
      <w:r>
        <w:rPr>
          <w:rFonts w:hint="eastAsia" w:ascii="仿宋" w:hAnsi="仿宋" w:eastAsia="仿宋" w:cs="仿宋"/>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6、</w:t>
      </w:r>
      <w:r>
        <w:rPr>
          <w:rFonts w:hint="eastAsia" w:ascii="仿宋" w:hAnsi="仿宋" w:eastAsia="仿宋" w:cs="仿宋"/>
          <w:color w:val="auto"/>
          <w:sz w:val="30"/>
          <w:szCs w:val="30"/>
        </w:rPr>
        <w:t>水西古城项目中的会所1幢、</w:t>
      </w:r>
      <w:r>
        <w:rPr>
          <w:rFonts w:hint="eastAsia" w:ascii="仿宋" w:hAnsi="仿宋" w:eastAsia="仿宋" w:cs="仿宋"/>
          <w:color w:val="auto"/>
          <w:sz w:val="30"/>
          <w:szCs w:val="30"/>
          <w:lang w:val="en-US" w:eastAsia="zh-CN"/>
        </w:rPr>
        <w:t>办公楼1幢、</w:t>
      </w:r>
      <w:r>
        <w:rPr>
          <w:rFonts w:hint="eastAsia" w:ascii="仿宋" w:hAnsi="仿宋" w:eastAsia="仿宋" w:cs="仿宋"/>
          <w:color w:val="auto"/>
          <w:sz w:val="30"/>
          <w:szCs w:val="30"/>
        </w:rPr>
        <w:t>生态房及木屋</w:t>
      </w:r>
      <w:r>
        <w:rPr>
          <w:rFonts w:hint="eastAsia" w:ascii="仿宋" w:hAnsi="仿宋" w:eastAsia="仿宋" w:cs="仿宋"/>
          <w:color w:val="auto"/>
          <w:sz w:val="30"/>
          <w:szCs w:val="30"/>
          <w:lang w:val="en-US" w:eastAsia="zh-CN"/>
        </w:rPr>
        <w:t>24</w:t>
      </w:r>
      <w:r>
        <w:rPr>
          <w:rFonts w:hint="eastAsia" w:ascii="仿宋" w:hAnsi="仿宋" w:eastAsia="仿宋" w:cs="仿宋"/>
          <w:color w:val="auto"/>
          <w:sz w:val="30"/>
          <w:szCs w:val="30"/>
        </w:rPr>
        <w:t>间/套、砖混茅草屋</w:t>
      </w: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t>间</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框架结构（房屋）</w:t>
      </w:r>
      <w:r>
        <w:rPr>
          <w:rFonts w:hint="eastAsia" w:ascii="仿宋" w:hAnsi="仿宋" w:eastAsia="仿宋" w:cs="仿宋"/>
          <w:color w:val="auto"/>
          <w:sz w:val="30"/>
          <w:szCs w:val="30"/>
          <w:lang w:val="en-US" w:eastAsia="zh-CN"/>
        </w:rPr>
        <w:t>6</w:t>
      </w:r>
      <w:r>
        <w:rPr>
          <w:rFonts w:hint="eastAsia" w:ascii="仿宋" w:hAnsi="仿宋" w:eastAsia="仿宋" w:cs="仿宋"/>
          <w:color w:val="auto"/>
          <w:sz w:val="30"/>
          <w:szCs w:val="30"/>
        </w:rPr>
        <w:t>间</w:t>
      </w:r>
      <w:r>
        <w:rPr>
          <w:rFonts w:hint="eastAsia" w:ascii="仿宋" w:hAnsi="仿宋" w:eastAsia="仿宋" w:cs="仿宋"/>
          <w:color w:val="auto"/>
          <w:sz w:val="30"/>
          <w:szCs w:val="30"/>
          <w:lang w:val="en-US" w:eastAsia="zh-CN"/>
        </w:rPr>
        <w:t>(本公告中均统称规划外物业)</w:t>
      </w:r>
      <w:r>
        <w:rPr>
          <w:rFonts w:hint="eastAsia" w:ascii="仿宋" w:hAnsi="仿宋" w:eastAsia="仿宋" w:cs="仿宋"/>
          <w:color w:val="auto"/>
          <w:sz w:val="30"/>
          <w:szCs w:val="30"/>
        </w:rPr>
        <w:t>，建筑面积合计16928.22平方米，</w:t>
      </w:r>
      <w:r>
        <w:rPr>
          <w:rFonts w:hint="eastAsia" w:ascii="仿宋" w:hAnsi="仿宋" w:eastAsia="仿宋" w:cs="仿宋"/>
          <w:color w:val="auto"/>
          <w:sz w:val="30"/>
          <w:szCs w:val="30"/>
          <w:lang w:val="en-US" w:eastAsia="zh-CN"/>
        </w:rPr>
        <w:t>评估价值</w:t>
      </w:r>
      <w:r>
        <w:rPr>
          <w:rFonts w:hint="eastAsia" w:ascii="仿宋" w:hAnsi="仿宋" w:eastAsia="仿宋" w:cs="仿宋"/>
          <w:color w:val="auto"/>
          <w:sz w:val="30"/>
          <w:szCs w:val="30"/>
        </w:rPr>
        <w:t>为</w:t>
      </w:r>
      <w:r>
        <w:rPr>
          <w:rFonts w:hint="eastAsia" w:ascii="仿宋" w:hAnsi="仿宋" w:eastAsia="仿宋" w:cs="仿宋"/>
          <w:color w:val="auto"/>
          <w:sz w:val="30"/>
          <w:szCs w:val="30"/>
          <w:lang w:val="en-US" w:eastAsia="zh-CN"/>
        </w:rPr>
        <w:t>38051100</w:t>
      </w:r>
      <w:r>
        <w:rPr>
          <w:rFonts w:hint="eastAsia" w:ascii="仿宋" w:hAnsi="仿宋" w:eastAsia="仿宋" w:cs="仿宋"/>
          <w:color w:val="auto"/>
          <w:sz w:val="30"/>
          <w:szCs w:val="30"/>
        </w:rPr>
        <w:t>元。</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特别说明：上述第6项规划外物业</w:t>
      </w:r>
      <w:r>
        <w:rPr>
          <w:rFonts w:hint="eastAsia" w:ascii="仿宋" w:hAnsi="仿宋" w:eastAsia="仿宋" w:cs="仿宋"/>
          <w:color w:val="auto"/>
          <w:sz w:val="30"/>
          <w:szCs w:val="30"/>
        </w:rPr>
        <w:t>现均未取得规划许可、国有建设用地使用权，不列入</w:t>
      </w:r>
      <w:r>
        <w:rPr>
          <w:rFonts w:hint="eastAsia" w:ascii="仿宋" w:hAnsi="仿宋" w:eastAsia="仿宋" w:cs="仿宋"/>
          <w:color w:val="auto"/>
          <w:sz w:val="30"/>
          <w:szCs w:val="30"/>
          <w:lang w:val="en-US" w:eastAsia="zh-CN"/>
        </w:rPr>
        <w:t>变卖标的</w:t>
      </w:r>
      <w:r>
        <w:rPr>
          <w:rFonts w:hint="eastAsia" w:ascii="仿宋" w:hAnsi="仿宋" w:eastAsia="仿宋" w:cs="仿宋"/>
          <w:color w:val="auto"/>
          <w:sz w:val="30"/>
          <w:szCs w:val="30"/>
        </w:rPr>
        <w:t>。</w:t>
      </w:r>
      <w:r>
        <w:rPr>
          <w:rFonts w:hint="eastAsia" w:ascii="仿宋" w:hAnsi="仿宋" w:eastAsia="仿宋" w:cs="仿宋"/>
          <w:color w:val="auto"/>
          <w:sz w:val="30"/>
          <w:szCs w:val="30"/>
          <w:lang w:val="en-US" w:eastAsia="zh-CN"/>
        </w:rPr>
        <w:t>规划外物业</w:t>
      </w:r>
      <w:r>
        <w:rPr>
          <w:rFonts w:hint="eastAsia" w:ascii="仿宋" w:hAnsi="仿宋" w:eastAsia="仿宋" w:cs="仿宋"/>
          <w:color w:val="auto"/>
          <w:sz w:val="30"/>
          <w:szCs w:val="30"/>
        </w:rPr>
        <w:t>按现状移交给买受人，但买受人应承担破产人对其进行开发的相应成本，买受人自行依法对</w:t>
      </w:r>
      <w:r>
        <w:rPr>
          <w:rFonts w:hint="eastAsia" w:ascii="仿宋" w:hAnsi="仿宋" w:eastAsia="仿宋" w:cs="仿宋"/>
          <w:color w:val="auto"/>
          <w:sz w:val="30"/>
          <w:szCs w:val="30"/>
          <w:lang w:val="en-US" w:eastAsia="zh-CN"/>
        </w:rPr>
        <w:t>规划外物业</w:t>
      </w:r>
      <w:r>
        <w:rPr>
          <w:rFonts w:hint="eastAsia" w:ascii="仿宋" w:hAnsi="仿宋" w:eastAsia="仿宋" w:cs="仿宋"/>
          <w:color w:val="auto"/>
          <w:sz w:val="30"/>
          <w:szCs w:val="30"/>
        </w:rPr>
        <w:t>管理、使用、续建、完善建设手续等，该</w:t>
      </w:r>
      <w:r>
        <w:rPr>
          <w:rFonts w:hint="eastAsia" w:ascii="仿宋" w:hAnsi="仿宋" w:eastAsia="仿宋" w:cs="仿宋"/>
          <w:color w:val="auto"/>
          <w:sz w:val="30"/>
          <w:szCs w:val="30"/>
          <w:lang w:eastAsia="zh-CN"/>
        </w:rPr>
        <w:t>财产</w:t>
      </w:r>
      <w:r>
        <w:rPr>
          <w:rFonts w:hint="eastAsia" w:ascii="仿宋" w:hAnsi="仿宋" w:eastAsia="仿宋" w:cs="仿宋"/>
          <w:color w:val="auto"/>
          <w:sz w:val="30"/>
          <w:szCs w:val="30"/>
        </w:rPr>
        <w:t>不能投入使用或不能续建或不能完善建设手续或被依法拆除等一切法律风险概由买受人自行承担。</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三、买受人资格条件</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具有</w:t>
      </w:r>
      <w:r>
        <w:rPr>
          <w:rFonts w:hint="eastAsia" w:ascii="仿宋" w:hAnsi="仿宋" w:eastAsia="仿宋" w:cs="仿宋"/>
          <w:color w:val="auto"/>
          <w:sz w:val="30"/>
          <w:szCs w:val="30"/>
          <w:lang w:val="en-US" w:eastAsia="zh-CN"/>
        </w:rPr>
        <w:t>完全民事行为能力的法人、自然人或其他组织</w:t>
      </w:r>
      <w:r>
        <w:rPr>
          <w:rFonts w:hint="eastAsia" w:ascii="仿宋" w:hAnsi="仿宋" w:eastAsia="仿宋" w:cs="仿宋"/>
          <w:color w:val="auto"/>
          <w:sz w:val="30"/>
          <w:szCs w:val="30"/>
        </w:rPr>
        <w:t>。</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2、拥有</w:t>
      </w:r>
      <w:r>
        <w:rPr>
          <w:rFonts w:hint="eastAsia" w:ascii="仿宋" w:hAnsi="仿宋" w:eastAsia="仿宋" w:cs="仿宋"/>
          <w:color w:val="auto"/>
          <w:sz w:val="30"/>
          <w:szCs w:val="30"/>
          <w:lang w:val="en-US" w:eastAsia="zh-CN"/>
        </w:rPr>
        <w:t>相应</w:t>
      </w:r>
      <w:r>
        <w:rPr>
          <w:rFonts w:hint="eastAsia" w:ascii="仿宋" w:hAnsi="仿宋" w:eastAsia="仿宋" w:cs="仿宋"/>
          <w:color w:val="auto"/>
          <w:sz w:val="30"/>
          <w:szCs w:val="30"/>
        </w:rPr>
        <w:t>的资金实力；具有房地产项目开发、运营管理的相关经验者优先。</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eastAsia="仿宋"/>
          <w:color w:val="auto"/>
          <w:lang w:val="en-US" w:eastAsia="zh-CN"/>
        </w:rPr>
      </w:pPr>
      <w:r>
        <w:rPr>
          <w:rFonts w:hint="eastAsia" w:ascii="仿宋" w:hAnsi="仿宋" w:eastAsia="仿宋" w:cs="仿宋"/>
          <w:color w:val="auto"/>
          <w:sz w:val="30"/>
          <w:szCs w:val="30"/>
        </w:rPr>
        <w:t>3、未</w:t>
      </w:r>
      <w:r>
        <w:rPr>
          <w:rFonts w:hint="eastAsia" w:ascii="仿宋" w:hAnsi="仿宋" w:eastAsia="仿宋" w:cs="仿宋"/>
          <w:color w:val="auto"/>
          <w:sz w:val="30"/>
          <w:szCs w:val="30"/>
          <w:lang w:val="en-US" w:eastAsia="zh-CN"/>
        </w:rPr>
        <w:t>被人民法院</w:t>
      </w:r>
      <w:r>
        <w:rPr>
          <w:rFonts w:hint="eastAsia" w:ascii="仿宋" w:hAnsi="仿宋" w:eastAsia="仿宋" w:cs="仿宋"/>
          <w:color w:val="auto"/>
          <w:sz w:val="30"/>
          <w:szCs w:val="30"/>
        </w:rPr>
        <w:t>列入失信</w:t>
      </w:r>
      <w:r>
        <w:rPr>
          <w:rFonts w:hint="eastAsia" w:ascii="仿宋" w:hAnsi="仿宋" w:eastAsia="仿宋" w:cs="仿宋"/>
          <w:color w:val="auto"/>
          <w:sz w:val="30"/>
          <w:szCs w:val="30"/>
          <w:lang w:val="en-US" w:eastAsia="zh-CN"/>
        </w:rPr>
        <w:t>被执行人名单</w:t>
      </w:r>
      <w:r>
        <w:rPr>
          <w:rFonts w:hint="eastAsia" w:ascii="仿宋" w:hAnsi="仿宋" w:eastAsia="仿宋" w:cs="仿宋"/>
          <w:color w:val="auto"/>
          <w:sz w:val="30"/>
          <w:szCs w:val="30"/>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四、破产财产变卖基本性条件</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color w:val="auto"/>
          <w:lang w:val="en-US" w:eastAsia="zh-CN"/>
        </w:rPr>
      </w:pPr>
      <w:r>
        <w:rPr>
          <w:rFonts w:hint="eastAsia" w:ascii="仿宋" w:hAnsi="仿宋" w:eastAsia="仿宋" w:cs="仿宋"/>
          <w:b w:val="0"/>
          <w:bCs w:val="0"/>
          <w:color w:val="auto"/>
          <w:sz w:val="30"/>
          <w:szCs w:val="30"/>
          <w:lang w:val="en-US" w:eastAsia="zh-CN"/>
        </w:rPr>
        <w:t>该基本性</w:t>
      </w:r>
      <w:r>
        <w:rPr>
          <w:rFonts w:hint="eastAsia" w:ascii="仿宋" w:hAnsi="仿宋" w:eastAsia="仿宋" w:cs="仿宋"/>
          <w:color w:val="auto"/>
          <w:sz w:val="30"/>
          <w:szCs w:val="30"/>
          <w:lang w:val="en-US" w:eastAsia="zh-CN"/>
        </w:rPr>
        <w:t>条件为</w:t>
      </w:r>
      <w:r>
        <w:rPr>
          <w:rFonts w:hint="eastAsia" w:ascii="仿宋" w:hAnsi="仿宋" w:eastAsia="仿宋" w:cs="仿宋"/>
          <w:b w:val="0"/>
          <w:bCs w:val="0"/>
          <w:color w:val="auto"/>
          <w:sz w:val="30"/>
          <w:szCs w:val="30"/>
          <w:lang w:val="en-US" w:eastAsia="zh-CN"/>
        </w:rPr>
        <w:t>破产财产在变卖环节</w:t>
      </w:r>
      <w:r>
        <w:rPr>
          <w:rFonts w:hint="eastAsia" w:ascii="仿宋" w:hAnsi="仿宋" w:eastAsia="仿宋" w:cs="仿宋"/>
          <w:color w:val="auto"/>
          <w:sz w:val="30"/>
          <w:szCs w:val="30"/>
          <w:lang w:val="en-US" w:eastAsia="zh-CN"/>
        </w:rPr>
        <w:t>的最低买受条件，且意向买受人应</w:t>
      </w:r>
      <w:r>
        <w:rPr>
          <w:rFonts w:hint="eastAsia" w:ascii="仿宋" w:hAnsi="仿宋" w:eastAsia="仿宋" w:cs="仿宋"/>
          <w:b w:val="0"/>
          <w:bCs w:val="0"/>
          <w:color w:val="auto"/>
          <w:sz w:val="30"/>
          <w:szCs w:val="30"/>
          <w:lang w:val="en-US" w:eastAsia="zh-CN"/>
        </w:rPr>
        <w:t>在其</w:t>
      </w:r>
      <w:r>
        <w:rPr>
          <w:rFonts w:hint="eastAsia" w:ascii="仿宋" w:hAnsi="仿宋" w:eastAsia="仿宋" w:cs="仿宋"/>
          <w:color w:val="auto"/>
          <w:sz w:val="30"/>
          <w:szCs w:val="30"/>
          <w:lang w:val="en-US" w:eastAsia="zh-CN"/>
        </w:rPr>
        <w:t>破产财产买受方案中明确、固定。低于此条件者其报名无效。</w:t>
      </w:r>
    </w:p>
    <w:p>
      <w:pPr>
        <w:keepNext w:val="0"/>
        <w:keepLines w:val="0"/>
        <w:pageBreakBefore w:val="0"/>
        <w:widowControl w:val="0"/>
        <w:kinsoku/>
        <w:wordWrap/>
        <w:overflowPunct/>
        <w:topLinePunct w:val="0"/>
        <w:autoSpaceDE/>
        <w:autoSpaceDN/>
        <w:bidi w:val="0"/>
        <w:adjustRightInd/>
        <w:snapToGrid/>
        <w:spacing w:line="240" w:lineRule="auto"/>
        <w:ind w:firstLine="602" w:firstLineChars="200"/>
        <w:textAlignment w:val="auto"/>
        <w:rPr>
          <w:rFonts w:hint="default"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（一）变卖总价及支付周期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破产财产变卖总价不低于2.8亿元(涉及诉讼或之前未纳入拍卖范围的属于破产财产的房产可根据变卖成交时的降价幅度最终相应增减变卖总价)。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变卖总价的支付周期不超过三年，其中第一年(自签订变卖协议之日起算)应支付不低于变卖总价的30%，第二年应支付不低于变卖总价的40%，第三年应支付不低于变卖总价的30%。</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2" w:firstLineChars="200"/>
        <w:textAlignment w:val="auto"/>
        <w:rPr>
          <w:rFonts w:hint="default"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（二）前期资金保障及支付</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w:t>
      </w:r>
      <w:r>
        <w:rPr>
          <w:rFonts w:hint="eastAsia" w:ascii="仿宋" w:hAnsi="仿宋" w:eastAsia="仿宋" w:cs="仿宋"/>
          <w:color w:val="auto"/>
          <w:sz w:val="30"/>
          <w:szCs w:val="30"/>
          <w:lang w:val="en-US" w:eastAsia="zh-CN"/>
        </w:rPr>
        <w:t>买受人必须有7000万元首期自有资金(即资金不能来源于向第三方的贷款、融资)，且资金来源应当合法、安全并接受验资。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该7000万元应按以下时间节点支付至黔西县法院或管理人账户：签订变卖协议前，意向买受人先行汇入2000万元保证金，最迟在水西古城一期五宗地范围内的剩余未征收房屋被征收拆除后应再支付4000万元，变卖资产过户或移交给买受人后三个月内买受人应再支付1000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以上7000万元资金中的5000万元作为买受人应支付的第一期变卖价款，在变卖财产过户或移交给买受人前一日管理人即可支配使用于支付职工债权、购房款优先债权、破产费用等案件相关支出，其余2000万元作为专款专用资金，在监管下用于水西古城项目续建涉及的有关资金。</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2" w:firstLineChars="200"/>
        <w:textAlignment w:val="auto"/>
        <w:rPr>
          <w:rFonts w:hint="default"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（三）项目后续监管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为保障债权人利益，在买受人付清变卖价款前，买受人用于开发水西古城项目的公司各项印章均应接受黔西法院组织的监管组的监管，防止买受人不具有投资实力而在付清变卖价款前利用水西古城项目有关资产对外担保、融资等可能会形成项目公司负债的行为，当然在监管组的监管下会保障项目公司除此以外的其他运行需求。</w:t>
      </w:r>
    </w:p>
    <w:p>
      <w:pPr>
        <w:pStyle w:val="2"/>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买受人在销售水西古城内有关房产时产生的收入，均应进入项目公司账户并接受监管组的监管，项目公司账户中的资金首先根据约定的付款进度用于支付变卖价款、根据监管组或其委托的专业机构的审定结果支付项目建设开发资金，在付清变卖价款前买受人不得提取任何款项</w:t>
      </w:r>
      <w:r>
        <w:rPr>
          <w:rFonts w:hint="eastAsia" w:ascii="仿宋" w:hAnsi="仿宋" w:eastAsia="仿宋" w:cs="仿宋"/>
          <w:color w:val="auto"/>
          <w:sz w:val="30"/>
          <w:szCs w:val="30"/>
          <w:lang w:val="en-US" w:eastAsia="zh-CN"/>
        </w:rPr>
        <w:t>用于本项目外或提取任何利润。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2" w:firstLineChars="200"/>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五、破产财产变卖竞争性条件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textAlignment w:val="auto"/>
        <w:rPr>
          <w:rFonts w:hint="default" w:ascii="仿宋" w:hAnsi="仿宋" w:eastAsia="仿宋" w:cs="仿宋"/>
          <w:b w:val="0"/>
          <w:bCs w:val="0"/>
          <w:color w:val="auto"/>
          <w:sz w:val="30"/>
          <w:szCs w:val="30"/>
          <w:lang w:val="en-US" w:eastAsia="zh-CN"/>
        </w:rPr>
      </w:pPr>
      <w:r>
        <w:rPr>
          <w:rFonts w:hint="eastAsia" w:ascii="仿宋" w:hAnsi="仿宋" w:eastAsia="仿宋" w:cs="仿宋"/>
          <w:b w:val="0"/>
          <w:bCs w:val="0"/>
          <w:color w:val="auto"/>
          <w:sz w:val="30"/>
          <w:szCs w:val="30"/>
          <w:lang w:val="en-US" w:eastAsia="zh-CN"/>
        </w:rPr>
        <w:t>该竞争性条件是由意向买受人根据其自身商业判断等可在其提交的破产财产买受方案中明确的有关条件，以提高其在变卖程序中的成交竞争力。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2"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（一）抵押权人利益保障</w:t>
      </w:r>
    </w:p>
    <w:p>
      <w:pPr>
        <w:pStyle w:val="2"/>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在国有土地使用权过户给买受人的同时，由各方积极配合，将过户后的国有土地使用权重新办理抵押给对应的抵押权人。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2" w:firstLineChars="200"/>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(二)更优的付款方式及周期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b w:val="0"/>
          <w:bCs w:val="0"/>
          <w:color w:val="auto"/>
          <w:sz w:val="30"/>
          <w:szCs w:val="30"/>
          <w:lang w:val="en-US" w:eastAsia="zh-CN"/>
        </w:rPr>
        <w:t>欢迎意向买受人可一次性付清变卖价款。若买受人选择分期付款，欢迎其提出更短的付款周期</w:t>
      </w:r>
      <w:r>
        <w:rPr>
          <w:rFonts w:hint="eastAsia" w:ascii="仿宋" w:hAnsi="仿宋" w:eastAsia="仿宋" w:cs="仿宋"/>
          <w:color w:val="auto"/>
          <w:sz w:val="30"/>
          <w:szCs w:val="30"/>
          <w:lang w:val="en-US" w:eastAsia="zh-CN"/>
        </w:rPr>
        <w:t>(具体付款时间及金额买受人仍必须明确)。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2" w:firstLineChars="200"/>
        <w:jc w:val="both"/>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（三）分期付款保障措施</w:t>
      </w:r>
    </w:p>
    <w:p>
      <w:pPr>
        <w:keepNext w:val="0"/>
        <w:keepLines w:val="0"/>
        <w:pageBreakBefore w:val="0"/>
        <w:widowControl w:val="0"/>
        <w:numPr>
          <w:ilvl w:val="0"/>
          <w:numId w:val="0"/>
        </w:numPr>
        <w:tabs>
          <w:tab w:val="left" w:pos="1276"/>
        </w:tabs>
        <w:kinsoku/>
        <w:wordWrap/>
        <w:overflowPunct/>
        <w:topLinePunct w:val="0"/>
        <w:autoSpaceDE/>
        <w:autoSpaceDN/>
        <w:bidi w:val="0"/>
        <w:adjustRightInd/>
        <w:snapToGrid/>
        <w:spacing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买受人必须提供担保，保证其能按时足额支付变卖价款，具体担保方式由买受人自行提出但应能办理有关法律手续并能充分保障债权人利益</w:t>
      </w:r>
      <w:r>
        <w:rPr>
          <w:rFonts w:hint="eastAsia" w:ascii="仿宋" w:hAnsi="仿宋" w:eastAsia="仿宋" w:cs="仿宋"/>
          <w:color w:val="auto"/>
          <w:sz w:val="30"/>
          <w:szCs w:val="30"/>
          <w:lang w:val="en-US" w:eastAsia="zh-CN"/>
        </w:rPr>
        <w:t>实现</w:t>
      </w:r>
      <w:r>
        <w:rPr>
          <w:rFonts w:hint="eastAsia" w:ascii="仿宋" w:hAnsi="仿宋" w:eastAsia="仿宋" w:cs="仿宋"/>
          <w:color w:val="auto"/>
          <w:sz w:val="30"/>
          <w:szCs w:val="30"/>
          <w:lang w:val="en-US" w:eastAsia="zh-CN"/>
        </w:rPr>
        <w:t>。</w:t>
      </w:r>
    </w:p>
    <w:p>
      <w:pPr>
        <w:keepNext w:val="0"/>
        <w:keepLines w:val="0"/>
        <w:pageBreakBefore w:val="0"/>
        <w:widowControl w:val="0"/>
        <w:numPr>
          <w:ilvl w:val="0"/>
          <w:numId w:val="0"/>
        </w:numPr>
        <w:tabs>
          <w:tab w:val="left" w:pos="1276"/>
        </w:tabs>
        <w:kinsoku/>
        <w:wordWrap/>
        <w:overflowPunct/>
        <w:topLinePunct w:val="0"/>
        <w:autoSpaceDE/>
        <w:autoSpaceDN/>
        <w:bidi w:val="0"/>
        <w:adjustRightInd/>
        <w:snapToGrid/>
        <w:spacing w:line="240" w:lineRule="auto"/>
        <w:ind w:firstLine="602" w:firstLineChars="200"/>
        <w:jc w:val="both"/>
        <w:textAlignment w:val="auto"/>
        <w:rPr>
          <w:rFonts w:hint="default"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（四）项目地块开发顺序</w:t>
      </w:r>
    </w:p>
    <w:p>
      <w:pPr>
        <w:keepNext w:val="0"/>
        <w:keepLines w:val="0"/>
        <w:pageBreakBefore w:val="0"/>
        <w:widowControl w:val="0"/>
        <w:numPr>
          <w:ilvl w:val="0"/>
          <w:numId w:val="0"/>
        </w:numPr>
        <w:tabs>
          <w:tab w:val="left" w:pos="1276"/>
        </w:tabs>
        <w:kinsoku/>
        <w:wordWrap/>
        <w:overflowPunct/>
        <w:topLinePunct w:val="0"/>
        <w:autoSpaceDE/>
        <w:autoSpaceDN/>
        <w:bidi w:val="0"/>
        <w:adjustRightInd/>
        <w:snapToGrid/>
        <w:spacing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变卖协议生效变卖资产移交给买受人后，买受人投入建设资金优先修复、续建已不同程度开发的水西古城项目四块地中涉及继续履行合同的有关楼栋，再修复、续建、建设四块地中的其他楼栋。在该四块地开发完后，买受人才能开发建设现属于空地的另一地块。</w:t>
      </w:r>
    </w:p>
    <w:p>
      <w:pPr>
        <w:pStyle w:val="2"/>
        <w:ind w:firstLine="602" w:firstLineChars="200"/>
        <w:rPr>
          <w:rFonts w:hint="default"/>
          <w:color w:val="auto"/>
          <w:lang w:val="en-US" w:eastAsia="zh-CN"/>
        </w:rPr>
      </w:pPr>
      <w:r>
        <w:rPr>
          <w:rFonts w:hint="eastAsia" w:ascii="仿宋" w:hAnsi="仿宋" w:eastAsia="仿宋" w:cs="仿宋"/>
          <w:b/>
          <w:bCs/>
          <w:color w:val="auto"/>
          <w:kern w:val="2"/>
          <w:sz w:val="30"/>
          <w:szCs w:val="30"/>
          <w:lang w:val="en-US" w:eastAsia="zh-CN" w:bidi="ar-SA"/>
        </w:rPr>
        <w:t>(五)意向买受人认为其具有竞争优势的其他条件。</w:t>
      </w:r>
    </w:p>
    <w:p>
      <w:pPr>
        <w:keepNext w:val="0"/>
        <w:keepLines w:val="0"/>
        <w:pageBreakBefore w:val="0"/>
        <w:widowControl w:val="0"/>
        <w:numPr>
          <w:ilvl w:val="0"/>
          <w:numId w:val="0"/>
        </w:numPr>
        <w:tabs>
          <w:tab w:val="left" w:pos="764"/>
        </w:tabs>
        <w:kinsoku/>
        <w:wordWrap/>
        <w:overflowPunct/>
        <w:topLinePunct w:val="0"/>
        <w:autoSpaceDE/>
        <w:autoSpaceDN/>
        <w:bidi w:val="0"/>
        <w:adjustRightInd/>
        <w:snapToGrid/>
        <w:spacing w:line="240" w:lineRule="auto"/>
        <w:jc w:val="both"/>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六、咨询、展示看样的时间与方式</w:t>
      </w:r>
    </w:p>
    <w:p>
      <w:pPr>
        <w:keepNext w:val="0"/>
        <w:keepLines w:val="0"/>
        <w:pageBreakBefore w:val="0"/>
        <w:widowControl w:val="0"/>
        <w:numPr>
          <w:ilvl w:val="0"/>
          <w:numId w:val="0"/>
        </w:numPr>
        <w:tabs>
          <w:tab w:val="left" w:pos="764"/>
        </w:tabs>
        <w:kinsoku/>
        <w:wordWrap/>
        <w:overflowPunct/>
        <w:topLinePunct w:val="0"/>
        <w:autoSpaceDE/>
        <w:autoSpaceDN/>
        <w:bidi w:val="0"/>
        <w:adjustRightInd/>
        <w:snapToGrid/>
        <w:spacing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公告期间(节假日及休息时间除外)接受咨询，有意者可自行前往看样，或请与管理人蒋律师（电话：15685310859）、郭律师（电话：13765169004）联系看样。拍卖标的以现状为准，管理人不承担变卖标的瑕疵担保责任。有意者请亲自实地看样，未看样的买受人视为对本标的现状的确认，责任自负。</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七、变卖买受人招募流程</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2" w:firstLineChars="200"/>
        <w:jc w:val="both"/>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（一）报名阶段：</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1、报名材料</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（1）破产财产买受方案(必须明确前述基本性条件或提出高于该基本性条件的其他更优条件，可以根据自身决策明确有关竞争性条件)；</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（2）企业法人或其他组织应提供</w:t>
      </w:r>
      <w:r>
        <w:rPr>
          <w:rFonts w:hint="eastAsia" w:ascii="仿宋" w:hAnsi="仿宋" w:eastAsia="仿宋" w:cs="仿宋"/>
          <w:color w:val="auto"/>
          <w:sz w:val="30"/>
          <w:szCs w:val="30"/>
          <w:lang w:val="en-US" w:eastAsia="zh-CN"/>
        </w:rPr>
        <w:t>经原件核对后的</w:t>
      </w:r>
      <w:r>
        <w:rPr>
          <w:rFonts w:hint="eastAsia" w:ascii="仿宋" w:hAnsi="仿宋" w:eastAsia="仿宋" w:cs="仿宋"/>
          <w:color w:val="auto"/>
          <w:sz w:val="30"/>
          <w:szCs w:val="30"/>
          <w:lang w:val="en-US" w:eastAsia="zh-CN"/>
        </w:rPr>
        <w:t>营业执照复印件、法定代表人身份证明书原件、授权委托书原件；</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（3）涉及前述资格条件的有关证明资料；</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（4）前述基本性条件或竞争性条件中应由意向买受人提供的证明等相关资料；</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（5）管理人要求提交的其它相关材料。</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两个或两个以上主体联合意向买受的，除破产财产买受方案外，各联合体均须按以上要求提交材料。</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2" w:firstLineChars="200"/>
        <w:jc w:val="both"/>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（二）报名时间、地点、联系人</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向管理人报名截止时间：2020年2月10日18时。逾期报名者视为不具有成为买受人的资格。</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 xml:space="preserve">报名地点：贵州省黔西县城关镇杜鹃大道水西古城城门楼四楼管理人办公室 </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联系人：蒋律师15685310859，郭律师13765169004。</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2" w:firstLineChars="200"/>
        <w:jc w:val="both"/>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（三）资格及基本性条件审查阶段</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报名日期截止后，在黔西县法院的指导监督下，管理人将从提交报名资料的意向买受人中筛选出资格合格、完全响应基本性条件的意向买受人入围评选。</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2" w:firstLineChars="200"/>
        <w:jc w:val="both"/>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（四）评选阶段</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资格及基本性条件审查结束后，管理人适时将入围的意向买受人的破产财产买受方案提交评选委员会评选。评选委员会由中友公司、友联公司合并破产债权人委员会组成，评选工作在黔西县法院的指导监督下依照债权人委员会议事规则进行。经评选委员会选出的意向买受人有权进入下一阶段变卖程序。</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120" w:line="240" w:lineRule="auto"/>
        <w:ind w:firstLine="602" w:firstLineChars="200"/>
        <w:jc w:val="both"/>
        <w:textAlignment w:val="auto"/>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（五）确定最终投资人</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eastAsia" w:ascii="仿宋" w:hAnsi="仿宋" w:eastAsia="仿宋" w:cs="仿宋"/>
          <w:color w:val="auto"/>
          <w:kern w:val="2"/>
          <w:sz w:val="30"/>
          <w:szCs w:val="30"/>
          <w:lang w:val="en-US" w:eastAsia="zh-CN" w:bidi="ar-SA"/>
        </w:rPr>
      </w:pPr>
      <w:r>
        <w:rPr>
          <w:rFonts w:hint="eastAsia" w:ascii="仿宋" w:hAnsi="仿宋" w:eastAsia="仿宋" w:cs="仿宋"/>
          <w:color w:val="auto"/>
          <w:kern w:val="2"/>
          <w:sz w:val="30"/>
          <w:szCs w:val="30"/>
          <w:lang w:val="en-US" w:eastAsia="zh-CN" w:bidi="ar-SA"/>
        </w:rPr>
        <w:t>根据经评选委员会</w:t>
      </w:r>
      <w:r>
        <w:rPr>
          <w:rFonts w:hint="eastAsia" w:ascii="仿宋" w:hAnsi="仿宋" w:eastAsia="仿宋" w:cs="仿宋"/>
          <w:color w:val="auto"/>
          <w:sz w:val="30"/>
          <w:szCs w:val="30"/>
          <w:lang w:val="en-US" w:eastAsia="zh-CN"/>
        </w:rPr>
        <w:t>选出的意向买受人</w:t>
      </w:r>
      <w:r>
        <w:rPr>
          <w:rFonts w:hint="eastAsia" w:ascii="仿宋" w:hAnsi="仿宋" w:eastAsia="仿宋" w:cs="仿宋"/>
          <w:color w:val="auto"/>
          <w:kern w:val="2"/>
          <w:sz w:val="30"/>
          <w:szCs w:val="30"/>
          <w:lang w:val="en-US" w:eastAsia="zh-CN" w:bidi="ar-SA"/>
        </w:rPr>
        <w:t>提供的</w:t>
      </w:r>
      <w:r>
        <w:rPr>
          <w:rFonts w:hint="eastAsia" w:ascii="仿宋" w:hAnsi="仿宋" w:eastAsia="仿宋" w:cs="仿宋"/>
          <w:color w:val="auto"/>
          <w:sz w:val="30"/>
          <w:szCs w:val="30"/>
          <w:lang w:val="en-US" w:eastAsia="zh-CN"/>
        </w:rPr>
        <w:t>破产财产买受方案的有关内容等形成变卖协议，</w:t>
      </w:r>
      <w:r>
        <w:rPr>
          <w:rFonts w:hint="eastAsia" w:ascii="仿宋" w:hAnsi="仿宋" w:eastAsia="仿宋" w:cs="仿宋"/>
          <w:color w:val="auto"/>
          <w:kern w:val="2"/>
          <w:sz w:val="30"/>
          <w:szCs w:val="30"/>
          <w:lang w:val="en-US" w:eastAsia="zh-CN" w:bidi="ar-SA"/>
        </w:rPr>
        <w:t>依法提请本案的债权人会议依照债权人会议表决规则进行表决，表决通过的，或者债务人会议表决未通过经管理人提请黔西县法院裁定认可的，则该意向买受人确定为破产财产买</w:t>
      </w:r>
      <w:bookmarkStart w:id="0" w:name="_GoBack"/>
      <w:bookmarkEnd w:id="0"/>
      <w:r>
        <w:rPr>
          <w:rFonts w:hint="eastAsia" w:ascii="仿宋" w:hAnsi="仿宋" w:eastAsia="仿宋" w:cs="仿宋"/>
          <w:color w:val="auto"/>
          <w:kern w:val="2"/>
          <w:sz w:val="30"/>
          <w:szCs w:val="30"/>
          <w:lang w:val="en-US" w:eastAsia="zh-CN" w:bidi="ar-SA"/>
        </w:rPr>
        <w:t>受人，会议决议或裁定书及变卖协议对有关各方具有法律约束力。</w:t>
      </w:r>
    </w:p>
    <w:p>
      <w:pPr>
        <w:pStyle w:val="2"/>
        <w:rPr>
          <w:rFonts w:hint="default"/>
          <w:color w:val="auto"/>
          <w:lang w:val="en-US" w:eastAsia="zh-CN"/>
        </w:rPr>
      </w:pPr>
      <w:r>
        <w:rPr>
          <w:rFonts w:hint="eastAsia" w:ascii="仿宋" w:hAnsi="仿宋" w:eastAsia="仿宋" w:cs="仿宋"/>
          <w:b/>
          <w:bCs/>
          <w:color w:val="auto"/>
          <w:sz w:val="30"/>
          <w:szCs w:val="30"/>
          <w:lang w:val="en-US" w:eastAsia="zh-CN"/>
        </w:rPr>
        <w:t>八、其他说明</w:t>
      </w:r>
    </w:p>
    <w:p>
      <w:pPr>
        <w:keepNext w:val="0"/>
        <w:keepLines w:val="0"/>
        <w:pageBreakBefore w:val="0"/>
        <w:widowControl w:val="0"/>
        <w:kinsoku/>
        <w:wordWrap/>
        <w:overflowPunct/>
        <w:topLinePunct w:val="0"/>
        <w:autoSpaceDE/>
        <w:autoSpaceDN/>
        <w:bidi w:val="0"/>
        <w:adjustRightInd/>
        <w:snapToGrid/>
        <w:spacing w:line="240" w:lineRule="auto"/>
        <w:ind w:firstLine="600" w:firstLineChars="200"/>
        <w:textAlignment w:val="auto"/>
        <w:rPr>
          <w:rFonts w:hint="default" w:ascii="仿宋" w:hAnsi="仿宋" w:eastAsia="仿宋" w:cs="仿宋"/>
          <w:color w:val="auto"/>
          <w:kern w:val="2"/>
          <w:sz w:val="30"/>
          <w:szCs w:val="30"/>
          <w:lang w:val="en-US" w:eastAsia="zh-CN" w:bidi="ar-SA"/>
        </w:rPr>
      </w:pPr>
      <w:r>
        <w:rPr>
          <w:rFonts w:hint="eastAsia" w:ascii="仿宋" w:hAnsi="仿宋" w:eastAsia="仿宋" w:cs="仿宋"/>
          <w:color w:val="auto"/>
          <w:kern w:val="2"/>
          <w:sz w:val="30"/>
          <w:szCs w:val="30"/>
          <w:lang w:val="en-US" w:eastAsia="zh-CN" w:bidi="ar-SA"/>
        </w:rPr>
        <w:t>1、就破产资产后续开发建设销售等，意向买受人需请求黔西县政府给予有关税收优惠、容积率调整等的，意向买受人应在其</w:t>
      </w:r>
      <w:r>
        <w:rPr>
          <w:rFonts w:hint="eastAsia" w:ascii="仿宋" w:hAnsi="仿宋" w:eastAsia="仿宋" w:cs="仿宋"/>
          <w:color w:val="auto"/>
          <w:sz w:val="30"/>
          <w:szCs w:val="30"/>
          <w:lang w:val="en-US" w:eastAsia="zh-CN"/>
        </w:rPr>
        <w:t>破产财产买受方案明确具体请求，管理人报请黔西县法院协调黔西县政府依法依规依程序处理。</w:t>
      </w:r>
    </w:p>
    <w:p>
      <w:pPr>
        <w:pStyle w:val="2"/>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kern w:val="2"/>
          <w:sz w:val="30"/>
          <w:szCs w:val="30"/>
          <w:lang w:val="en-US" w:eastAsia="zh-CN" w:bidi="ar-SA"/>
        </w:rPr>
        <w:t>2、</w:t>
      </w:r>
      <w:r>
        <w:rPr>
          <w:rFonts w:hint="eastAsia" w:ascii="仿宋" w:hAnsi="仿宋" w:eastAsia="仿宋" w:cs="仿宋"/>
          <w:color w:val="auto"/>
          <w:sz w:val="30"/>
          <w:szCs w:val="30"/>
          <w:lang w:val="en-US" w:eastAsia="zh-CN"/>
        </w:rPr>
        <w:t>签订变卖协议后，若意向买受人不愿再以意向买受人身份继续参与本次变卖程序的，其无权要求管理人退还其已汇入的2000万元保证金。</w:t>
      </w:r>
    </w:p>
    <w:p>
      <w:pPr>
        <w:pStyle w:val="2"/>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本</w:t>
      </w:r>
      <w:r>
        <w:rPr>
          <w:rFonts w:hint="eastAsia" w:ascii="仿宋" w:hAnsi="仿宋" w:eastAsia="仿宋" w:cs="仿宋"/>
          <w:color w:val="auto"/>
          <w:sz w:val="30"/>
          <w:szCs w:val="30"/>
          <w:lang w:val="en-US" w:eastAsia="zh-CN"/>
        </w:rPr>
        <w:t>公告</w:t>
      </w:r>
      <w:r>
        <w:rPr>
          <w:rFonts w:hint="eastAsia" w:ascii="仿宋" w:hAnsi="仿宋" w:eastAsia="仿宋" w:cs="仿宋"/>
          <w:color w:val="auto"/>
          <w:sz w:val="30"/>
          <w:szCs w:val="30"/>
        </w:rPr>
        <w:t>未尽事宜，请向管理人咨询</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本公告的相关解释归管理人所有。</w:t>
      </w:r>
    </w:p>
    <w:p>
      <w:pPr>
        <w:pStyle w:val="2"/>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仿宋" w:hAnsi="仿宋" w:eastAsia="仿宋" w:cs="仿宋"/>
          <w:color w:val="auto"/>
          <w:kern w:val="2"/>
          <w:sz w:val="30"/>
          <w:szCs w:val="30"/>
          <w:lang w:val="en-US" w:eastAsia="zh-CN" w:bidi="ar-SA"/>
        </w:rPr>
      </w:pPr>
      <w:r>
        <w:rPr>
          <w:rFonts w:hint="eastAsia" w:ascii="仿宋" w:hAnsi="仿宋" w:eastAsia="仿宋" w:cs="仿宋"/>
          <w:color w:val="auto"/>
          <w:sz w:val="30"/>
          <w:szCs w:val="30"/>
          <w:lang w:val="en-US" w:eastAsia="zh-CN"/>
        </w:rPr>
        <w:t>变卖事宜</w:t>
      </w:r>
      <w:r>
        <w:rPr>
          <w:rFonts w:hint="eastAsia" w:ascii="仿宋" w:hAnsi="仿宋" w:eastAsia="仿宋" w:cs="仿宋"/>
          <w:color w:val="auto"/>
          <w:sz w:val="30"/>
          <w:szCs w:val="30"/>
        </w:rPr>
        <w:t>咨询电话：</w:t>
      </w:r>
      <w:r>
        <w:rPr>
          <w:rFonts w:hint="eastAsia" w:ascii="仿宋" w:hAnsi="仿宋" w:eastAsia="仿宋" w:cs="仿宋"/>
          <w:color w:val="auto"/>
          <w:sz w:val="30"/>
          <w:szCs w:val="30"/>
          <w:lang w:val="en-US" w:eastAsia="zh-CN"/>
        </w:rPr>
        <w:t>郭律师13765169004，蒋律师15685310859</w:t>
      </w:r>
    </w:p>
    <w:p>
      <w:pPr>
        <w:pStyle w:val="2"/>
        <w:jc w:val="right"/>
        <w:rPr>
          <w:rFonts w:hint="eastAsia" w:ascii="仿宋" w:hAnsi="仿宋" w:eastAsia="仿宋" w:cs="仿宋"/>
          <w:color w:val="auto"/>
          <w:kern w:val="2"/>
          <w:sz w:val="30"/>
          <w:szCs w:val="30"/>
          <w:lang w:val="en-US" w:eastAsia="zh-CN" w:bidi="ar-SA"/>
        </w:rPr>
      </w:pPr>
      <w:r>
        <w:rPr>
          <w:rFonts w:hint="eastAsia" w:ascii="仿宋" w:hAnsi="仿宋" w:eastAsia="仿宋" w:cs="仿宋"/>
          <w:color w:val="auto"/>
          <w:kern w:val="2"/>
          <w:sz w:val="30"/>
          <w:szCs w:val="30"/>
          <w:lang w:val="en-US" w:eastAsia="zh-CN" w:bidi="ar-SA"/>
        </w:rPr>
        <w:t>黔西县中友房地产开发有限责任公司管理人</w:t>
      </w:r>
    </w:p>
    <w:p>
      <w:pPr>
        <w:pStyle w:val="2"/>
        <w:jc w:val="right"/>
        <w:rPr>
          <w:rFonts w:hint="default" w:ascii="仿宋" w:hAnsi="仿宋" w:eastAsia="仿宋" w:cs="仿宋"/>
          <w:color w:val="auto"/>
          <w:kern w:val="2"/>
          <w:sz w:val="30"/>
          <w:szCs w:val="30"/>
          <w:lang w:val="en-US" w:eastAsia="zh-CN" w:bidi="ar-SA"/>
        </w:rPr>
      </w:pPr>
      <w:r>
        <w:rPr>
          <w:rFonts w:hint="eastAsia" w:ascii="仿宋" w:hAnsi="仿宋" w:eastAsia="仿宋" w:cs="仿宋"/>
          <w:color w:val="auto"/>
          <w:kern w:val="2"/>
          <w:sz w:val="30"/>
          <w:szCs w:val="30"/>
          <w:lang w:val="en-US" w:eastAsia="zh-CN" w:bidi="ar-SA"/>
        </w:rPr>
        <w:t>二零二零年一月二十日</w:t>
      </w:r>
    </w:p>
    <w:p>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color w:val="auto"/>
          <w:sz w:val="30"/>
          <w:szCs w:val="30"/>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FA42F"/>
    <w:multiLevelType w:val="singleLevel"/>
    <w:tmpl w:val="3A9FA42F"/>
    <w:lvl w:ilvl="0" w:tentative="0">
      <w:start w:val="1"/>
      <w:numFmt w:val="decimal"/>
      <w:suff w:val="nothing"/>
      <w:lvlText w:val="%1、"/>
      <w:lvlJc w:val="left"/>
      <w:pPr>
        <w:ind w:left="56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040AA"/>
    <w:rsid w:val="058878A3"/>
    <w:rsid w:val="095E4051"/>
    <w:rsid w:val="0E12041D"/>
    <w:rsid w:val="1B296EEB"/>
    <w:rsid w:val="1D1E21B8"/>
    <w:rsid w:val="1F554969"/>
    <w:rsid w:val="20867E35"/>
    <w:rsid w:val="249A2C0E"/>
    <w:rsid w:val="2648668C"/>
    <w:rsid w:val="268B5D41"/>
    <w:rsid w:val="29EB3AC1"/>
    <w:rsid w:val="2BA80AB1"/>
    <w:rsid w:val="34752267"/>
    <w:rsid w:val="39641197"/>
    <w:rsid w:val="400973DD"/>
    <w:rsid w:val="42611D90"/>
    <w:rsid w:val="45FB2FC1"/>
    <w:rsid w:val="4F3809BD"/>
    <w:rsid w:val="5C090C60"/>
    <w:rsid w:val="628F5E7A"/>
    <w:rsid w:val="6A5242B8"/>
    <w:rsid w:val="6B7245E0"/>
    <w:rsid w:val="717F4FAB"/>
    <w:rsid w:val="72EB1B3F"/>
    <w:rsid w:val="74DF6EFD"/>
    <w:rsid w:val="7BA968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9"/>
    <w:pPr>
      <w:keepNext/>
      <w:keepLines/>
      <w:spacing w:before="260" w:after="260" w:line="413" w:lineRule="auto"/>
      <w:outlineLvl w:val="1"/>
    </w:pPr>
    <w:rPr>
      <w:rFonts w:ascii="Arial" w:hAnsi="Arial" w:eastAsia="黑体"/>
      <w:b/>
      <w:sz w:val="32"/>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jdj0859</dc:creator>
  <cp:lastModifiedBy>applelm</cp:lastModifiedBy>
  <dcterms:modified xsi:type="dcterms:W3CDTF">2020-01-20T01:47:17Z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