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1" w:name="_GoBack"/>
      <w:bookmarkEnd w:id="1"/>
    </w:p>
    <w:p/>
    <w:p>
      <w:pPr>
        <w:spacing w:line="520" w:lineRule="exact"/>
        <w:jc w:val="center"/>
        <w:rPr>
          <w:bCs/>
          <w:sz w:val="44"/>
          <w:szCs w:val="44"/>
        </w:rPr>
      </w:pPr>
      <w:r>
        <w:rPr>
          <w:rFonts w:hint="eastAsia"/>
          <w:bCs/>
          <w:sz w:val="44"/>
          <w:szCs w:val="44"/>
        </w:rPr>
        <w:t>关于</w:t>
      </w:r>
      <w:r>
        <w:rPr>
          <w:bCs/>
          <w:sz w:val="44"/>
          <w:szCs w:val="44"/>
        </w:rPr>
        <w:t>重庆</w:t>
      </w:r>
      <w:r>
        <w:rPr>
          <w:rFonts w:hint="eastAsia"/>
          <w:bCs/>
          <w:sz w:val="44"/>
          <w:szCs w:val="44"/>
        </w:rPr>
        <w:t>光大星光城建开发</w:t>
      </w:r>
      <w:r>
        <w:rPr>
          <w:bCs/>
          <w:sz w:val="44"/>
          <w:szCs w:val="44"/>
        </w:rPr>
        <w:t>有限公司</w:t>
      </w:r>
    </w:p>
    <w:p>
      <w:pPr>
        <w:spacing w:line="520" w:lineRule="exact"/>
        <w:jc w:val="center"/>
        <w:rPr>
          <w:bCs/>
          <w:sz w:val="44"/>
          <w:szCs w:val="44"/>
        </w:rPr>
      </w:pPr>
      <w:r>
        <w:rPr>
          <w:rFonts w:hint="eastAsia"/>
          <w:bCs/>
          <w:sz w:val="44"/>
          <w:szCs w:val="44"/>
        </w:rPr>
        <w:t>财产状况的报告</w:t>
      </w:r>
    </w:p>
    <w:p>
      <w:pPr>
        <w:spacing w:before="312" w:beforeLines="100" w:after="312" w:afterLines="100" w:line="520" w:lineRule="exact"/>
        <w:ind w:firstLine="480"/>
        <w:jc w:val="right"/>
        <w:rPr>
          <w:rFonts w:ascii="宋体" w:hAnsi="宋体"/>
          <w:sz w:val="24"/>
        </w:rPr>
      </w:pPr>
      <w:r>
        <w:rPr>
          <w:rFonts w:hint="eastAsia" w:ascii="宋体" w:hAnsi="宋体"/>
          <w:sz w:val="24"/>
        </w:rPr>
        <w:t>　                                （2020）光大星光破管字第0005号</w:t>
      </w:r>
    </w:p>
    <w:p>
      <w:pPr>
        <w:spacing w:before="312" w:beforeLines="100" w:after="312" w:afterLines="100" w:line="520" w:lineRule="exact"/>
        <w:rPr>
          <w:rFonts w:ascii="宋体" w:hAnsi="宋体" w:cs="宋体"/>
          <w:sz w:val="28"/>
          <w:szCs w:val="28"/>
        </w:rPr>
      </w:pPr>
      <w:r>
        <w:rPr>
          <w:rFonts w:hint="eastAsia" w:ascii="宋体" w:hAnsi="宋体" w:cs="宋体"/>
          <w:sz w:val="28"/>
          <w:szCs w:val="28"/>
        </w:rPr>
        <w:t>重庆光大星光城建开发有限公司债权人会议：</w:t>
      </w:r>
    </w:p>
    <w:p>
      <w:pPr>
        <w:spacing w:line="520" w:lineRule="exact"/>
        <w:ind w:firstLine="480"/>
        <w:rPr>
          <w:rFonts w:ascii="宋体" w:hAnsi="宋体" w:cs="宋体"/>
          <w:sz w:val="28"/>
          <w:szCs w:val="28"/>
        </w:rPr>
      </w:pPr>
      <w:r>
        <w:rPr>
          <w:rFonts w:hint="eastAsia" w:ascii="宋体" w:hAnsi="宋体" w:cs="宋体"/>
          <w:sz w:val="28"/>
          <w:szCs w:val="28"/>
        </w:rPr>
        <w:t>重庆市轩烽建筑劳务有限公司（以下简称轩烽建筑劳务公司）以重庆光大星光城建开发有限公司（以下简称光大星光城建公司或债务人）不能清偿到期债务为由，向重庆市第五中级人民法院申请对光大星光城建公司进行破产清算。</w:t>
      </w:r>
    </w:p>
    <w:p>
      <w:pPr>
        <w:spacing w:line="520" w:lineRule="exact"/>
        <w:ind w:firstLine="480"/>
        <w:rPr>
          <w:rFonts w:ascii="宋体" w:hAnsi="宋体" w:cs="宋体"/>
          <w:sz w:val="28"/>
          <w:szCs w:val="28"/>
        </w:rPr>
      </w:pPr>
      <w:r>
        <w:rPr>
          <w:rFonts w:hint="eastAsia" w:ascii="宋体" w:hAnsi="宋体" w:cs="宋体"/>
          <w:sz w:val="28"/>
          <w:szCs w:val="28"/>
        </w:rPr>
        <w:t>重庆市第五中级人民法院于2019年12月9日作出（2019）渝05破申68号民事裁定书，裁定受理轩烽建筑劳务公司对光大星光城建公司的破产清算申请，并交由重庆市九龙坡区人民法院审理。重庆市九龙坡区人民法院于2020年1月19日作出（2019）渝0107破45号决定书，指定重庆学苑律师事务所担任光大星光城建公司的管理人（以下简称管理人）。</w:t>
      </w:r>
    </w:p>
    <w:p>
      <w:pPr>
        <w:spacing w:line="520" w:lineRule="exact"/>
        <w:ind w:firstLine="480"/>
        <w:rPr>
          <w:rFonts w:ascii="宋体" w:hAnsi="宋体" w:cs="宋体"/>
          <w:sz w:val="28"/>
          <w:szCs w:val="28"/>
        </w:rPr>
      </w:pPr>
      <w:r>
        <w:rPr>
          <w:rFonts w:hint="eastAsia" w:ascii="宋体" w:hAnsi="宋体" w:cs="宋体"/>
          <w:sz w:val="28"/>
          <w:szCs w:val="28"/>
        </w:rPr>
        <w:t>管理人接受指定后，按照《中华人民共和国企业破产法》之规定，对债务人的财产状况进行了调査，现报告如下：</w:t>
      </w:r>
    </w:p>
    <w:p>
      <w:pPr>
        <w:spacing w:line="520" w:lineRule="exact"/>
        <w:rPr>
          <w:rFonts w:ascii="宋体" w:hAnsi="宋体" w:cs="宋体"/>
          <w:bCs/>
          <w:sz w:val="28"/>
          <w:szCs w:val="28"/>
        </w:rPr>
      </w:pPr>
      <w:r>
        <w:rPr>
          <w:rFonts w:hint="eastAsia" w:ascii="宋体" w:hAnsi="宋体" w:cs="宋体"/>
          <w:bCs/>
          <w:sz w:val="28"/>
          <w:szCs w:val="28"/>
        </w:rPr>
        <w:t>　　一、债务人的基本情况</w:t>
      </w:r>
    </w:p>
    <w:p>
      <w:pPr>
        <w:spacing w:line="520" w:lineRule="exact"/>
        <w:ind w:firstLine="480"/>
        <w:rPr>
          <w:rFonts w:ascii="宋体" w:hAnsi="宋体" w:cs="宋体"/>
          <w:sz w:val="28"/>
          <w:szCs w:val="28"/>
        </w:rPr>
      </w:pPr>
      <w:r>
        <w:rPr>
          <w:rFonts w:hint="eastAsia" w:ascii="宋体" w:hAnsi="宋体" w:cs="宋体"/>
          <w:sz w:val="28"/>
          <w:szCs w:val="28"/>
        </w:rPr>
        <w:t>据债务人工商档案资料显示：债务人设立于2015年2月10日，住所地</w:t>
      </w:r>
      <w:r>
        <w:rPr>
          <w:rFonts w:hint="eastAsia" w:ascii="宋体" w:hAnsi="宋体" w:cs="宋体"/>
          <w:kern w:val="0"/>
          <w:sz w:val="28"/>
          <w:szCs w:val="28"/>
        </w:rPr>
        <w:t>重庆市九龙坡区石新路2号5幢27-1</w:t>
      </w:r>
      <w:r>
        <w:rPr>
          <w:rFonts w:hint="eastAsia" w:ascii="宋体" w:hAnsi="宋体" w:cs="宋体"/>
          <w:sz w:val="28"/>
          <w:szCs w:val="28"/>
        </w:rPr>
        <w:t>，法定代表人刘正平，注册资本50000万元。</w:t>
      </w:r>
    </w:p>
    <w:p>
      <w:pPr>
        <w:spacing w:line="520" w:lineRule="exact"/>
        <w:ind w:firstLine="480"/>
        <w:rPr>
          <w:rFonts w:ascii="宋体" w:hAnsi="宋体" w:cs="宋体"/>
          <w:sz w:val="28"/>
          <w:szCs w:val="28"/>
        </w:rPr>
      </w:pPr>
      <w:r>
        <w:rPr>
          <w:rFonts w:hint="eastAsia" w:ascii="宋体" w:hAnsi="宋体" w:cs="宋体"/>
          <w:sz w:val="28"/>
          <w:szCs w:val="28"/>
        </w:rPr>
        <w:t>经营范围：从事建筑相关业务（凭资质证书执业），销售建筑装饰材料（不含危险化学品）、金属材料、机械设备。（依法须经批准的项目,经相关部门批准后方可开展经营活动）。</w:t>
      </w:r>
    </w:p>
    <w:p>
      <w:pPr>
        <w:spacing w:line="520" w:lineRule="exact"/>
        <w:ind w:firstLine="480"/>
        <w:rPr>
          <w:rFonts w:ascii="宋体" w:hAnsi="宋体" w:cs="宋体"/>
          <w:sz w:val="28"/>
          <w:szCs w:val="28"/>
        </w:rPr>
      </w:pPr>
      <w:r>
        <w:rPr>
          <w:rFonts w:hint="eastAsia" w:ascii="宋体" w:hAnsi="宋体" w:cs="宋体"/>
          <w:sz w:val="28"/>
          <w:szCs w:val="28"/>
        </w:rPr>
        <w:t>2018年5月24日，重庆市九龙坡区市场监督管理局高新区局作出渝高工商企吊字（2018）第004706号决定书，决定吊销债务人营业执照。</w:t>
      </w:r>
      <w:bookmarkStart w:id="0" w:name="_Hlk34645441"/>
      <w:r>
        <w:rPr>
          <w:rFonts w:hint="eastAsia" w:ascii="宋体" w:hAnsi="宋体" w:cs="宋体"/>
          <w:sz w:val="28"/>
          <w:szCs w:val="28"/>
        </w:rPr>
        <w:t>吊销原因为连续6个月以上未开展经营活动。</w:t>
      </w:r>
      <w:bookmarkEnd w:id="0"/>
      <w:r>
        <w:rPr>
          <w:rFonts w:hint="eastAsia" w:ascii="宋体" w:hAnsi="宋体" w:cs="宋体"/>
          <w:sz w:val="28"/>
          <w:szCs w:val="28"/>
        </w:rPr>
        <w:t>债务人现处于吊销未注销状态。</w:t>
      </w:r>
    </w:p>
    <w:p>
      <w:pPr>
        <w:spacing w:line="520" w:lineRule="exact"/>
        <w:ind w:firstLine="480"/>
        <w:rPr>
          <w:rFonts w:ascii="宋体" w:hAnsi="宋体" w:cs="宋体"/>
          <w:bCs/>
          <w:sz w:val="28"/>
          <w:szCs w:val="28"/>
        </w:rPr>
      </w:pPr>
      <w:r>
        <w:rPr>
          <w:rFonts w:hint="eastAsia" w:ascii="宋体" w:hAnsi="宋体" w:cs="宋体"/>
          <w:bCs/>
          <w:sz w:val="28"/>
          <w:szCs w:val="28"/>
        </w:rPr>
        <w:t>二、债务人的资产及相关情况</w:t>
      </w:r>
    </w:p>
    <w:p>
      <w:pPr>
        <w:spacing w:line="520" w:lineRule="exact"/>
        <w:ind w:firstLine="480"/>
        <w:rPr>
          <w:rFonts w:ascii="宋体" w:hAnsi="宋体" w:cs="宋体"/>
          <w:sz w:val="28"/>
          <w:szCs w:val="28"/>
        </w:rPr>
      </w:pPr>
      <w:r>
        <w:rPr>
          <w:rFonts w:hint="eastAsia" w:ascii="宋体" w:hAnsi="宋体" w:cs="宋体"/>
          <w:sz w:val="28"/>
          <w:szCs w:val="28"/>
        </w:rPr>
        <w:t>管理人在法院的指导、协助下，数次前往包括重庆市九龙坡区不动产登记中心、重庆市国土资源和房屋管理局、重庆市工商行政管理局九龙坡区分局、重庆市公安局车辆管理局在内的政府部门及有关部门调查债务人的土地、房产、车辆、股权、等重大资产，核实债务人财产的权属关系、现实状况及存在的法律瑕疵。接管或调查的财产、印章和账簿、文书等资料为：</w:t>
      </w:r>
    </w:p>
    <w:p>
      <w:pPr>
        <w:spacing w:line="520" w:lineRule="exact"/>
        <w:ind w:firstLine="480"/>
        <w:rPr>
          <w:rFonts w:ascii="宋体" w:hAnsi="宋体" w:cs="宋体"/>
          <w:bCs/>
          <w:sz w:val="28"/>
          <w:szCs w:val="28"/>
        </w:rPr>
      </w:pPr>
      <w:r>
        <w:rPr>
          <w:rFonts w:hint="eastAsia" w:ascii="宋体" w:hAnsi="宋体" w:cs="宋体"/>
          <w:bCs/>
          <w:sz w:val="28"/>
          <w:szCs w:val="28"/>
        </w:rPr>
        <w:t>1.印章、账簿、文书情况</w:t>
      </w:r>
    </w:p>
    <w:p>
      <w:pPr>
        <w:spacing w:line="520" w:lineRule="exact"/>
        <w:ind w:firstLine="480"/>
        <w:rPr>
          <w:rFonts w:ascii="宋体" w:hAnsi="宋体" w:cs="宋体"/>
          <w:bCs/>
          <w:sz w:val="28"/>
          <w:szCs w:val="28"/>
        </w:rPr>
      </w:pPr>
      <w:r>
        <w:rPr>
          <w:rFonts w:hint="eastAsia" w:ascii="宋体" w:hAnsi="宋体" w:cs="宋体"/>
          <w:bCs/>
          <w:sz w:val="28"/>
          <w:szCs w:val="28"/>
        </w:rPr>
        <w:t>因无法与债务人法定代表人、高管及股东取得有效联系等客观情况，管理人未接管到债务人的财产、文书、账簿等资料。</w:t>
      </w:r>
    </w:p>
    <w:p>
      <w:pPr>
        <w:spacing w:line="520" w:lineRule="exact"/>
        <w:ind w:firstLine="480"/>
        <w:rPr>
          <w:rFonts w:ascii="宋体" w:hAnsi="宋体" w:cs="宋体"/>
          <w:bCs/>
          <w:sz w:val="28"/>
          <w:szCs w:val="28"/>
        </w:rPr>
      </w:pPr>
      <w:r>
        <w:rPr>
          <w:rFonts w:hint="eastAsia" w:ascii="宋体" w:hAnsi="宋体" w:cs="宋体"/>
          <w:bCs/>
          <w:sz w:val="28"/>
          <w:szCs w:val="28"/>
        </w:rPr>
        <w:t>如以后发现并接管债务人其他印章、账簿、文书等资料，管理人将按其性质予以妥善保管。</w:t>
      </w:r>
    </w:p>
    <w:p>
      <w:pPr>
        <w:spacing w:line="520" w:lineRule="exact"/>
        <w:ind w:firstLine="480"/>
        <w:rPr>
          <w:rFonts w:ascii="宋体" w:hAnsi="宋体" w:cs="宋体"/>
          <w:sz w:val="28"/>
          <w:szCs w:val="28"/>
        </w:rPr>
      </w:pPr>
      <w:r>
        <w:rPr>
          <w:rFonts w:hint="eastAsia" w:ascii="宋体" w:hAnsi="宋体" w:cs="宋体"/>
          <w:sz w:val="28"/>
          <w:szCs w:val="28"/>
        </w:rPr>
        <w:t>2.开设分支机构及对外投资情况</w:t>
      </w:r>
    </w:p>
    <w:p>
      <w:pPr>
        <w:spacing w:line="520" w:lineRule="exact"/>
        <w:ind w:firstLine="480"/>
        <w:rPr>
          <w:rFonts w:ascii="宋体" w:hAnsi="宋体" w:cs="宋体"/>
          <w:sz w:val="28"/>
          <w:szCs w:val="28"/>
        </w:rPr>
      </w:pPr>
      <w:r>
        <w:rPr>
          <w:rFonts w:hint="eastAsia" w:ascii="宋体" w:hAnsi="宋体" w:cs="宋体"/>
          <w:sz w:val="28"/>
          <w:szCs w:val="28"/>
        </w:rPr>
        <w:t>管理人前往重庆市工商行政管理局调查、查询，以及通过国家企业信用信息公示系统查询，债务人未开设分支机构。</w:t>
      </w:r>
    </w:p>
    <w:p>
      <w:pPr>
        <w:spacing w:line="520" w:lineRule="exact"/>
        <w:ind w:firstLine="480"/>
        <w:rPr>
          <w:rFonts w:ascii="宋体" w:hAnsi="宋体" w:cs="宋体"/>
          <w:sz w:val="28"/>
          <w:szCs w:val="28"/>
        </w:rPr>
      </w:pPr>
      <w:r>
        <w:rPr>
          <w:rFonts w:hint="eastAsia" w:ascii="宋体" w:hAnsi="宋体" w:cs="宋体"/>
          <w:sz w:val="28"/>
          <w:szCs w:val="28"/>
        </w:rPr>
        <w:t>3.对外投资情况</w:t>
      </w:r>
    </w:p>
    <w:p>
      <w:pPr>
        <w:spacing w:line="520" w:lineRule="exact"/>
        <w:ind w:firstLine="480"/>
        <w:rPr>
          <w:rFonts w:ascii="宋体" w:hAnsi="宋体" w:cs="宋体"/>
          <w:sz w:val="28"/>
          <w:szCs w:val="28"/>
        </w:rPr>
      </w:pPr>
      <w:r>
        <w:rPr>
          <w:rFonts w:hint="eastAsia" w:ascii="宋体" w:hAnsi="宋体" w:cs="宋体"/>
          <w:sz w:val="28"/>
          <w:szCs w:val="28"/>
        </w:rPr>
        <w:t>管理人前往重庆市工商行政管理局调查、查询，以及通过国家企业信用信息公示系统查询，未发现债务人存在对外投资情况。</w:t>
      </w:r>
    </w:p>
    <w:p>
      <w:pPr>
        <w:numPr>
          <w:ilvl w:val="0"/>
          <w:numId w:val="1"/>
        </w:numPr>
        <w:spacing w:line="520" w:lineRule="exact"/>
        <w:ind w:firstLine="480"/>
        <w:rPr>
          <w:rFonts w:ascii="宋体" w:hAnsi="宋体" w:cs="宋体"/>
          <w:sz w:val="28"/>
          <w:szCs w:val="28"/>
        </w:rPr>
      </w:pPr>
      <w:r>
        <w:rPr>
          <w:rFonts w:hint="eastAsia" w:ascii="宋体" w:hAnsi="宋体" w:cs="宋体"/>
          <w:sz w:val="28"/>
          <w:szCs w:val="28"/>
        </w:rPr>
        <w:t>银行存款</w:t>
      </w:r>
    </w:p>
    <w:p>
      <w:pPr>
        <w:spacing w:line="520" w:lineRule="exact"/>
        <w:ind w:firstLine="480"/>
        <w:rPr>
          <w:rFonts w:ascii="宋体" w:hAnsi="宋体"/>
          <w:sz w:val="28"/>
          <w:szCs w:val="28"/>
        </w:rPr>
      </w:pPr>
      <w:r>
        <w:rPr>
          <w:rFonts w:hint="eastAsia" w:ascii="宋体" w:hAnsi="宋体" w:cs="宋体"/>
          <w:bCs/>
          <w:sz w:val="28"/>
          <w:szCs w:val="28"/>
        </w:rPr>
        <w:t>因无法与债务人法定代表人、高管、股东以及相关工作人员取得有效联系等客观情况，管理人暂未接管到债务人的银行账户。</w:t>
      </w:r>
      <w:r>
        <w:rPr>
          <w:rFonts w:hint="eastAsia" w:ascii="宋体" w:hAnsi="宋体"/>
          <w:sz w:val="28"/>
          <w:szCs w:val="28"/>
        </w:rPr>
        <w:t>若管理人在破产清算工作中获取了债务人的银行账户，管理人将依法进行管理。</w:t>
      </w:r>
    </w:p>
    <w:p>
      <w:pPr>
        <w:numPr>
          <w:ilvl w:val="0"/>
          <w:numId w:val="1"/>
        </w:numPr>
        <w:spacing w:line="520" w:lineRule="exact"/>
        <w:ind w:firstLine="480"/>
        <w:rPr>
          <w:rFonts w:ascii="宋体" w:hAnsi="宋体"/>
          <w:sz w:val="28"/>
          <w:szCs w:val="28"/>
        </w:rPr>
      </w:pPr>
      <w:r>
        <w:rPr>
          <w:rFonts w:hint="eastAsia" w:ascii="宋体" w:hAnsi="宋体"/>
          <w:sz w:val="28"/>
          <w:szCs w:val="28"/>
        </w:rPr>
        <w:t>股东出资</w:t>
      </w:r>
    </w:p>
    <w:p>
      <w:pPr>
        <w:spacing w:line="520" w:lineRule="exact"/>
        <w:ind w:firstLine="560" w:firstLineChars="200"/>
        <w:rPr>
          <w:rFonts w:ascii="宋体" w:hAnsi="宋体" w:cs="宋体"/>
          <w:sz w:val="28"/>
          <w:szCs w:val="28"/>
        </w:rPr>
      </w:pPr>
      <w:r>
        <w:rPr>
          <w:rFonts w:hint="eastAsia" w:ascii="宋体" w:hAnsi="宋体" w:cs="宋体"/>
          <w:sz w:val="28"/>
          <w:szCs w:val="28"/>
        </w:rPr>
        <w:t>据工商资料显示，债务人的股东认缴出资时间是2035年12月30日。暂不知晓股东已缴注册资本情况。根据《中华人民共和国企业破产法》第三十五条之规定，管理人已经书面通知债务人的股东披露出资情况并要求股东缴纳所认缴的出资。</w:t>
      </w:r>
    </w:p>
    <w:p>
      <w:pPr>
        <w:spacing w:line="520" w:lineRule="exact"/>
        <w:ind w:firstLine="560" w:firstLineChars="200"/>
        <w:rPr>
          <w:rFonts w:ascii="宋体" w:hAnsi="宋体"/>
          <w:sz w:val="28"/>
          <w:szCs w:val="28"/>
        </w:rPr>
      </w:pPr>
      <w:r>
        <w:rPr>
          <w:rFonts w:hint="eastAsia" w:ascii="宋体" w:hAnsi="宋体"/>
          <w:sz w:val="28"/>
          <w:szCs w:val="28"/>
        </w:rPr>
        <w:t>6.其它财产</w:t>
      </w:r>
    </w:p>
    <w:p>
      <w:pPr>
        <w:spacing w:line="520" w:lineRule="exact"/>
        <w:ind w:firstLine="432"/>
        <w:rPr>
          <w:rFonts w:ascii="宋体" w:hAnsi="宋体"/>
          <w:sz w:val="28"/>
          <w:szCs w:val="28"/>
        </w:rPr>
      </w:pPr>
      <w:r>
        <w:rPr>
          <w:rFonts w:hint="eastAsia" w:ascii="宋体" w:hAnsi="宋体"/>
          <w:sz w:val="28"/>
          <w:szCs w:val="28"/>
        </w:rPr>
        <w:t>管理人暂未发现债务人其它财产，若管理人在破产清算工作中发现债务人有其它财产的，管理人将依法进行清理、催收。</w:t>
      </w:r>
    </w:p>
    <w:p>
      <w:pPr>
        <w:spacing w:line="520" w:lineRule="exact"/>
        <w:ind w:firstLine="432"/>
        <w:rPr>
          <w:rFonts w:ascii="宋体" w:hAnsi="宋体"/>
          <w:bCs/>
          <w:sz w:val="28"/>
          <w:szCs w:val="28"/>
        </w:rPr>
      </w:pPr>
      <w:r>
        <w:rPr>
          <w:rFonts w:hint="eastAsia" w:ascii="宋体" w:hAnsi="宋体"/>
          <w:bCs/>
          <w:sz w:val="28"/>
          <w:szCs w:val="28"/>
        </w:rPr>
        <w:t>三、其它事项</w:t>
      </w:r>
    </w:p>
    <w:p>
      <w:pPr>
        <w:spacing w:line="520" w:lineRule="exact"/>
        <w:ind w:firstLine="480"/>
        <w:rPr>
          <w:rFonts w:ascii="宋体" w:hAnsi="宋体"/>
          <w:sz w:val="28"/>
          <w:szCs w:val="28"/>
        </w:rPr>
      </w:pPr>
      <w:r>
        <w:rPr>
          <w:rFonts w:hint="eastAsia" w:ascii="宋体" w:hAnsi="宋体"/>
          <w:sz w:val="28"/>
          <w:szCs w:val="28"/>
        </w:rPr>
        <w:t>因管理人依法行使撤销权、确认无效以及债权人行使抵销权等可能会导致债务人财产的增减。</w:t>
      </w:r>
    </w:p>
    <w:p>
      <w:pPr>
        <w:spacing w:line="520" w:lineRule="exact"/>
        <w:ind w:firstLine="480"/>
        <w:rPr>
          <w:rFonts w:ascii="宋体" w:hAnsi="宋体"/>
          <w:sz w:val="28"/>
          <w:szCs w:val="28"/>
        </w:rPr>
      </w:pPr>
      <w:r>
        <w:rPr>
          <w:rFonts w:hint="eastAsia" w:ascii="宋体" w:hAnsi="宋体"/>
          <w:sz w:val="28"/>
          <w:szCs w:val="28"/>
        </w:rPr>
        <w:t>特此报告。</w:t>
      </w:r>
    </w:p>
    <w:p>
      <w:pPr>
        <w:spacing w:line="520" w:lineRule="exact"/>
        <w:ind w:firstLine="480"/>
        <w:rPr>
          <w:rFonts w:ascii="宋体" w:hAnsi="宋体"/>
          <w:sz w:val="28"/>
          <w:szCs w:val="28"/>
        </w:rPr>
      </w:pPr>
    </w:p>
    <w:p>
      <w:pPr>
        <w:spacing w:line="520" w:lineRule="exact"/>
        <w:ind w:firstLine="480"/>
        <w:rPr>
          <w:rFonts w:ascii="宋体" w:hAnsi="宋体"/>
          <w:sz w:val="28"/>
          <w:szCs w:val="28"/>
        </w:rPr>
      </w:pPr>
      <w:r>
        <w:rPr>
          <w:rFonts w:hint="eastAsia" w:ascii="宋体" w:hAnsi="宋体"/>
          <w:sz w:val="28"/>
          <w:szCs w:val="28"/>
        </w:rPr>
        <w:t xml:space="preserve">                     </w:t>
      </w:r>
      <w:r>
        <w:rPr>
          <w:rFonts w:hint="eastAsia" w:ascii="宋体" w:hAnsi="宋体" w:cs="宋体"/>
          <w:sz w:val="28"/>
          <w:szCs w:val="28"/>
        </w:rPr>
        <w:t>重庆光大星光城建开发有限公司</w:t>
      </w:r>
      <w:r>
        <w:rPr>
          <w:rFonts w:hint="eastAsia" w:ascii="宋体" w:hAnsi="宋体"/>
          <w:sz w:val="28"/>
          <w:szCs w:val="28"/>
        </w:rPr>
        <w:t>管理人</w:t>
      </w:r>
    </w:p>
    <w:p>
      <w:pPr>
        <w:spacing w:line="520" w:lineRule="exact"/>
        <w:ind w:firstLine="480"/>
        <w:rPr>
          <w:rFonts w:ascii="宋体" w:hAnsi="宋体" w:cs="宋体"/>
          <w:sz w:val="28"/>
          <w:szCs w:val="28"/>
        </w:rPr>
      </w:pPr>
      <w:r>
        <w:rPr>
          <w:rFonts w:hint="eastAsia" w:ascii="宋体" w:hAnsi="宋体"/>
          <w:sz w:val="28"/>
          <w:szCs w:val="28"/>
        </w:rPr>
        <w:t xml:space="preserve">                            </w:t>
      </w:r>
    </w:p>
    <w:p>
      <w:pPr>
        <w:spacing w:line="520" w:lineRule="exact"/>
        <w:ind w:firstLine="3920" w:firstLineChars="1400"/>
        <w:rPr>
          <w:sz w:val="28"/>
          <w:szCs w:val="28"/>
        </w:rPr>
      </w:pPr>
      <w:r>
        <w:rPr>
          <w:rFonts w:ascii="宋体" w:hAnsi="宋体"/>
          <w:sz w:val="28"/>
          <w:szCs w:val="28"/>
        </w:rPr>
        <w:t xml:space="preserve">   </w:t>
      </w:r>
      <w:r>
        <w:rPr>
          <w:rFonts w:hint="eastAsia" w:ascii="宋体" w:hAnsi="宋体"/>
          <w:sz w:val="28"/>
          <w:szCs w:val="28"/>
        </w:rPr>
        <w:t>二〇二〇年三月十二日</w:t>
      </w:r>
    </w:p>
    <w:p/>
    <w:p/>
    <w:p/>
    <w:p/>
    <w:p/>
    <w:p/>
    <w:p/>
    <w:p/>
    <w:p/>
    <w:p/>
    <w:p/>
    <w:p/>
    <w:p/>
    <w:p/>
    <w:p/>
    <w:p>
      <w:pPr>
        <w:spacing w:line="520" w:lineRule="exact"/>
      </w:pPr>
    </w:p>
    <w:sectPr>
      <w:headerReference r:id="rId3" w:type="default"/>
      <w:footerReference r:id="rId4" w:type="default"/>
      <w:pgSz w:w="11906" w:h="16838"/>
      <w:pgMar w:top="1440" w:right="1800" w:bottom="1440" w:left="1800" w:header="851" w:footer="992" w:gutter="0"/>
      <w:pgNumType w:fmt="decimalFullWidt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rPr>
                              <w:rFonts w:hint="eastAsia"/>
                            </w:rPr>
                            <w:t>１６</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rPr>
                        <w:rFonts w:hint="eastAsia"/>
                      </w:rPr>
                      <w:t>１６</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pBdr>
        <w:bottom w:val="single" w:color="auto" w:sz="4" w:space="0"/>
      </w:pBdr>
      <w:jc w:val="left"/>
      <w:rPr>
        <w:rFonts w:ascii="楷体" w:hAnsi="楷体" w:eastAsia="楷体" w:cs="楷体"/>
        <w:kern w:val="0"/>
        <w:sz w:val="18"/>
        <w:szCs w:val="18"/>
      </w:rPr>
    </w:pPr>
    <w:r>
      <w:rPr>
        <w:rFonts w:ascii="宋体" w:hAnsi="宋体" w:cs="宋体"/>
        <w:kern w:val="0"/>
        <w:sz w:val="24"/>
      </w:rPr>
      <w:drawing>
        <wp:inline distT="0" distB="0" distL="114300" distR="114300">
          <wp:extent cx="1627505" cy="396240"/>
          <wp:effectExtent l="0" t="0" r="1270" b="3810"/>
          <wp:docPr id="2" name="图片 1" descr="C:\Users\Fengzhi\Documents\Tencent Files\584321466\Image\C2C\R~EPAM7YZWRE@Z5$2BR5JAJ.png"/>
          <wp:cNvGraphicFramePr/>
          <a:graphic xmlns:a="http://schemas.openxmlformats.org/drawingml/2006/main">
            <a:graphicData uri="http://schemas.openxmlformats.org/drawingml/2006/picture">
              <pic:pic xmlns:pic="http://schemas.openxmlformats.org/drawingml/2006/picture">
                <pic:nvPicPr>
                  <pic:cNvPr id="2" name="图片 1" descr="C:\Users\Fengzhi\Documents\Tencent Files\584321466\Image\C2C\R~EPAM7YZWRE@Z5$2BR5JAJ.png"/>
                  <pic:cNvPicPr/>
                </pic:nvPicPr>
                <pic:blipFill>
                  <a:blip r:embed="rId1"/>
                  <a:srcRect r="62305"/>
                  <a:stretch>
                    <a:fillRect/>
                  </a:stretch>
                </pic:blipFill>
                <pic:spPr>
                  <a:xfrm>
                    <a:off x="0" y="0"/>
                    <a:ext cx="1627505" cy="396240"/>
                  </a:xfrm>
                  <a:prstGeom prst="rect">
                    <a:avLst/>
                  </a:prstGeom>
                  <a:noFill/>
                  <a:ln>
                    <a:noFill/>
                  </a:ln>
                </pic:spPr>
              </pic:pic>
            </a:graphicData>
          </a:graphic>
        </wp:inline>
      </w:drawing>
    </w:r>
    <w:r>
      <w:rPr>
        <w:rFonts w:hint="eastAsia" w:ascii="宋体" w:hAnsi="宋体" w:cs="宋体"/>
        <w:kern w:val="0"/>
        <w:sz w:val="24"/>
      </w:rPr>
      <w:t xml:space="preserve">            </w:t>
    </w:r>
    <w:r>
      <w:rPr>
        <w:rFonts w:hint="eastAsia" w:ascii="宋体" w:hAnsi="宋体" w:cs="宋体"/>
        <w:kern w:val="0"/>
        <w:sz w:val="18"/>
        <w:szCs w:val="18"/>
      </w:rPr>
      <w:t xml:space="preserve">           </w:t>
    </w:r>
    <w:r>
      <w:rPr>
        <w:rFonts w:hint="eastAsia" w:ascii="楷体" w:hAnsi="楷体" w:eastAsia="楷体" w:cs="楷体"/>
        <w:kern w:val="0"/>
        <w:sz w:val="18"/>
        <w:szCs w:val="18"/>
      </w:rPr>
      <w:t>重庆光大星光城建有限公司破产清算案</w:t>
    </w:r>
  </w:p>
  <w:p>
    <w:pPr>
      <w:widowControl/>
      <w:pBdr>
        <w:bottom w:val="single" w:color="auto" w:sz="4" w:space="0"/>
      </w:pBdr>
      <w:ind w:firstLine="5580" w:firstLineChars="3100"/>
      <w:jc w:val="left"/>
      <w:rPr>
        <w:rFonts w:eastAsia="楷体"/>
      </w:rPr>
    </w:pPr>
    <w:r>
      <w:rPr>
        <w:rFonts w:hint="eastAsia" w:ascii="楷体" w:hAnsi="楷体" w:eastAsia="楷体" w:cs="楷体"/>
        <w:kern w:val="0"/>
        <w:sz w:val="18"/>
        <w:szCs w:val="18"/>
      </w:rPr>
      <w:t>第一次债权人会议参会资料</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18C270"/>
    <w:multiLevelType w:val="singleLevel"/>
    <w:tmpl w:val="1C18C270"/>
    <w:lvl w:ilvl="0" w:tentative="0">
      <w:start w:val="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1774"/>
    <w:rsid w:val="000F1B45"/>
    <w:rsid w:val="00152FBE"/>
    <w:rsid w:val="00181774"/>
    <w:rsid w:val="001C1985"/>
    <w:rsid w:val="002542D6"/>
    <w:rsid w:val="002A0ADC"/>
    <w:rsid w:val="002D280B"/>
    <w:rsid w:val="002F120D"/>
    <w:rsid w:val="00303EBE"/>
    <w:rsid w:val="00331B83"/>
    <w:rsid w:val="003B231D"/>
    <w:rsid w:val="00433790"/>
    <w:rsid w:val="004401E6"/>
    <w:rsid w:val="004634CD"/>
    <w:rsid w:val="00466A37"/>
    <w:rsid w:val="0052783F"/>
    <w:rsid w:val="006344D7"/>
    <w:rsid w:val="00664856"/>
    <w:rsid w:val="006A79DE"/>
    <w:rsid w:val="00755011"/>
    <w:rsid w:val="00832AEB"/>
    <w:rsid w:val="0085113A"/>
    <w:rsid w:val="0094137E"/>
    <w:rsid w:val="00A01782"/>
    <w:rsid w:val="00A60EEE"/>
    <w:rsid w:val="00C01611"/>
    <w:rsid w:val="00C45001"/>
    <w:rsid w:val="00C72C5E"/>
    <w:rsid w:val="00CF609B"/>
    <w:rsid w:val="00D428D0"/>
    <w:rsid w:val="00DD5BD3"/>
    <w:rsid w:val="00DF55FF"/>
    <w:rsid w:val="00E2106E"/>
    <w:rsid w:val="00F5266F"/>
    <w:rsid w:val="00FC00C1"/>
    <w:rsid w:val="0C892463"/>
    <w:rsid w:val="1BEA2AEE"/>
    <w:rsid w:val="1FCB5BF6"/>
    <w:rsid w:val="27B751AE"/>
    <w:rsid w:val="2CCC2B10"/>
    <w:rsid w:val="368E01C0"/>
    <w:rsid w:val="3EFF6509"/>
    <w:rsid w:val="40E74220"/>
    <w:rsid w:val="52991C7D"/>
    <w:rsid w:val="58BD422F"/>
    <w:rsid w:val="5BB363C3"/>
    <w:rsid w:val="5BC1765B"/>
    <w:rsid w:val="5E340F51"/>
    <w:rsid w:val="635372CC"/>
    <w:rsid w:val="6370182B"/>
    <w:rsid w:val="64850A01"/>
    <w:rsid w:val="6B62748B"/>
    <w:rsid w:val="6CFD1F0D"/>
    <w:rsid w:val="79063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semiHidden/>
    <w:unhideWhenUsed/>
    <w:qFormat/>
    <w:uiPriority w:val="99"/>
    <w:rPr>
      <w:b/>
      <w:bCs/>
    </w:rPr>
  </w:style>
  <w:style w:type="character" w:styleId="9">
    <w:name w:val="annotation reference"/>
    <w:basedOn w:val="8"/>
    <w:semiHidden/>
    <w:unhideWhenUsed/>
    <w:uiPriority w:val="99"/>
    <w:rPr>
      <w:sz w:val="21"/>
      <w:szCs w:val="21"/>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文字 字符"/>
    <w:basedOn w:val="8"/>
    <w:link w:val="2"/>
    <w:semiHidden/>
    <w:uiPriority w:val="99"/>
    <w:rPr>
      <w:kern w:val="2"/>
      <w:sz w:val="21"/>
      <w:szCs w:val="24"/>
    </w:rPr>
  </w:style>
  <w:style w:type="character" w:customStyle="1" w:styleId="13">
    <w:name w:val="批注主题 字符"/>
    <w:basedOn w:val="12"/>
    <w:link w:val="6"/>
    <w:semiHidden/>
    <w:qFormat/>
    <w:uiPriority w:val="99"/>
    <w:rPr>
      <w:b/>
      <w:bCs/>
      <w:kern w:val="2"/>
      <w:sz w:val="21"/>
      <w:szCs w:val="24"/>
    </w:rPr>
  </w:style>
  <w:style w:type="paragraph" w:customStyle="1" w:styleId="14">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5">
    <w:name w:val="批注框文本 字符"/>
    <w:basedOn w:val="8"/>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1330</Words>
  <Characters>7586</Characters>
  <Lines>63</Lines>
  <Paragraphs>17</Paragraphs>
  <TotalTime>45</TotalTime>
  <ScaleCrop>false</ScaleCrop>
  <LinksUpToDate>false</LinksUpToDate>
  <CharactersWithSpaces>8899</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2020-03-09T03:08:00Z</dcterms:created>
  <dc:creator>张鹏律师</dc:creator>
  <cp:lastModifiedBy>来去只能凭心</cp:lastModifiedBy>
  <dcterms:modified xsi:type="dcterms:W3CDTF">2020-05-29T09:08:33Z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