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巩义市创鑫金属材料有限公司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破产清算案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第三次债权人会议决议</w:t>
      </w:r>
    </w:p>
    <w:p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各债权人：</w:t>
      </w:r>
    </w:p>
    <w:p>
      <w:pPr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管理人</w:t>
      </w:r>
      <w:r>
        <w:rPr>
          <w:rFonts w:hint="eastAsia" w:ascii="仿宋" w:hAnsi="仿宋" w:eastAsia="仿宋"/>
          <w:sz w:val="28"/>
          <w:szCs w:val="28"/>
        </w:rPr>
        <w:t>根据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工作需要</w:t>
      </w:r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依据</w:t>
      </w:r>
      <w:r>
        <w:rPr>
          <w:rFonts w:hint="eastAsia" w:ascii="仿宋" w:hAnsi="仿宋" w:eastAsia="仿宋"/>
          <w:sz w:val="28"/>
          <w:szCs w:val="28"/>
          <w:lang w:eastAsia="zh-CN"/>
        </w:rPr>
        <w:t>《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中华人民共和国破产法》第六十二条之规定向债权人会议主席提议，决定通过书面形式召开创鑫金属公司破产清算案第三次债权人会议，并就</w:t>
      </w:r>
      <w:r>
        <w:rPr>
          <w:rFonts w:hint="eastAsia" w:ascii="仿宋" w:hAnsi="仿宋" w:eastAsia="仿宋" w:cs="仿宋"/>
          <w:sz w:val="28"/>
          <w:szCs w:val="28"/>
        </w:rPr>
        <w:t>《巩义市创鑫金属材料有限公司破产财产分配方案》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进行表决。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2020年4月24日，管理人将</w:t>
      </w:r>
      <w:r>
        <w:rPr>
          <w:rFonts w:hint="eastAsia" w:ascii="仿宋" w:hAnsi="仿宋" w:eastAsia="仿宋" w:cs="仿宋"/>
          <w:sz w:val="28"/>
          <w:szCs w:val="28"/>
        </w:rPr>
        <w:t>《巩义市创鑫金属材料有限公司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破产清算案第三次债权人会议资料</w:t>
      </w:r>
      <w:r>
        <w:rPr>
          <w:rFonts w:hint="eastAsia" w:ascii="仿宋" w:hAnsi="仿宋" w:eastAsia="仿宋" w:cs="仿宋"/>
          <w:sz w:val="28"/>
          <w:szCs w:val="28"/>
        </w:rPr>
        <w:t>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《巩义市创鑫金属材料有限公司破产财产分配方案表决票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》、《债权人账户信息确认表》邮寄给每位债权人。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根据表决规则，至2020年5月14日表决截止日，有效表决票中共有21张表决票为赞成票，1张表决票为反对票。其中赞成的债权人票数占有表决权的总债权人数的95.46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%，其所代表的债权额占无担保债权总额的99.936%。根据</w:t>
      </w:r>
      <w:r>
        <w:rPr>
          <w:rFonts w:hint="eastAsia" w:ascii="仿宋" w:hAnsi="仿宋" w:eastAsia="仿宋"/>
          <w:sz w:val="28"/>
          <w:szCs w:val="28"/>
          <w:lang w:eastAsia="zh-CN"/>
        </w:rPr>
        <w:t>《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中华人民共和国破产法》第六十四条之规定，此次书面会议形成决议如下：</w:t>
      </w:r>
    </w:p>
    <w:p>
      <w:pPr>
        <w:numPr>
          <w:ilvl w:val="0"/>
          <w:numId w:val="0"/>
        </w:numPr>
        <w:ind w:firstLine="562" w:firstLineChars="200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表决通过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《巩义市创鑫金属材料有限公司破产财产分配方案》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债权人如认为本次会议决议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违反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法律规定，损害其合法利益的，可自债权人会议作出决议之日起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15日内，请求人民法院撤销该决议，责令债权人会议依法重新作出决议。</w:t>
      </w:r>
    </w:p>
    <w:p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本次债权人会议决议，对全体债权人均具有约束力。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特此公告！</w:t>
      </w:r>
    </w:p>
    <w:p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0" w:lineRule="auto"/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巩义市创鑫金属材料有限公司</w:t>
      </w:r>
      <w:r>
        <w:rPr>
          <w:rFonts w:hint="eastAsia" w:ascii="仿宋" w:hAnsi="仿宋" w:eastAsia="仿宋" w:cs="仿宋"/>
          <w:sz w:val="28"/>
          <w:szCs w:val="28"/>
        </w:rPr>
        <w:t>管理人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0" w:lineRule="auto"/>
        <w:ind w:firstLine="4760" w:firstLineChars="17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2020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18</w:t>
      </w:r>
      <w:r>
        <w:rPr>
          <w:rFonts w:hint="eastAsia" w:ascii="仿宋" w:hAnsi="仿宋" w:eastAsia="仿宋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292E0F"/>
    <w:rsid w:val="15890C23"/>
    <w:rsid w:val="68292E0F"/>
    <w:rsid w:val="6D2003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2020-05-18T06:10:00Z</dcterms:created>
  <dc:creator>王攀宇</dc:creator>
  <cp:lastModifiedBy>王攀宇</cp:lastModifiedBy>
  <dcterms:modified xsi:type="dcterms:W3CDTF">2020-05-20T07:54:35Z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