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60" w:lineRule="exact"/>
        <w:jc w:val="center"/>
        <w:rPr>
          <w:rFonts w:hint="eastAsia" w:eastAsia="宋体"/>
          <w:b/>
          <w:color w:val="000000" w:themeColor="text1"/>
          <w:kern w:val="0"/>
          <w:sz w:val="32"/>
          <w:szCs w:val="32"/>
          <w:lang w:eastAsia="zh-CN"/>
        </w:rPr>
      </w:pPr>
      <w:r>
        <w:rPr>
          <w:rFonts w:hint="eastAsia" w:hAnsi="宋体"/>
          <w:b/>
          <w:color w:val="000000" w:themeColor="text1"/>
          <w:kern w:val="0"/>
          <w:sz w:val="32"/>
          <w:szCs w:val="32"/>
          <w:lang w:eastAsia="zh-CN"/>
        </w:rPr>
        <w:t>嘉华建材（福建）有限公司</w:t>
      </w:r>
    </w:p>
    <w:p>
      <w:pPr>
        <w:widowControl/>
        <w:spacing w:line="460" w:lineRule="exact"/>
        <w:jc w:val="center"/>
        <w:rPr>
          <w:b/>
          <w:color w:val="000000" w:themeColor="text1"/>
          <w:kern w:val="0"/>
          <w:sz w:val="32"/>
          <w:szCs w:val="32"/>
        </w:rPr>
      </w:pPr>
      <w:r>
        <w:rPr>
          <w:rFonts w:hAnsi="宋体"/>
          <w:b/>
          <w:color w:val="000000" w:themeColor="text1"/>
          <w:kern w:val="0"/>
          <w:sz w:val="32"/>
          <w:szCs w:val="32"/>
        </w:rPr>
        <w:t>债权申报须知</w:t>
      </w:r>
    </w:p>
    <w:p>
      <w:pPr>
        <w:spacing w:line="440" w:lineRule="exact"/>
        <w:ind w:firstLine="420" w:firstLineChars="200"/>
        <w:rPr>
          <w:color w:val="000000" w:themeColor="text1"/>
          <w:szCs w:val="21"/>
        </w:rPr>
      </w:pPr>
      <w:r>
        <w:rPr>
          <w:color w:val="000000" w:themeColor="text1"/>
          <w:szCs w:val="21"/>
        </w:rPr>
        <w:t>为确保债权申报工作顺利进行，现就债权申报相关事宜告知如下。</w:t>
      </w:r>
    </w:p>
    <w:p>
      <w:pPr>
        <w:widowControl/>
        <w:spacing w:line="440" w:lineRule="exact"/>
        <w:ind w:firstLine="422" w:firstLineChars="200"/>
        <w:rPr>
          <w:b/>
          <w:color w:val="000000" w:themeColor="text1"/>
          <w:kern w:val="0"/>
          <w:szCs w:val="21"/>
        </w:rPr>
      </w:pPr>
      <w:r>
        <w:rPr>
          <w:rFonts w:hAnsi="宋体"/>
          <w:b/>
          <w:color w:val="000000" w:themeColor="text1"/>
          <w:kern w:val="0"/>
          <w:szCs w:val="21"/>
        </w:rPr>
        <w:t>一、申报债权应提供下列材料：</w:t>
      </w:r>
    </w:p>
    <w:p>
      <w:pPr>
        <w:spacing w:line="440" w:lineRule="exact"/>
        <w:ind w:firstLine="420" w:firstLineChars="200"/>
        <w:rPr>
          <w:color w:val="000000" w:themeColor="text1"/>
          <w:kern w:val="0"/>
          <w:szCs w:val="21"/>
        </w:rPr>
      </w:pPr>
      <w:r>
        <w:rPr>
          <w:rFonts w:hAnsi="宋体"/>
          <w:color w:val="000000" w:themeColor="text1"/>
          <w:kern w:val="0"/>
          <w:szCs w:val="21"/>
        </w:rPr>
        <w:t>（一）《债权申报表</w:t>
      </w:r>
      <w:r>
        <w:rPr>
          <w:rFonts w:hint="eastAsia" w:hAnsi="宋体"/>
          <w:color w:val="000000" w:themeColor="text1"/>
          <w:kern w:val="0"/>
          <w:szCs w:val="21"/>
        </w:rPr>
        <w:t>》</w:t>
      </w:r>
      <w:r>
        <w:rPr>
          <w:rFonts w:hAnsi="宋体"/>
          <w:b/>
          <w:color w:val="000000" w:themeColor="text1"/>
          <w:kern w:val="0"/>
          <w:szCs w:val="21"/>
        </w:rPr>
        <w:t>一式两份</w:t>
      </w:r>
      <w:r>
        <w:rPr>
          <w:rFonts w:hAnsi="宋体"/>
          <w:color w:val="000000" w:themeColor="text1"/>
          <w:kern w:val="0"/>
          <w:szCs w:val="21"/>
        </w:rPr>
        <w:t>。</w:t>
      </w:r>
    </w:p>
    <w:p>
      <w:pPr>
        <w:spacing w:line="440" w:lineRule="exact"/>
        <w:ind w:firstLine="420" w:firstLineChars="200"/>
        <w:rPr>
          <w:color w:val="000000" w:themeColor="text1"/>
          <w:kern w:val="0"/>
          <w:szCs w:val="21"/>
        </w:rPr>
      </w:pPr>
      <w:r>
        <w:rPr>
          <w:rFonts w:hAnsi="宋体"/>
          <w:color w:val="000000" w:themeColor="text1"/>
          <w:kern w:val="0"/>
          <w:szCs w:val="21"/>
        </w:rPr>
        <w:t>（二）提供证明债权存在事实的相关证据材料</w:t>
      </w:r>
      <w:r>
        <w:rPr>
          <w:rFonts w:hint="eastAsia" w:hAnsi="宋体"/>
          <w:b/>
          <w:color w:val="000000" w:themeColor="text1"/>
          <w:kern w:val="0"/>
          <w:szCs w:val="21"/>
        </w:rPr>
        <w:t>复印件</w:t>
      </w:r>
      <w:r>
        <w:rPr>
          <w:rFonts w:hAnsi="宋体"/>
          <w:color w:val="000000" w:themeColor="text1"/>
          <w:kern w:val="0"/>
          <w:szCs w:val="21"/>
        </w:rPr>
        <w:t>（</w:t>
      </w:r>
      <w:r>
        <w:rPr>
          <w:rFonts w:hAnsi="宋体"/>
          <w:b/>
          <w:color w:val="000000" w:themeColor="text1"/>
          <w:kern w:val="0"/>
          <w:szCs w:val="21"/>
        </w:rPr>
        <w:t>递交材料时请携带证据原件供核对</w:t>
      </w:r>
      <w:r>
        <w:rPr>
          <w:rFonts w:hAnsi="宋体"/>
          <w:color w:val="000000" w:themeColor="text1"/>
          <w:kern w:val="0"/>
          <w:szCs w:val="21"/>
        </w:rPr>
        <w:t>）。</w:t>
      </w:r>
    </w:p>
    <w:p>
      <w:pPr>
        <w:widowControl/>
        <w:spacing w:line="440" w:lineRule="exact"/>
        <w:ind w:firstLine="420" w:firstLineChars="200"/>
        <w:rPr>
          <w:color w:val="000000" w:themeColor="text1"/>
          <w:kern w:val="0"/>
          <w:szCs w:val="21"/>
        </w:rPr>
      </w:pPr>
      <w:r>
        <w:rPr>
          <w:rFonts w:hAnsi="宋体"/>
          <w:color w:val="000000" w:themeColor="text1"/>
          <w:kern w:val="0"/>
          <w:szCs w:val="21"/>
        </w:rPr>
        <w:t>（三）申报人为单位的，提供申报人已年检的营业执照复印件、组织机构代码证复印件（若已办理</w:t>
      </w:r>
      <w:r>
        <w:rPr>
          <w:color w:val="000000" w:themeColor="text1"/>
          <w:kern w:val="0"/>
          <w:szCs w:val="21"/>
        </w:rPr>
        <w:t>“</w:t>
      </w:r>
      <w:r>
        <w:rPr>
          <w:rFonts w:hAnsi="宋体"/>
          <w:color w:val="000000" w:themeColor="text1"/>
          <w:kern w:val="0"/>
          <w:szCs w:val="21"/>
        </w:rPr>
        <w:t>三证合一</w:t>
      </w:r>
      <w:r>
        <w:rPr>
          <w:color w:val="000000" w:themeColor="text1"/>
          <w:kern w:val="0"/>
          <w:szCs w:val="21"/>
        </w:rPr>
        <w:t>”</w:t>
      </w:r>
      <w:r>
        <w:rPr>
          <w:rFonts w:hAnsi="宋体"/>
          <w:color w:val="000000" w:themeColor="text1"/>
          <w:kern w:val="0"/>
          <w:szCs w:val="21"/>
        </w:rPr>
        <w:t>则不需提供组织机构代码证，只需提供营业执照复印件即可）、法定代表人身份证明书</w:t>
      </w:r>
      <w:r>
        <w:rPr>
          <w:rFonts w:hint="eastAsia" w:hAnsi="宋体"/>
          <w:color w:val="000000" w:themeColor="text1"/>
          <w:kern w:val="0"/>
          <w:szCs w:val="21"/>
        </w:rPr>
        <w:t>（</w:t>
      </w:r>
      <w:r>
        <w:rPr>
          <w:rFonts w:hAnsi="宋体"/>
          <w:color w:val="000000" w:themeColor="text1"/>
          <w:kern w:val="0"/>
          <w:szCs w:val="21"/>
        </w:rPr>
        <w:t>上述文件均需加盖单位公章</w:t>
      </w:r>
      <w:r>
        <w:rPr>
          <w:rFonts w:hint="eastAsia" w:hAnsi="宋体"/>
          <w:color w:val="000000" w:themeColor="text1"/>
          <w:kern w:val="0"/>
          <w:szCs w:val="21"/>
        </w:rPr>
        <w:t>）</w:t>
      </w:r>
      <w:r>
        <w:rPr>
          <w:rFonts w:hAnsi="宋体"/>
          <w:color w:val="000000" w:themeColor="text1"/>
          <w:kern w:val="0"/>
          <w:szCs w:val="21"/>
        </w:rPr>
        <w:t>；申报人为自然人的，提供申报人个人身份证复印件（签字并捺印）。</w:t>
      </w:r>
    </w:p>
    <w:p>
      <w:pPr>
        <w:widowControl/>
        <w:spacing w:line="440" w:lineRule="exact"/>
        <w:ind w:firstLine="420" w:firstLineChars="200"/>
        <w:rPr>
          <w:color w:val="000000" w:themeColor="text1"/>
          <w:kern w:val="0"/>
          <w:szCs w:val="21"/>
        </w:rPr>
      </w:pPr>
      <w:r>
        <w:rPr>
          <w:rFonts w:hAnsi="宋体"/>
          <w:color w:val="000000" w:themeColor="text1"/>
          <w:kern w:val="0"/>
          <w:szCs w:val="21"/>
        </w:rPr>
        <w:t>（四）申报人委托代理人申报债权，除根据第（三）项提供所需材料外，还需提供《授权委托书》及代理人身份证明</w:t>
      </w:r>
      <w:r>
        <w:rPr>
          <w:color w:val="000000" w:themeColor="text1"/>
          <w:kern w:val="0"/>
          <w:szCs w:val="21"/>
        </w:rPr>
        <w:t>(</w:t>
      </w:r>
      <w:r>
        <w:rPr>
          <w:rFonts w:hAnsi="宋体"/>
          <w:color w:val="000000" w:themeColor="text1"/>
          <w:kern w:val="0"/>
          <w:szCs w:val="21"/>
        </w:rPr>
        <w:t>代理人为</w:t>
      </w:r>
      <w:r>
        <w:rPr>
          <w:color w:val="000000" w:themeColor="text1"/>
          <w:szCs w:val="21"/>
        </w:rPr>
        <w:t>自然人提供身份证复印件，律师事务所提供律师事务所函及律师执业证复印件</w:t>
      </w:r>
      <w:r>
        <w:rPr>
          <w:rFonts w:hint="eastAsia"/>
          <w:color w:val="000000" w:themeColor="text1"/>
          <w:szCs w:val="21"/>
        </w:rPr>
        <w:t>)</w:t>
      </w:r>
      <w:r>
        <w:rPr>
          <w:rFonts w:hAnsi="宋体"/>
          <w:color w:val="000000" w:themeColor="text1"/>
          <w:kern w:val="0"/>
          <w:szCs w:val="21"/>
        </w:rPr>
        <w:t>。</w:t>
      </w:r>
    </w:p>
    <w:p>
      <w:pPr>
        <w:widowControl/>
        <w:spacing w:line="440" w:lineRule="exact"/>
        <w:ind w:firstLine="413" w:firstLineChars="196"/>
        <w:rPr>
          <w:b/>
          <w:color w:val="000000" w:themeColor="text1"/>
          <w:kern w:val="0"/>
          <w:szCs w:val="21"/>
        </w:rPr>
      </w:pPr>
      <w:r>
        <w:rPr>
          <w:rFonts w:hAnsi="宋体"/>
          <w:b/>
          <w:color w:val="000000" w:themeColor="text1"/>
          <w:kern w:val="0"/>
          <w:szCs w:val="21"/>
        </w:rPr>
        <w:t>上述文件均应采用</w:t>
      </w:r>
      <w:r>
        <w:rPr>
          <w:b/>
          <w:color w:val="000000" w:themeColor="text1"/>
          <w:kern w:val="0"/>
          <w:szCs w:val="21"/>
        </w:rPr>
        <w:t>A4</w:t>
      </w:r>
      <w:r>
        <w:rPr>
          <w:rFonts w:hAnsi="宋体"/>
          <w:b/>
          <w:color w:val="000000" w:themeColor="text1"/>
          <w:kern w:val="0"/>
          <w:szCs w:val="21"/>
        </w:rPr>
        <w:t>纸张制作；有关范本请向</w:t>
      </w:r>
      <w:r>
        <w:rPr>
          <w:rFonts w:hint="eastAsia" w:hAnsi="宋体"/>
          <w:b/>
          <w:color w:val="000000" w:themeColor="text1"/>
          <w:kern w:val="0"/>
          <w:szCs w:val="21"/>
          <w:lang w:eastAsia="zh-CN"/>
        </w:rPr>
        <w:t>嘉华建材（福建）有限公司</w:t>
      </w:r>
      <w:r>
        <w:rPr>
          <w:rFonts w:hAnsi="宋体"/>
          <w:b/>
          <w:color w:val="000000" w:themeColor="text1"/>
          <w:kern w:val="0"/>
          <w:szCs w:val="21"/>
        </w:rPr>
        <w:t>管理人索取。</w:t>
      </w:r>
    </w:p>
    <w:p>
      <w:pPr>
        <w:widowControl/>
        <w:spacing w:line="440" w:lineRule="exact"/>
        <w:ind w:firstLine="422" w:firstLineChars="200"/>
        <w:rPr>
          <w:color w:val="000000" w:themeColor="text1"/>
          <w:kern w:val="0"/>
          <w:szCs w:val="21"/>
        </w:rPr>
      </w:pPr>
      <w:r>
        <w:rPr>
          <w:rFonts w:hAnsi="宋体"/>
          <w:b/>
          <w:color w:val="000000" w:themeColor="text1"/>
          <w:kern w:val="0"/>
          <w:szCs w:val="21"/>
        </w:rPr>
        <w:t>二、</w:t>
      </w:r>
      <w:r>
        <w:rPr>
          <w:rFonts w:hAnsi="宋体"/>
          <w:color w:val="000000" w:themeColor="text1"/>
          <w:kern w:val="0"/>
          <w:szCs w:val="21"/>
        </w:rPr>
        <w:t>申报人应当如实、详细填写债权申报表以及提供完整、真实有效的申报材料和确认文书。</w:t>
      </w:r>
      <w:r>
        <w:rPr>
          <w:rFonts w:hAnsi="宋体"/>
          <w:b/>
          <w:color w:val="000000" w:themeColor="text1"/>
          <w:kern w:val="0"/>
          <w:szCs w:val="21"/>
        </w:rPr>
        <w:t>申报人不得编造虚假债权，否则，将承担相应的法律责任。</w:t>
      </w:r>
    </w:p>
    <w:p>
      <w:pPr>
        <w:widowControl/>
        <w:spacing w:line="440" w:lineRule="exact"/>
        <w:ind w:firstLine="422" w:firstLineChars="200"/>
        <w:rPr>
          <w:color w:val="000000" w:themeColor="text1"/>
          <w:szCs w:val="21"/>
        </w:rPr>
      </w:pPr>
      <w:r>
        <w:rPr>
          <w:rFonts w:hAnsi="宋体"/>
          <w:b/>
          <w:color w:val="000000" w:themeColor="text1"/>
          <w:kern w:val="0"/>
          <w:szCs w:val="21"/>
        </w:rPr>
        <w:t>三、</w:t>
      </w:r>
      <w:r>
        <w:rPr>
          <w:rFonts w:hAnsi="宋体"/>
          <w:color w:val="000000" w:themeColor="text1"/>
          <w:kern w:val="0"/>
          <w:szCs w:val="21"/>
        </w:rPr>
        <w:t>申报人应当严格遵守申报现场秩序，服从管理人工作人员的安排，有序申报及接受解答。</w:t>
      </w:r>
    </w:p>
    <w:p>
      <w:pPr>
        <w:widowControl/>
        <w:spacing w:line="440" w:lineRule="exact"/>
        <w:ind w:firstLine="422" w:firstLineChars="200"/>
        <w:rPr>
          <w:color w:val="000000" w:themeColor="text1"/>
          <w:kern w:val="0"/>
          <w:szCs w:val="21"/>
        </w:rPr>
      </w:pPr>
      <w:r>
        <w:rPr>
          <w:rFonts w:hAnsi="宋体"/>
          <w:b/>
          <w:color w:val="000000" w:themeColor="text1"/>
          <w:kern w:val="0"/>
          <w:szCs w:val="21"/>
        </w:rPr>
        <w:t>四、</w:t>
      </w:r>
      <w:r>
        <w:rPr>
          <w:rFonts w:hAnsi="宋体"/>
          <w:color w:val="000000" w:themeColor="text1"/>
          <w:kern w:val="0"/>
          <w:szCs w:val="21"/>
        </w:rPr>
        <w:t>申报材料将由管理人进行登记造册，严格审查，并编制债权表。申报人应当积极配合管理人的审查，如实回答管理人的询问。</w:t>
      </w:r>
    </w:p>
    <w:p>
      <w:pPr>
        <w:widowControl/>
        <w:spacing w:line="440" w:lineRule="exact"/>
        <w:ind w:firstLine="422" w:firstLineChars="200"/>
        <w:rPr>
          <w:color w:val="000000" w:themeColor="text1"/>
          <w:kern w:val="0"/>
          <w:szCs w:val="21"/>
        </w:rPr>
      </w:pPr>
      <w:r>
        <w:rPr>
          <w:rFonts w:hAnsi="宋体"/>
          <w:b/>
          <w:color w:val="000000" w:themeColor="text1"/>
          <w:kern w:val="0"/>
          <w:szCs w:val="21"/>
        </w:rPr>
        <w:t>五、</w:t>
      </w:r>
      <w:r>
        <w:rPr>
          <w:rFonts w:hAnsi="宋体"/>
          <w:color w:val="000000" w:themeColor="text1"/>
          <w:kern w:val="0"/>
          <w:szCs w:val="21"/>
        </w:rPr>
        <w:t>管理人编制的债权表，将提交第一次债权人会议核查。如债权人对债权表记载的债权无异议的由人民法院裁定确认；如债权人对债权表记载的债权有异议的，可向受理法院提起诉讼。</w:t>
      </w:r>
    </w:p>
    <w:p>
      <w:pPr>
        <w:widowControl/>
        <w:spacing w:line="440" w:lineRule="exact"/>
        <w:ind w:firstLine="422" w:firstLineChars="200"/>
        <w:rPr>
          <w:b/>
          <w:color w:val="000000" w:themeColor="text1"/>
          <w:szCs w:val="21"/>
        </w:rPr>
      </w:pPr>
      <w:r>
        <w:rPr>
          <w:rFonts w:hAnsi="宋体"/>
          <w:b/>
          <w:color w:val="000000" w:themeColor="text1"/>
          <w:kern w:val="0"/>
          <w:szCs w:val="21"/>
        </w:rPr>
        <w:t>六、</w:t>
      </w:r>
      <w:r>
        <w:rPr>
          <w:rFonts w:hAnsi="宋体"/>
          <w:color w:val="000000" w:themeColor="text1"/>
          <w:kern w:val="0"/>
          <w:szCs w:val="21"/>
        </w:rPr>
        <w:t>申报人可将《债权申报表》</w:t>
      </w:r>
      <w:r>
        <w:rPr>
          <w:color w:val="000000" w:themeColor="text1"/>
          <w:szCs w:val="21"/>
        </w:rPr>
        <w:t>电子档预发至</w:t>
      </w:r>
      <w:r>
        <w:rPr>
          <w:b/>
          <w:color w:val="000000" w:themeColor="text1"/>
          <w:szCs w:val="21"/>
          <w:u w:val="single"/>
        </w:rPr>
        <w:t>xsqzpc@qq.com</w:t>
      </w:r>
      <w:r>
        <w:rPr>
          <w:color w:val="000000" w:themeColor="text1"/>
          <w:szCs w:val="21"/>
        </w:rPr>
        <w:t>债权申报专用邮箱。</w:t>
      </w:r>
      <w:r>
        <w:rPr>
          <w:b/>
          <w:color w:val="000000" w:themeColor="text1"/>
          <w:szCs w:val="21"/>
        </w:rPr>
        <w:t>申报人以递交书面申报文件为正式申报。</w:t>
      </w:r>
    </w:p>
    <w:p>
      <w:pPr>
        <w:widowControl/>
        <w:spacing w:line="440" w:lineRule="exact"/>
        <w:ind w:firstLine="422" w:firstLineChars="200"/>
        <w:rPr>
          <w:b/>
          <w:color w:val="000000" w:themeColor="text1"/>
          <w:szCs w:val="21"/>
        </w:rPr>
      </w:pPr>
      <w:r>
        <w:rPr>
          <w:b/>
          <w:color w:val="000000" w:themeColor="text1"/>
          <w:szCs w:val="21"/>
        </w:rPr>
        <w:t>七、</w:t>
      </w:r>
      <w:r>
        <w:rPr>
          <w:color w:val="000000" w:themeColor="text1"/>
          <w:szCs w:val="21"/>
        </w:rPr>
        <w:t>申报人应于</w:t>
      </w:r>
      <w:r>
        <w:rPr>
          <w:b/>
          <w:color w:val="000000" w:themeColor="text1"/>
          <w:szCs w:val="21"/>
          <w:u w:val="single"/>
        </w:rPr>
        <w:t>2020年</w:t>
      </w:r>
      <w:r>
        <w:rPr>
          <w:rFonts w:hint="eastAsia"/>
          <w:b/>
          <w:color w:val="000000" w:themeColor="text1"/>
          <w:szCs w:val="21"/>
          <w:u w:val="single"/>
          <w:lang w:val="en-US" w:eastAsia="zh-CN"/>
        </w:rPr>
        <w:t>7</w:t>
      </w:r>
      <w:r>
        <w:rPr>
          <w:b/>
          <w:color w:val="000000" w:themeColor="text1"/>
          <w:szCs w:val="21"/>
          <w:u w:val="single"/>
        </w:rPr>
        <w:t>月</w:t>
      </w:r>
      <w:r>
        <w:rPr>
          <w:rFonts w:hint="eastAsia"/>
          <w:b/>
          <w:color w:val="000000" w:themeColor="text1"/>
          <w:szCs w:val="21"/>
          <w:u w:val="single"/>
          <w:lang w:val="en-US" w:eastAsia="zh-CN"/>
        </w:rPr>
        <w:t>25</w:t>
      </w:r>
      <w:r>
        <w:rPr>
          <w:b/>
          <w:color w:val="000000" w:themeColor="text1"/>
          <w:szCs w:val="21"/>
          <w:u w:val="single"/>
        </w:rPr>
        <w:t>日</w:t>
      </w:r>
      <w:r>
        <w:rPr>
          <w:color w:val="000000" w:themeColor="text1"/>
          <w:szCs w:val="21"/>
        </w:rPr>
        <w:t>前向管理人申报债权。未在上述期限内申报债权的，可以在</w:t>
      </w:r>
      <w:r>
        <w:rPr>
          <w:rFonts w:hint="eastAsia"/>
          <w:color w:val="000000" w:themeColor="text1"/>
          <w:szCs w:val="21"/>
        </w:rPr>
        <w:t>破产财产分配方案提交债权人会议讨论前补充申报</w:t>
      </w:r>
      <w:r>
        <w:rPr>
          <w:color w:val="000000" w:themeColor="text1"/>
          <w:szCs w:val="21"/>
        </w:rPr>
        <w:t>，</w:t>
      </w:r>
      <w:r>
        <w:rPr>
          <w:rFonts w:hint="eastAsia"/>
          <w:b/>
          <w:color w:val="000000" w:themeColor="text1"/>
          <w:szCs w:val="21"/>
        </w:rPr>
        <w:t>但对此前已进行的分配，无权再要求补充分配，并</w:t>
      </w:r>
      <w:r>
        <w:rPr>
          <w:b/>
          <w:color w:val="000000" w:themeColor="text1"/>
          <w:szCs w:val="21"/>
        </w:rPr>
        <w:t>要承担为审查和确认补充申报债权所产生的费用。未依法申报债权的，不得依照破产法规定的程序行使权利。</w:t>
      </w:r>
    </w:p>
    <w:p>
      <w:pPr>
        <w:widowControl/>
        <w:spacing w:line="440" w:lineRule="exact"/>
        <w:ind w:firstLine="422" w:firstLineChars="200"/>
        <w:rPr>
          <w:b/>
          <w:color w:val="000000" w:themeColor="text1"/>
          <w:szCs w:val="21"/>
        </w:rPr>
      </w:pPr>
      <w:r>
        <w:rPr>
          <w:b/>
          <w:color w:val="000000" w:themeColor="text1"/>
          <w:szCs w:val="21"/>
        </w:rPr>
        <w:t>八、</w:t>
      </w:r>
      <w:r>
        <w:rPr>
          <w:color w:val="000000" w:themeColor="text1"/>
          <w:szCs w:val="21"/>
        </w:rPr>
        <w:t>债权申报地址：</w:t>
      </w:r>
      <w:r>
        <w:rPr>
          <w:rFonts w:hint="eastAsia"/>
          <w:b/>
          <w:bCs/>
          <w:color w:val="000000" w:themeColor="text1"/>
          <w:szCs w:val="21"/>
        </w:rPr>
        <w:t>福建省泉州市丰泽区滨海街2</w:t>
      </w:r>
      <w:r>
        <w:rPr>
          <w:b/>
          <w:bCs/>
          <w:color w:val="000000" w:themeColor="text1"/>
          <w:szCs w:val="21"/>
        </w:rPr>
        <w:t>22</w:t>
      </w:r>
      <w:r>
        <w:rPr>
          <w:rFonts w:hint="eastAsia"/>
          <w:b/>
          <w:bCs/>
          <w:color w:val="000000" w:themeColor="text1"/>
          <w:szCs w:val="21"/>
        </w:rPr>
        <w:t>号香缤中心17层福建联合信实（泉州）律师事务所；联系电话：</w:t>
      </w:r>
      <w:r>
        <w:rPr>
          <w:b/>
          <w:bCs/>
          <w:color w:val="000000" w:themeColor="text1"/>
          <w:szCs w:val="21"/>
        </w:rPr>
        <w:t>13148470496</w:t>
      </w:r>
      <w:r>
        <w:rPr>
          <w:rFonts w:hint="eastAsia"/>
          <w:b/>
          <w:bCs/>
          <w:color w:val="000000" w:themeColor="text1"/>
          <w:szCs w:val="21"/>
        </w:rPr>
        <w:t>（郭律师）、</w:t>
      </w:r>
      <w:r>
        <w:rPr>
          <w:b/>
          <w:bCs/>
          <w:color w:val="000000" w:themeColor="text1"/>
          <w:szCs w:val="21"/>
        </w:rPr>
        <w:t>19959950609</w:t>
      </w:r>
      <w:r>
        <w:rPr>
          <w:rFonts w:hint="eastAsia"/>
          <w:b/>
          <w:bCs/>
          <w:color w:val="000000" w:themeColor="text1"/>
          <w:szCs w:val="21"/>
        </w:rPr>
        <w:t>（陈先生）。</w:t>
      </w:r>
    </w:p>
    <w:p>
      <w:pPr>
        <w:widowControl/>
        <w:spacing w:line="440" w:lineRule="exact"/>
        <w:ind w:firstLine="422" w:firstLineChars="200"/>
        <w:rPr>
          <w:rFonts w:hAnsi="宋体"/>
          <w:color w:val="000000" w:themeColor="text1"/>
          <w:szCs w:val="21"/>
        </w:rPr>
      </w:pPr>
      <w:r>
        <w:rPr>
          <w:rFonts w:hAnsi="宋体"/>
          <w:b/>
          <w:color w:val="000000" w:themeColor="text1"/>
          <w:szCs w:val="21"/>
        </w:rPr>
        <w:t>九</w:t>
      </w:r>
      <w:r>
        <w:rPr>
          <w:rFonts w:hint="eastAsia" w:hAnsi="宋体"/>
          <w:b/>
          <w:color w:val="000000" w:themeColor="text1"/>
          <w:szCs w:val="21"/>
        </w:rPr>
        <w:t>、</w:t>
      </w:r>
      <w:r>
        <w:rPr>
          <w:rFonts w:hAnsi="宋体"/>
          <w:color w:val="000000" w:themeColor="text1"/>
          <w:szCs w:val="21"/>
        </w:rPr>
        <w:t>第一次债权人会议</w:t>
      </w:r>
      <w:r>
        <w:rPr>
          <w:rFonts w:hint="eastAsia" w:hAnsi="宋体"/>
          <w:color w:val="000000" w:themeColor="text1"/>
          <w:szCs w:val="21"/>
        </w:rPr>
        <w:t>定</w:t>
      </w:r>
      <w:r>
        <w:rPr>
          <w:rFonts w:hAnsi="宋体"/>
          <w:color w:val="000000" w:themeColor="text1"/>
          <w:szCs w:val="21"/>
        </w:rPr>
        <w:t>于</w:t>
      </w:r>
      <w:r>
        <w:rPr>
          <w:rFonts w:hAnsi="宋体"/>
          <w:b/>
          <w:color w:val="000000" w:themeColor="text1"/>
          <w:szCs w:val="21"/>
          <w:u w:val="single"/>
        </w:rPr>
        <w:t>2020年</w:t>
      </w:r>
      <w:r>
        <w:rPr>
          <w:rFonts w:hint="eastAsia" w:hAnsi="宋体"/>
          <w:b/>
          <w:color w:val="000000" w:themeColor="text1"/>
          <w:szCs w:val="21"/>
          <w:u w:val="single"/>
          <w:lang w:val="en-US" w:eastAsia="zh-CN"/>
        </w:rPr>
        <w:t>8</w:t>
      </w:r>
      <w:r>
        <w:rPr>
          <w:rFonts w:hAnsi="宋体"/>
          <w:b/>
          <w:color w:val="000000" w:themeColor="text1"/>
          <w:szCs w:val="21"/>
          <w:u w:val="single"/>
        </w:rPr>
        <w:t>月</w:t>
      </w:r>
      <w:r>
        <w:rPr>
          <w:rFonts w:hint="eastAsia" w:hAnsi="宋体"/>
          <w:b/>
          <w:color w:val="000000" w:themeColor="text1"/>
          <w:szCs w:val="21"/>
          <w:u w:val="single"/>
          <w:lang w:val="en-US" w:eastAsia="zh-CN"/>
        </w:rPr>
        <w:t>4</w:t>
      </w:r>
      <w:r>
        <w:rPr>
          <w:rFonts w:hAnsi="宋体"/>
          <w:b/>
          <w:color w:val="000000" w:themeColor="text1"/>
          <w:szCs w:val="21"/>
          <w:u w:val="single"/>
        </w:rPr>
        <w:t>日</w:t>
      </w:r>
      <w:r>
        <w:rPr>
          <w:rFonts w:hint="eastAsia" w:hAnsi="宋体"/>
          <w:b/>
          <w:color w:val="000000" w:themeColor="text1"/>
          <w:szCs w:val="21"/>
          <w:u w:val="single"/>
          <w:lang w:val="en-US" w:eastAsia="zh-CN"/>
        </w:rPr>
        <w:t>上午9</w:t>
      </w:r>
      <w:r>
        <w:rPr>
          <w:rFonts w:hint="eastAsia" w:hAnsi="宋体"/>
          <w:b/>
          <w:color w:val="000000" w:themeColor="text1"/>
          <w:szCs w:val="21"/>
          <w:u w:val="single"/>
        </w:rPr>
        <w:t>时</w:t>
      </w:r>
      <w:bookmarkStart w:id="6" w:name="_GoBack"/>
      <w:bookmarkEnd w:id="6"/>
      <w:r>
        <w:rPr>
          <w:rFonts w:hint="eastAsia" w:hAnsi="宋体"/>
          <w:bCs/>
          <w:color w:val="000000" w:themeColor="text1"/>
          <w:szCs w:val="21"/>
        </w:rPr>
        <w:t>在</w:t>
      </w:r>
      <w:r>
        <w:rPr>
          <w:rFonts w:hint="eastAsia" w:hAnsi="宋体"/>
          <w:b/>
          <w:color w:val="000000" w:themeColor="text1"/>
          <w:szCs w:val="21"/>
        </w:rPr>
        <w:t>福建省泉州市中级人民法院审判楼第九法庭</w:t>
      </w:r>
      <w:r>
        <w:rPr>
          <w:rFonts w:hAnsi="宋体"/>
          <w:color w:val="000000" w:themeColor="text1"/>
          <w:szCs w:val="21"/>
        </w:rPr>
        <w:t>召开。</w:t>
      </w:r>
    </w:p>
    <w:p>
      <w:pPr>
        <w:widowControl/>
        <w:spacing w:line="440" w:lineRule="exact"/>
        <w:ind w:firstLine="422" w:firstLineChars="200"/>
        <w:rPr>
          <w:b/>
          <w:color w:val="000000" w:themeColor="text1"/>
          <w:szCs w:val="21"/>
        </w:rPr>
      </w:pPr>
      <w:r>
        <w:rPr>
          <w:rFonts w:hint="eastAsia"/>
          <w:b/>
          <w:color w:val="000000" w:themeColor="text1"/>
          <w:szCs w:val="21"/>
        </w:rPr>
        <w:t>十、债权人权利义务：</w:t>
      </w:r>
    </w:p>
    <w:p>
      <w:pPr>
        <w:widowControl/>
        <w:spacing w:line="440" w:lineRule="exact"/>
        <w:ind w:firstLine="420" w:firstLineChars="200"/>
        <w:rPr>
          <w:rFonts w:hAnsi="宋体"/>
          <w:color w:val="000000" w:themeColor="text1"/>
          <w:kern w:val="0"/>
          <w:szCs w:val="21"/>
        </w:rPr>
      </w:pPr>
      <w:r>
        <w:rPr>
          <w:rFonts w:hint="eastAsia" w:hAnsi="宋体"/>
          <w:color w:val="000000" w:themeColor="text1"/>
          <w:kern w:val="0"/>
          <w:szCs w:val="21"/>
        </w:rPr>
        <w:t>（一）</w:t>
      </w:r>
      <w:r>
        <w:rPr>
          <w:rFonts w:hAnsi="宋体"/>
          <w:color w:val="000000" w:themeColor="text1"/>
          <w:kern w:val="0"/>
          <w:szCs w:val="21"/>
        </w:rPr>
        <w:t>依法申报债权并经管理人审查债权成立的债权人为债权人会议的成员，有权参加债权人会议，享有表决权。债权尚未确定的债权人，除人民法院能够为其行使表决权而临时确定债权额的外，不得行使表决权。对债务人的特定财产享有担保权的债权人，未放弃优先受偿权利的，对于通过和解协议、通过破产财产的分配方案不享有表决权。</w:t>
      </w:r>
    </w:p>
    <w:p>
      <w:pPr>
        <w:widowControl/>
        <w:spacing w:line="440" w:lineRule="exact"/>
        <w:ind w:firstLine="420" w:firstLineChars="200"/>
        <w:rPr>
          <w:b/>
          <w:color w:val="000000" w:themeColor="text1"/>
          <w:szCs w:val="21"/>
        </w:rPr>
      </w:pPr>
      <w:r>
        <w:rPr>
          <w:rFonts w:hint="eastAsia" w:hAnsi="宋体"/>
          <w:color w:val="000000" w:themeColor="text1"/>
          <w:kern w:val="0"/>
          <w:szCs w:val="21"/>
        </w:rPr>
        <w:t>（二）</w:t>
      </w:r>
      <w:r>
        <w:rPr>
          <w:rFonts w:hAnsi="宋体"/>
          <w:color w:val="000000" w:themeColor="text1"/>
          <w:kern w:val="0"/>
          <w:szCs w:val="21"/>
        </w:rPr>
        <w:t>债权人可以委托代理人出席债权人会议，行使表决权。代理人出席债权人会议，应当向人民法院或者债权人会议主席提交债权人的授权委托书。债权人会议应当有债务人的职工和工会的代表参加，对有关事项发表意见。</w:t>
      </w:r>
      <w:bookmarkStart w:id="0" w:name="60"/>
      <w:bookmarkEnd w:id="0"/>
    </w:p>
    <w:p>
      <w:pPr>
        <w:widowControl/>
        <w:spacing w:line="440" w:lineRule="exact"/>
        <w:ind w:firstLine="420" w:firstLineChars="200"/>
        <w:rPr>
          <w:b/>
          <w:color w:val="000000" w:themeColor="text1"/>
          <w:szCs w:val="21"/>
        </w:rPr>
      </w:pPr>
      <w:r>
        <w:rPr>
          <w:rFonts w:hAnsi="宋体"/>
          <w:color w:val="000000" w:themeColor="text1"/>
          <w:kern w:val="0"/>
          <w:szCs w:val="21"/>
        </w:rPr>
        <w:t>债权人会议设主席一人，由人民法院从有表决权的债权人中指定。债权人会议主席主持债权人会议。</w:t>
      </w:r>
      <w:bookmarkStart w:id="1" w:name="61"/>
      <w:bookmarkEnd w:id="1"/>
    </w:p>
    <w:p>
      <w:pPr>
        <w:widowControl/>
        <w:spacing w:line="440" w:lineRule="exact"/>
        <w:ind w:firstLine="420" w:firstLineChars="200"/>
        <w:rPr>
          <w:b/>
          <w:color w:val="000000" w:themeColor="text1"/>
          <w:szCs w:val="21"/>
        </w:rPr>
      </w:pPr>
      <w:r>
        <w:rPr>
          <w:rFonts w:hint="eastAsia" w:hAnsi="宋体"/>
          <w:color w:val="000000" w:themeColor="text1"/>
          <w:kern w:val="0"/>
          <w:szCs w:val="21"/>
        </w:rPr>
        <w:t>（三）</w:t>
      </w:r>
      <w:r>
        <w:rPr>
          <w:rFonts w:hAnsi="宋体"/>
          <w:color w:val="000000" w:themeColor="text1"/>
          <w:kern w:val="0"/>
          <w:szCs w:val="21"/>
        </w:rPr>
        <w:t>债权人会议行使下列职权：</w:t>
      </w:r>
      <w:r>
        <w:rPr>
          <w:rFonts w:hint="eastAsia" w:hAnsi="宋体"/>
          <w:color w:val="000000" w:themeColor="text1"/>
          <w:kern w:val="0"/>
          <w:szCs w:val="21"/>
        </w:rPr>
        <w:t>1</w:t>
      </w:r>
      <w:r>
        <w:rPr>
          <w:rFonts w:hAnsi="宋体"/>
          <w:color w:val="000000" w:themeColor="text1"/>
          <w:kern w:val="0"/>
          <w:szCs w:val="21"/>
        </w:rPr>
        <w:t>. 核查债权；</w:t>
      </w:r>
      <w:r>
        <w:rPr>
          <w:rFonts w:hint="eastAsia" w:hAnsi="宋体"/>
          <w:color w:val="000000" w:themeColor="text1"/>
          <w:kern w:val="0"/>
          <w:szCs w:val="21"/>
        </w:rPr>
        <w:t>2</w:t>
      </w:r>
      <w:r>
        <w:rPr>
          <w:rFonts w:hAnsi="宋体"/>
          <w:color w:val="000000" w:themeColor="text1"/>
          <w:kern w:val="0"/>
          <w:szCs w:val="21"/>
        </w:rPr>
        <w:t>. 申请人民法院更换管理人，审查管理人的费用和报酬；</w:t>
      </w:r>
      <w:r>
        <w:rPr>
          <w:rFonts w:hint="eastAsia" w:hAnsi="宋体"/>
          <w:color w:val="000000" w:themeColor="text1"/>
          <w:kern w:val="0"/>
          <w:szCs w:val="21"/>
        </w:rPr>
        <w:t>3</w:t>
      </w:r>
      <w:r>
        <w:rPr>
          <w:rFonts w:hAnsi="宋体"/>
          <w:color w:val="000000" w:themeColor="text1"/>
          <w:kern w:val="0"/>
          <w:szCs w:val="21"/>
        </w:rPr>
        <w:t>. 监督管理人；</w:t>
      </w:r>
      <w:r>
        <w:rPr>
          <w:rFonts w:hint="eastAsia" w:hAnsi="宋体"/>
          <w:color w:val="000000" w:themeColor="text1"/>
          <w:kern w:val="0"/>
          <w:szCs w:val="21"/>
        </w:rPr>
        <w:t>4</w:t>
      </w:r>
      <w:r>
        <w:rPr>
          <w:rFonts w:hAnsi="宋体"/>
          <w:color w:val="000000" w:themeColor="text1"/>
          <w:kern w:val="0"/>
          <w:szCs w:val="21"/>
        </w:rPr>
        <w:t>. 选任和更换债权人委员会成员；</w:t>
      </w:r>
      <w:r>
        <w:rPr>
          <w:rFonts w:hint="eastAsia" w:hAnsi="宋体"/>
          <w:color w:val="000000" w:themeColor="text1"/>
          <w:kern w:val="0"/>
          <w:szCs w:val="21"/>
        </w:rPr>
        <w:t>5</w:t>
      </w:r>
      <w:r>
        <w:rPr>
          <w:rFonts w:hAnsi="宋体"/>
          <w:color w:val="000000" w:themeColor="text1"/>
          <w:kern w:val="0"/>
          <w:szCs w:val="21"/>
        </w:rPr>
        <w:t>. 决定继续或者停止债务人的营业；</w:t>
      </w:r>
      <w:r>
        <w:rPr>
          <w:rFonts w:hint="eastAsia" w:hAnsi="宋体"/>
          <w:color w:val="000000" w:themeColor="text1"/>
          <w:kern w:val="0"/>
          <w:szCs w:val="21"/>
        </w:rPr>
        <w:t>6</w:t>
      </w:r>
      <w:r>
        <w:rPr>
          <w:rFonts w:hAnsi="宋体"/>
          <w:color w:val="000000" w:themeColor="text1"/>
          <w:kern w:val="0"/>
          <w:szCs w:val="21"/>
        </w:rPr>
        <w:t>. 通过重整计划；</w:t>
      </w:r>
      <w:r>
        <w:rPr>
          <w:rFonts w:hint="eastAsia" w:hAnsi="宋体"/>
          <w:color w:val="000000" w:themeColor="text1"/>
          <w:kern w:val="0"/>
          <w:szCs w:val="21"/>
        </w:rPr>
        <w:t>7</w:t>
      </w:r>
      <w:r>
        <w:rPr>
          <w:rFonts w:hAnsi="宋体"/>
          <w:color w:val="000000" w:themeColor="text1"/>
          <w:kern w:val="0"/>
          <w:szCs w:val="21"/>
        </w:rPr>
        <w:t>. 通过和解协议；</w:t>
      </w:r>
      <w:r>
        <w:rPr>
          <w:rFonts w:hint="eastAsia" w:hAnsi="宋体"/>
          <w:color w:val="000000" w:themeColor="text1"/>
          <w:kern w:val="0"/>
          <w:szCs w:val="21"/>
        </w:rPr>
        <w:t>8</w:t>
      </w:r>
      <w:r>
        <w:rPr>
          <w:rFonts w:hAnsi="宋体"/>
          <w:color w:val="000000" w:themeColor="text1"/>
          <w:kern w:val="0"/>
          <w:szCs w:val="21"/>
        </w:rPr>
        <w:t>. 通过债务人财产的管理方案；</w:t>
      </w:r>
      <w:r>
        <w:rPr>
          <w:rFonts w:hint="eastAsia" w:hAnsi="宋体"/>
          <w:color w:val="000000" w:themeColor="text1"/>
          <w:kern w:val="0"/>
          <w:szCs w:val="21"/>
        </w:rPr>
        <w:t>9</w:t>
      </w:r>
      <w:r>
        <w:rPr>
          <w:rFonts w:hAnsi="宋体"/>
          <w:color w:val="000000" w:themeColor="text1"/>
          <w:kern w:val="0"/>
          <w:szCs w:val="21"/>
        </w:rPr>
        <w:t>. 通过破产财产的变价方案；</w:t>
      </w:r>
      <w:r>
        <w:rPr>
          <w:rFonts w:hint="eastAsia" w:hAnsi="宋体"/>
          <w:color w:val="000000" w:themeColor="text1"/>
          <w:kern w:val="0"/>
          <w:szCs w:val="21"/>
        </w:rPr>
        <w:t>1</w:t>
      </w:r>
      <w:r>
        <w:rPr>
          <w:rFonts w:hAnsi="宋体"/>
          <w:color w:val="000000" w:themeColor="text1"/>
          <w:kern w:val="0"/>
          <w:szCs w:val="21"/>
        </w:rPr>
        <w:t>0. 通过破产财产的分配方案；</w:t>
      </w:r>
      <w:r>
        <w:rPr>
          <w:rFonts w:hint="eastAsia" w:hAnsi="宋体"/>
          <w:color w:val="000000" w:themeColor="text1"/>
          <w:kern w:val="0"/>
          <w:szCs w:val="21"/>
        </w:rPr>
        <w:t>1</w:t>
      </w:r>
      <w:r>
        <w:rPr>
          <w:rFonts w:hAnsi="宋体"/>
          <w:color w:val="000000" w:themeColor="text1"/>
          <w:kern w:val="0"/>
          <w:szCs w:val="21"/>
        </w:rPr>
        <w:t>1. 人民法院认为应当由债权人会议行使的其他职权。债权人会议应当对所议事项的决议作成会议</w:t>
      </w:r>
      <w:r>
        <w:rPr>
          <w:rFonts w:hint="eastAsia" w:hAnsi="宋体"/>
          <w:color w:val="000000" w:themeColor="text1"/>
          <w:kern w:val="0"/>
          <w:szCs w:val="21"/>
        </w:rPr>
        <w:t>记</w:t>
      </w:r>
      <w:r>
        <w:rPr>
          <w:rFonts w:hAnsi="宋体"/>
          <w:color w:val="000000" w:themeColor="text1"/>
          <w:kern w:val="0"/>
          <w:szCs w:val="21"/>
        </w:rPr>
        <w:t>录。</w:t>
      </w:r>
      <w:bookmarkStart w:id="2" w:name="62"/>
      <w:bookmarkEnd w:id="2"/>
    </w:p>
    <w:p>
      <w:pPr>
        <w:widowControl/>
        <w:spacing w:line="440" w:lineRule="exact"/>
        <w:ind w:firstLine="420" w:firstLineChars="200"/>
        <w:rPr>
          <w:b/>
          <w:color w:val="000000" w:themeColor="text1"/>
          <w:szCs w:val="21"/>
        </w:rPr>
      </w:pPr>
      <w:r>
        <w:rPr>
          <w:rFonts w:hint="eastAsia" w:hAnsi="宋体"/>
          <w:color w:val="000000" w:themeColor="text1"/>
          <w:kern w:val="0"/>
          <w:szCs w:val="21"/>
        </w:rPr>
        <w:t>（四）</w:t>
      </w:r>
      <w:r>
        <w:rPr>
          <w:rFonts w:hAnsi="宋体"/>
          <w:color w:val="000000" w:themeColor="text1"/>
          <w:kern w:val="0"/>
          <w:szCs w:val="21"/>
        </w:rPr>
        <w:t>第一次债权人会议由人民法院召集，自债权申报期限届满之日起十五日内召开。以后的债权人会议，在人民法院认为必要时，或者管理人、债权人委员会、占债权总额四分之一以上的债权人向债权人会议主席提议时召开。</w:t>
      </w:r>
      <w:bookmarkStart w:id="3" w:name="63"/>
      <w:bookmarkEnd w:id="3"/>
      <w:r>
        <w:rPr>
          <w:rFonts w:hAnsi="宋体"/>
          <w:color w:val="000000" w:themeColor="text1"/>
          <w:kern w:val="0"/>
          <w:szCs w:val="21"/>
        </w:rPr>
        <w:t>召开债权人会议，管理人应当提前十五日通知已知的债权人。</w:t>
      </w:r>
      <w:bookmarkStart w:id="4" w:name="64"/>
      <w:bookmarkEnd w:id="4"/>
    </w:p>
    <w:p>
      <w:pPr>
        <w:widowControl/>
        <w:spacing w:line="440" w:lineRule="exact"/>
        <w:ind w:firstLine="420" w:firstLineChars="200"/>
        <w:rPr>
          <w:b/>
          <w:color w:val="000000" w:themeColor="text1"/>
          <w:szCs w:val="21"/>
        </w:rPr>
      </w:pPr>
      <w:r>
        <w:rPr>
          <w:rFonts w:hint="eastAsia" w:hAnsi="宋体"/>
          <w:color w:val="000000" w:themeColor="text1"/>
          <w:kern w:val="0"/>
          <w:szCs w:val="21"/>
        </w:rPr>
        <w:t>（五）</w:t>
      </w:r>
      <w:r>
        <w:rPr>
          <w:rFonts w:hAnsi="宋体"/>
          <w:color w:val="000000" w:themeColor="text1"/>
          <w:kern w:val="0"/>
          <w:szCs w:val="21"/>
        </w:rPr>
        <w:t>债权人会议可以决定设立债权人委员会。债权人委员会由债权人会议选任的债权人代表和一名债务人的职工代表或者工会代表组成。债权人委员会成员不得超过九人。债权人委员会成员应当经人民法院书面决定认可。</w:t>
      </w:r>
      <w:bookmarkStart w:id="5" w:name="68"/>
      <w:bookmarkEnd w:id="5"/>
    </w:p>
    <w:p>
      <w:pPr>
        <w:widowControl/>
        <w:spacing w:line="440" w:lineRule="exact"/>
        <w:ind w:firstLine="420" w:firstLineChars="200"/>
        <w:rPr>
          <w:b/>
          <w:color w:val="000000" w:themeColor="text1"/>
          <w:szCs w:val="21"/>
        </w:rPr>
      </w:pPr>
      <w:r>
        <w:rPr>
          <w:rFonts w:hint="eastAsia" w:hAnsi="宋体"/>
          <w:color w:val="000000" w:themeColor="text1"/>
          <w:kern w:val="0"/>
          <w:szCs w:val="21"/>
        </w:rPr>
        <w:t>（六）</w:t>
      </w:r>
      <w:r>
        <w:rPr>
          <w:rFonts w:hAnsi="宋体"/>
          <w:color w:val="000000" w:themeColor="text1"/>
          <w:kern w:val="0"/>
          <w:szCs w:val="21"/>
        </w:rPr>
        <w:t>债权人委员会行使下列职权：</w:t>
      </w:r>
      <w:r>
        <w:rPr>
          <w:rFonts w:hint="eastAsia" w:hAnsi="宋体"/>
          <w:color w:val="000000" w:themeColor="text1"/>
          <w:kern w:val="0"/>
          <w:szCs w:val="21"/>
        </w:rPr>
        <w:t>1</w:t>
      </w:r>
      <w:r>
        <w:rPr>
          <w:rFonts w:hAnsi="宋体"/>
          <w:color w:val="000000" w:themeColor="text1"/>
          <w:kern w:val="0"/>
          <w:szCs w:val="21"/>
        </w:rPr>
        <w:t>. 监督债务人财产的管理和处分；</w:t>
      </w:r>
      <w:r>
        <w:rPr>
          <w:rFonts w:hint="eastAsia" w:hAnsi="宋体"/>
          <w:color w:val="000000" w:themeColor="text1"/>
          <w:kern w:val="0"/>
          <w:szCs w:val="21"/>
        </w:rPr>
        <w:t>2</w:t>
      </w:r>
      <w:r>
        <w:rPr>
          <w:rFonts w:hAnsi="宋体"/>
          <w:color w:val="000000" w:themeColor="text1"/>
          <w:kern w:val="0"/>
          <w:szCs w:val="21"/>
        </w:rPr>
        <w:t>. 监督破产财产分配；</w:t>
      </w:r>
      <w:r>
        <w:rPr>
          <w:rFonts w:hint="eastAsia" w:hAnsi="宋体"/>
          <w:color w:val="000000" w:themeColor="text1"/>
          <w:kern w:val="0"/>
          <w:szCs w:val="21"/>
        </w:rPr>
        <w:t>3</w:t>
      </w:r>
      <w:r>
        <w:rPr>
          <w:rFonts w:hAnsi="宋体"/>
          <w:color w:val="000000" w:themeColor="text1"/>
          <w:kern w:val="0"/>
          <w:szCs w:val="21"/>
        </w:rPr>
        <w:t>. 提议召开债权人会议；</w:t>
      </w:r>
      <w:r>
        <w:rPr>
          <w:rFonts w:hint="eastAsia" w:hAnsi="宋体"/>
          <w:color w:val="000000" w:themeColor="text1"/>
          <w:kern w:val="0"/>
          <w:szCs w:val="21"/>
        </w:rPr>
        <w:t>4</w:t>
      </w:r>
      <w:r>
        <w:rPr>
          <w:rFonts w:hAnsi="宋体"/>
          <w:color w:val="000000" w:themeColor="text1"/>
          <w:kern w:val="0"/>
          <w:szCs w:val="21"/>
        </w:rPr>
        <w:t>. 债权人会议委托的其他职权。</w:t>
      </w:r>
    </w:p>
    <w:p>
      <w:pPr>
        <w:widowControl/>
        <w:spacing w:line="440" w:lineRule="exact"/>
        <w:ind w:firstLine="420" w:firstLineChars="200"/>
        <w:rPr>
          <w:rFonts w:hAnsi="宋体"/>
          <w:color w:val="000000" w:themeColor="text1"/>
          <w:kern w:val="0"/>
          <w:szCs w:val="21"/>
        </w:rPr>
      </w:pPr>
    </w:p>
    <w:sectPr>
      <w:headerReference r:id="rId3" w:type="default"/>
      <w:footerReference r:id="rId4" w:type="default"/>
      <w:pgSz w:w="11906" w:h="16838"/>
      <w:pgMar w:top="1361" w:right="1418" w:bottom="1361"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rPr>
      <w:t>____________________________________________________________________________________________________</w:t>
    </w:r>
  </w:p>
  <w:p>
    <w:pPr>
      <w:pStyle w:val="3"/>
    </w:pPr>
    <w:r>
      <w:rPr>
        <w:rFonts w:hint="eastAsia"/>
        <w:lang w:eastAsia="zh-CN"/>
      </w:rPr>
      <w:t>嘉华建材（福建）有限公司</w:t>
    </w:r>
    <w:r>
      <w:t>管理人</w:t>
    </w:r>
    <w:r>
      <w:rPr>
        <w:rFonts w:hint="eastAsia"/>
      </w:rPr>
      <w:t>制</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C17"/>
    <w:rsid w:val="000004B8"/>
    <w:rsid w:val="0001069C"/>
    <w:rsid w:val="0002175D"/>
    <w:rsid w:val="00025EE4"/>
    <w:rsid w:val="00026A86"/>
    <w:rsid w:val="00052DF9"/>
    <w:rsid w:val="0006627F"/>
    <w:rsid w:val="000704EC"/>
    <w:rsid w:val="000B5B71"/>
    <w:rsid w:val="000C0D25"/>
    <w:rsid w:val="000C5CA5"/>
    <w:rsid w:val="000C5D52"/>
    <w:rsid w:val="000C6169"/>
    <w:rsid w:val="000E2BE6"/>
    <w:rsid w:val="000E4ABC"/>
    <w:rsid w:val="00110A2B"/>
    <w:rsid w:val="00122AD9"/>
    <w:rsid w:val="00144D81"/>
    <w:rsid w:val="00161AE6"/>
    <w:rsid w:val="001715B5"/>
    <w:rsid w:val="00173FFC"/>
    <w:rsid w:val="001915EE"/>
    <w:rsid w:val="001C5C6B"/>
    <w:rsid w:val="002219D0"/>
    <w:rsid w:val="0024655A"/>
    <w:rsid w:val="002642BD"/>
    <w:rsid w:val="0027090D"/>
    <w:rsid w:val="00280DCA"/>
    <w:rsid w:val="002913CE"/>
    <w:rsid w:val="002C2E8F"/>
    <w:rsid w:val="002C370D"/>
    <w:rsid w:val="002F21AC"/>
    <w:rsid w:val="00310D77"/>
    <w:rsid w:val="00313C8B"/>
    <w:rsid w:val="003260DF"/>
    <w:rsid w:val="00344AD6"/>
    <w:rsid w:val="0038539C"/>
    <w:rsid w:val="003A2006"/>
    <w:rsid w:val="003B3372"/>
    <w:rsid w:val="003C3698"/>
    <w:rsid w:val="003C7729"/>
    <w:rsid w:val="003D3BFB"/>
    <w:rsid w:val="003E3C26"/>
    <w:rsid w:val="00401B38"/>
    <w:rsid w:val="00422520"/>
    <w:rsid w:val="004355D4"/>
    <w:rsid w:val="00442B9F"/>
    <w:rsid w:val="00446FD0"/>
    <w:rsid w:val="004B061F"/>
    <w:rsid w:val="004B2BA0"/>
    <w:rsid w:val="004B5592"/>
    <w:rsid w:val="004F2CAD"/>
    <w:rsid w:val="005168F1"/>
    <w:rsid w:val="00535D4F"/>
    <w:rsid w:val="005522AA"/>
    <w:rsid w:val="0055643D"/>
    <w:rsid w:val="005A36C6"/>
    <w:rsid w:val="005C4615"/>
    <w:rsid w:val="005C7399"/>
    <w:rsid w:val="005D7365"/>
    <w:rsid w:val="005F2943"/>
    <w:rsid w:val="00625743"/>
    <w:rsid w:val="0064053C"/>
    <w:rsid w:val="006534F2"/>
    <w:rsid w:val="00664EC2"/>
    <w:rsid w:val="006847E6"/>
    <w:rsid w:val="006A3B6E"/>
    <w:rsid w:val="006A42E2"/>
    <w:rsid w:val="006B352C"/>
    <w:rsid w:val="006C1037"/>
    <w:rsid w:val="00712ECB"/>
    <w:rsid w:val="00721E01"/>
    <w:rsid w:val="007410F1"/>
    <w:rsid w:val="00760D3B"/>
    <w:rsid w:val="007854E9"/>
    <w:rsid w:val="0079578C"/>
    <w:rsid w:val="007A012F"/>
    <w:rsid w:val="007B7427"/>
    <w:rsid w:val="007B7B15"/>
    <w:rsid w:val="007C15C0"/>
    <w:rsid w:val="007E22DB"/>
    <w:rsid w:val="00806265"/>
    <w:rsid w:val="00811A66"/>
    <w:rsid w:val="008137F6"/>
    <w:rsid w:val="00822470"/>
    <w:rsid w:val="00840DFE"/>
    <w:rsid w:val="00842174"/>
    <w:rsid w:val="008606BA"/>
    <w:rsid w:val="00887309"/>
    <w:rsid w:val="008948AB"/>
    <w:rsid w:val="008B4944"/>
    <w:rsid w:val="008B5F85"/>
    <w:rsid w:val="008E67D4"/>
    <w:rsid w:val="008F2A4E"/>
    <w:rsid w:val="00933BD7"/>
    <w:rsid w:val="00964242"/>
    <w:rsid w:val="009813EB"/>
    <w:rsid w:val="00983C2E"/>
    <w:rsid w:val="009A68CB"/>
    <w:rsid w:val="009B06E8"/>
    <w:rsid w:val="009B199C"/>
    <w:rsid w:val="009C170E"/>
    <w:rsid w:val="009E5975"/>
    <w:rsid w:val="009F22CF"/>
    <w:rsid w:val="00A64532"/>
    <w:rsid w:val="00A648B4"/>
    <w:rsid w:val="00A753CB"/>
    <w:rsid w:val="00A91665"/>
    <w:rsid w:val="00A92352"/>
    <w:rsid w:val="00AD5F85"/>
    <w:rsid w:val="00AF1BFD"/>
    <w:rsid w:val="00AF27BF"/>
    <w:rsid w:val="00B36297"/>
    <w:rsid w:val="00B4143A"/>
    <w:rsid w:val="00B65525"/>
    <w:rsid w:val="00B67F36"/>
    <w:rsid w:val="00B7693A"/>
    <w:rsid w:val="00BA3EC2"/>
    <w:rsid w:val="00BD2975"/>
    <w:rsid w:val="00BF18A5"/>
    <w:rsid w:val="00BF664D"/>
    <w:rsid w:val="00C1237A"/>
    <w:rsid w:val="00C55030"/>
    <w:rsid w:val="00C71E42"/>
    <w:rsid w:val="00C81DD6"/>
    <w:rsid w:val="00CA026E"/>
    <w:rsid w:val="00CA0F06"/>
    <w:rsid w:val="00CA428F"/>
    <w:rsid w:val="00CC3E95"/>
    <w:rsid w:val="00D15E0B"/>
    <w:rsid w:val="00D164A8"/>
    <w:rsid w:val="00D358DB"/>
    <w:rsid w:val="00D379F6"/>
    <w:rsid w:val="00D4426E"/>
    <w:rsid w:val="00D45CCC"/>
    <w:rsid w:val="00D47016"/>
    <w:rsid w:val="00D514FA"/>
    <w:rsid w:val="00D56DF5"/>
    <w:rsid w:val="00D75BF2"/>
    <w:rsid w:val="00D77085"/>
    <w:rsid w:val="00D803F3"/>
    <w:rsid w:val="00D82C3C"/>
    <w:rsid w:val="00D83FC6"/>
    <w:rsid w:val="00D87CAB"/>
    <w:rsid w:val="00D9799C"/>
    <w:rsid w:val="00DA0A10"/>
    <w:rsid w:val="00DA5745"/>
    <w:rsid w:val="00DC55EB"/>
    <w:rsid w:val="00DE5021"/>
    <w:rsid w:val="00DF3573"/>
    <w:rsid w:val="00DF4C17"/>
    <w:rsid w:val="00E04F2E"/>
    <w:rsid w:val="00E1023F"/>
    <w:rsid w:val="00E202CE"/>
    <w:rsid w:val="00E3714F"/>
    <w:rsid w:val="00E56097"/>
    <w:rsid w:val="00E709B2"/>
    <w:rsid w:val="00E77492"/>
    <w:rsid w:val="00EA1437"/>
    <w:rsid w:val="00EA3CDB"/>
    <w:rsid w:val="00EA602B"/>
    <w:rsid w:val="00EC2A93"/>
    <w:rsid w:val="00ED52A8"/>
    <w:rsid w:val="00EE0B34"/>
    <w:rsid w:val="00EF2F46"/>
    <w:rsid w:val="00F00851"/>
    <w:rsid w:val="00F062A8"/>
    <w:rsid w:val="00F46F33"/>
    <w:rsid w:val="00F56597"/>
    <w:rsid w:val="00F57953"/>
    <w:rsid w:val="00F71908"/>
    <w:rsid w:val="00F80EEE"/>
    <w:rsid w:val="00F8513E"/>
    <w:rsid w:val="00F95352"/>
    <w:rsid w:val="00F95AB4"/>
    <w:rsid w:val="00FB5463"/>
    <w:rsid w:val="00FD4F3C"/>
    <w:rsid w:val="00FE7E40"/>
    <w:rsid w:val="00FF12B6"/>
    <w:rsid w:val="00FF612B"/>
    <w:rsid w:val="2B5968BB"/>
    <w:rsid w:val="413B4309"/>
    <w:rsid w:val="4B562C35"/>
    <w:rsid w:val="5ADD57F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qFormat/>
    <w:uiPriority w:val="99"/>
    <w:rPr>
      <w:sz w:val="18"/>
      <w:szCs w:val="18"/>
    </w:rPr>
  </w:style>
  <w:style w:type="paragraph" w:styleId="3">
    <w:name w:val="footer"/>
    <w:basedOn w:val="1"/>
    <w:link w:val="9"/>
    <w:semiHidden/>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99"/>
    <w:rPr>
      <w:rFonts w:cs="Times New Roman"/>
      <w:color w:val="0000FF"/>
      <w:u w:val="single"/>
    </w:rPr>
  </w:style>
  <w:style w:type="character" w:customStyle="1" w:styleId="8">
    <w:name w:val="页眉 字符"/>
    <w:basedOn w:val="6"/>
    <w:link w:val="4"/>
    <w:qFormat/>
    <w:locked/>
    <w:uiPriority w:val="99"/>
    <w:rPr>
      <w:rFonts w:cs="Times New Roman"/>
      <w:sz w:val="18"/>
      <w:szCs w:val="18"/>
    </w:rPr>
  </w:style>
  <w:style w:type="character" w:customStyle="1" w:styleId="9">
    <w:name w:val="页脚 字符"/>
    <w:basedOn w:val="6"/>
    <w:link w:val="3"/>
    <w:semiHidden/>
    <w:qFormat/>
    <w:locked/>
    <w:uiPriority w:val="99"/>
    <w:rPr>
      <w:rFonts w:cs="Times New Roman"/>
      <w:sz w:val="18"/>
      <w:szCs w:val="18"/>
    </w:rPr>
  </w:style>
  <w:style w:type="character" w:customStyle="1" w:styleId="10">
    <w:name w:val="批注框文本 字符"/>
    <w:basedOn w:val="6"/>
    <w:link w:val="2"/>
    <w:semiHidden/>
    <w:qFormat/>
    <w:locked/>
    <w:uiPriority w:val="99"/>
    <w:rPr>
      <w:rFonts w:ascii="Times New Roman" w:hAnsi="Times New Roman" w:eastAsia="宋体" w:cs="Times New Roman"/>
      <w:sz w:val="18"/>
      <w:szCs w:val="18"/>
    </w:r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9A1DF2-E330-4754-A2DF-E3BFFF0B96C2}">
  <ds:schemaRefs/>
</ds:datastoreItem>
</file>

<file path=docProps/app.xml><?xml version="1.0" encoding="utf-8"?>
<Properties xmlns="http://schemas.openxmlformats.org/officeDocument/2006/extended-properties" xmlns:vt="http://schemas.openxmlformats.org/officeDocument/2006/docPropsVTypes">
  <Template>Normal.dotm</Template>
  <Pages>2</Pages>
  <Words>268</Words>
  <Characters>1534</Characters>
  <Lines>12</Lines>
  <Paragraphs>3</Paragraphs>
  <TotalTime>125</TotalTime>
  <ScaleCrop>false</ScaleCrop>
  <LinksUpToDate>false</LinksUpToDate>
  <CharactersWithSpaces>1799</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2019-06-30T10:47:00Z</dcterms:created>
  <dc:creator>Thinkpad</dc:creator>
  <cp:lastModifiedBy>郭伟琪律师</cp:lastModifiedBy>
  <cp:lastPrinted>2018-01-02T03:34:00Z</cp:lastPrinted>
  <dcterms:modified xsi:type="dcterms:W3CDTF">2020-06-04T03:59:14Z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