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hint="eastAsia" w:ascii="方正小标宋简体" w:hAnsi="方正小标宋简体" w:eastAsia="方正小标宋简体" w:cs="方正小标宋简体"/>
          <w:b/>
          <w:sz w:val="44"/>
          <w:szCs w:val="44"/>
        </w:rPr>
      </w:pPr>
      <w:bookmarkStart w:id="0" w:name="_Toc215476180"/>
      <w:r>
        <w:rPr>
          <w:rFonts w:hint="eastAsia" w:ascii="方正小标宋简体" w:hAnsi="方正小标宋简体" w:eastAsia="方正小标宋简体" w:cs="方正小标宋简体"/>
          <w:b/>
          <w:sz w:val="44"/>
          <w:szCs w:val="44"/>
        </w:rPr>
        <w:t>债权人地址及联系方式确认书</w:t>
      </w:r>
      <w:bookmarkEnd w:id="0"/>
    </w:p>
    <w:tbl>
      <w:tblPr>
        <w:tblStyle w:val="13"/>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7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752" w:type="dxa"/>
            <w:noWrap w:val="0"/>
            <w:vAlign w:val="center"/>
          </w:tcPr>
          <w:p>
            <w:pPr>
              <w:jc w:val="center"/>
              <w:rPr>
                <w:rFonts w:hint="eastAsia" w:ascii="仿宋_GB2312" w:hAnsi="仿宋_GB2312" w:eastAsia="仿宋_GB2312" w:cs="仿宋_GB2312"/>
                <w:b/>
                <w:bCs/>
                <w:sz w:val="24"/>
                <w:szCs w:val="24"/>
              </w:rPr>
            </w:pPr>
            <w:bookmarkStart w:id="2" w:name="_GoBack"/>
            <w:r>
              <w:rPr>
                <w:rFonts w:hint="eastAsia" w:ascii="仿宋_GB2312" w:hAnsi="仿宋_GB2312" w:eastAsia="仿宋_GB2312" w:cs="仿宋_GB2312"/>
                <w:b/>
                <w:bCs/>
                <w:sz w:val="24"/>
                <w:szCs w:val="24"/>
              </w:rPr>
              <w:t>债权人</w:t>
            </w:r>
          </w:p>
        </w:tc>
        <w:tc>
          <w:tcPr>
            <w:tcW w:w="7127" w:type="dxa"/>
            <w:noWrap w:val="0"/>
            <w:vAlign w:val="top"/>
          </w:tcPr>
          <w:p>
            <w:pPr>
              <w:spacing w:before="312" w:beforeLines="100"/>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6" w:hRule="atLeast"/>
        </w:trPr>
        <w:tc>
          <w:tcPr>
            <w:tcW w:w="1752" w:type="dxa"/>
            <w:noWrap w:val="0"/>
            <w:vAlign w:val="center"/>
          </w:tcPr>
          <w:p>
            <w:pPr>
              <w:spacing w:before="312" w:beforeLines="100"/>
              <w:rPr>
                <w:rFonts w:ascii="仿宋_GB2312" w:hAnsi="仿宋_GB2312" w:eastAsia="仿宋_GB2312" w:cs="仿宋_GB2312"/>
                <w:b/>
                <w:bCs/>
                <w:sz w:val="24"/>
                <w:szCs w:val="24"/>
              </w:rPr>
            </w:pPr>
            <w:r>
              <w:rPr>
                <w:rFonts w:hint="eastAsia" w:ascii="仿宋_GB2312" w:hAnsi="宋体" w:eastAsia="仿宋_GB2312"/>
                <w:b/>
                <w:kern w:val="0"/>
                <w:sz w:val="24"/>
                <w:szCs w:val="24"/>
              </w:rPr>
              <w:t>管理人对债权人填写的送达地址确认书的告知事项</w:t>
            </w:r>
          </w:p>
        </w:tc>
        <w:tc>
          <w:tcPr>
            <w:tcW w:w="7127" w:type="dxa"/>
            <w:noWrap w:val="0"/>
            <w:vAlign w:val="top"/>
          </w:tcPr>
          <w:p>
            <w:pPr>
              <w:rPr>
                <w:rFonts w:hint="eastAsia" w:ascii="仿宋_GB2312" w:hAnsi="仿宋_GB2312" w:eastAsia="仿宋_GB2312" w:cs="仿宋_GB2312"/>
                <w:sz w:val="24"/>
                <w:szCs w:val="24"/>
              </w:rPr>
            </w:pPr>
            <w:bookmarkStart w:id="1" w:name="bookmark0"/>
            <w:bookmarkEnd w:id="1"/>
            <w:r>
              <w:rPr>
                <w:rFonts w:hint="eastAsia" w:ascii="仿宋_GB2312" w:hAnsi="仿宋_GB2312" w:eastAsia="仿宋_GB2312" w:cs="仿宋_GB2312"/>
                <w:sz w:val="24"/>
                <w:szCs w:val="24"/>
              </w:rPr>
              <w:t>1.为了便于债权人及时收到法院、管理人各项文书，保证破产程序的顺利进行，债权人应当如实提供确切的送达地址。</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2.确认的送达地址适用于破产工作的各个阶段及各项事宜。</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3.破产案件进行中，债权人的送达地址发生变更，应当及时告知管理人变更后的送达地址。</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4.债权人提供的地址不确切，或不及时告知变更后的地址，导致有关文书无法送达或未及时送达，债权人将自行承担由此可能产生的法律后果：</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（1)债权人拒不提供送达地址的，以其户籍登记、工商登记或者其他依法登记、备案的住所地为送达地址。</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（2)因为债权人自己提供的送达地址不准确、地址变更后未及时告知管理人，或者债权人拒不提供送达地址导致各项文书未能被债权人实际接收的，按下列方式处理：</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①邮寄送达的，邮件回执上注明的退回之日视为送达之日；</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②直接送达的，送达人当场在送达回执上记明情况之日视为送达之日。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6" w:hRule="atLeast"/>
        </w:trPr>
        <w:tc>
          <w:tcPr>
            <w:tcW w:w="1752" w:type="dxa"/>
            <w:noWrap w:val="0"/>
            <w:vAlign w:val="center"/>
          </w:tcPr>
          <w:p>
            <w:pPr>
              <w:spacing w:before="312" w:beforeLines="100"/>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债权人提供的地址及联系方式</w:t>
            </w:r>
          </w:p>
        </w:tc>
        <w:tc>
          <w:tcPr>
            <w:tcW w:w="7127" w:type="dxa"/>
            <w:noWrap w:val="0"/>
            <w:vAlign w:val="top"/>
          </w:tcPr>
          <w:p>
            <w:pPr>
              <w:rPr>
                <w:rFonts w:hint="eastAsia" w:ascii="仿宋_GB2312" w:hAnsi="仿宋_GB2312" w:eastAsia="仿宋_GB2312" w:cs="仿宋_GB2312"/>
                <w:sz w:val="24"/>
                <w:szCs w:val="24"/>
              </w:rPr>
            </w:pP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本人（本单位）确认下列地址为送达地址：</w:t>
            </w: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联系地址：</w:t>
            </w: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邮编：</w:t>
            </w: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收件人：</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联系电话：</w:t>
            </w: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电子邮箱：</w:t>
            </w:r>
          </w:p>
          <w:p>
            <w:pP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trPr>
        <w:tc>
          <w:tcPr>
            <w:tcW w:w="1752" w:type="dxa"/>
            <w:noWrap w:val="0"/>
            <w:vAlign w:val="center"/>
          </w:tcPr>
          <w:p>
            <w:pPr>
              <w:spacing w:before="312" w:beforeLines="100"/>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债权人对地址及联系方式的确认</w:t>
            </w:r>
          </w:p>
        </w:tc>
        <w:tc>
          <w:tcPr>
            <w:tcW w:w="7127" w:type="dxa"/>
            <w:noWrap w:val="0"/>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我已经如实提供地址及联系方式，并保证上述联系地址及方式准确、有效。</w:t>
            </w:r>
            <w:r>
              <w:rPr>
                <w:rFonts w:hint="eastAsia" w:ascii="仿宋_GB2312" w:hAnsi="仿宋_GB2312" w:eastAsia="仿宋_GB2312" w:cs="仿宋_GB2312"/>
                <w:kern w:val="0"/>
                <w:sz w:val="24"/>
                <w:szCs w:val="24"/>
              </w:rPr>
              <w:t>本公司/人保证所提供的上述信息均真实、准确，如变更上述信息，将及时书面通知管理人。因上述信息变更未及时通知管理人，本公司/人保证自愿承担由此产生的一切法律后果。</w:t>
            </w:r>
          </w:p>
          <w:p>
            <w:pPr>
              <w:widowControl/>
              <w:jc w:val="left"/>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债权人或其代理人签名、盖章或捺印：</w:t>
            </w:r>
            <w:r>
              <w:rPr>
                <w:rFonts w:hint="eastAsia" w:ascii="仿宋_GB2312" w:hAnsi="仿宋_GB2312" w:eastAsia="仿宋_GB2312" w:cs="仿宋_GB2312"/>
                <w:sz w:val="24"/>
                <w:szCs w:val="24"/>
                <w:u w:val="single"/>
              </w:rPr>
              <w:t xml:space="preserve">            </w:t>
            </w:r>
          </w:p>
          <w:p>
            <w:pPr>
              <w:ind w:firstLine="5280" w:firstLineChars="2200"/>
              <w:rPr>
                <w:rFonts w:hint="eastAsia" w:ascii="仿宋_GB2312" w:hAnsi="仿宋_GB2312" w:eastAsia="仿宋_GB2312" w:cs="仿宋_GB2312"/>
                <w:sz w:val="24"/>
                <w:szCs w:val="24"/>
              </w:rPr>
            </w:pPr>
          </w:p>
          <w:p>
            <w:pPr>
              <w:ind w:firstLine="5280" w:firstLineChars="2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1752" w:type="dxa"/>
            <w:noWrap w:val="0"/>
            <w:vAlign w:val="top"/>
          </w:tcPr>
          <w:p>
            <w:pPr>
              <w:spacing w:before="312" w:beforeLines="100"/>
              <w:jc w:val="center"/>
              <w:rPr>
                <w:rFonts w:hint="eastAsia" w:ascii="仿宋_GB2312" w:hAnsi="仿宋_GB2312" w:eastAsia="仿宋_GB2312" w:cs="仿宋_GB2312"/>
                <w:b/>
                <w:bCs/>
                <w:sz w:val="24"/>
                <w:szCs w:val="24"/>
              </w:rPr>
            </w:pPr>
            <w:r>
              <w:rPr>
                <w:rFonts w:hint="eastAsia" w:ascii="仿宋_GB2312" w:hAnsi="宋体" w:eastAsia="仿宋_GB2312"/>
                <w:b/>
                <w:kern w:val="0"/>
                <w:sz w:val="24"/>
                <w:szCs w:val="24"/>
              </w:rPr>
              <w:t>备注</w:t>
            </w:r>
          </w:p>
        </w:tc>
        <w:tc>
          <w:tcPr>
            <w:tcW w:w="7127" w:type="dxa"/>
            <w:noWrap w:val="0"/>
            <w:vAlign w:val="top"/>
          </w:tcPr>
          <w:p>
            <w:pPr>
              <w:spacing w:before="312" w:beforeLines="100"/>
              <w:ind w:firstLine="4502" w:firstLineChars="1876"/>
              <w:rPr>
                <w:rFonts w:hint="eastAsia" w:ascii="仿宋_GB2312" w:hAnsi="仿宋_GB2312" w:eastAsia="仿宋_GB2312" w:cs="仿宋_GB2312"/>
                <w:sz w:val="24"/>
                <w:szCs w:val="24"/>
              </w:rPr>
            </w:pPr>
          </w:p>
        </w:tc>
      </w:tr>
      <w:bookmarkEnd w:id="2"/>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7071B"/>
    <w:multiLevelType w:val="multilevel"/>
    <w:tmpl w:val="3507071B"/>
    <w:lvl w:ilvl="0" w:tentative="0">
      <w:start w:val="1"/>
      <w:numFmt w:val="none"/>
      <w:pStyle w:val="15"/>
      <w:suff w:val="nothing"/>
      <w:lvlText w:val="一、"/>
      <w:lvlJc w:val="left"/>
      <w:pPr>
        <w:tabs>
          <w:tab w:val="left" w:pos="0"/>
        </w:tabs>
        <w:ind w:left="0" w:firstLine="0"/>
      </w:pPr>
      <w:rPr>
        <w:rFonts w:hint="default" w:ascii="宋体" w:hAnsi="宋体" w:eastAsia="宋体" w:cs="宋体"/>
        <w:sz w:val="32"/>
      </w:rPr>
    </w:lvl>
    <w:lvl w:ilvl="1" w:tentative="0">
      <w:start w:val="1"/>
      <w:numFmt w:val="none"/>
      <w:pStyle w:val="2"/>
      <w:suff w:val="nothing"/>
      <w:lvlText w:val="（一）"/>
      <w:lvlJc w:val="left"/>
      <w:pPr>
        <w:ind w:left="0" w:firstLine="0"/>
      </w:pPr>
      <w:rPr>
        <w:rFonts w:hint="default" w:ascii="宋体" w:hAnsi="宋体" w:eastAsia="宋体" w:cs="宋体"/>
        <w:sz w:val="30"/>
      </w:rPr>
    </w:lvl>
    <w:lvl w:ilvl="2" w:tentative="0">
      <w:start w:val="1"/>
      <w:numFmt w:val="none"/>
      <w:pStyle w:val="3"/>
      <w:suff w:val="nothing"/>
      <w:lvlText w:val="1、"/>
      <w:lvlJc w:val="left"/>
      <w:pPr>
        <w:ind w:left="0" w:firstLine="400"/>
      </w:pPr>
      <w:rPr>
        <w:rFonts w:hint="default" w:ascii="宋体" w:hAnsi="宋体" w:eastAsia="宋体" w:cs="宋体"/>
        <w:sz w:val="28"/>
      </w:rPr>
    </w:lvl>
    <w:lvl w:ilvl="3" w:tentative="0">
      <w:start w:val="1"/>
      <w:numFmt w:val="decimal"/>
      <w:pStyle w:val="4"/>
      <w:suff w:val="nothing"/>
      <w:lvlText w:val="（%4）"/>
      <w:lvlJc w:val="left"/>
      <w:pPr>
        <w:ind w:left="0" w:firstLine="402"/>
      </w:pPr>
      <w:rPr>
        <w:rFonts w:hint="eastAsia"/>
      </w:rPr>
    </w:lvl>
    <w:lvl w:ilvl="4" w:tentative="0">
      <w:start w:val="1"/>
      <w:numFmt w:val="decimalEnclosedCircleChinese"/>
      <w:pStyle w:val="5"/>
      <w:suff w:val="nothing"/>
      <w:lvlText w:val="%5"/>
      <w:lvlJc w:val="left"/>
      <w:pPr>
        <w:ind w:left="0" w:firstLine="402"/>
      </w:pPr>
      <w:rPr>
        <w:rFonts w:hint="eastAsia"/>
      </w:rPr>
    </w:lvl>
    <w:lvl w:ilvl="5" w:tentative="0">
      <w:start w:val="1"/>
      <w:numFmt w:val="decimal"/>
      <w:pStyle w:val="6"/>
      <w:suff w:val="nothing"/>
      <w:lvlText w:val="%6）"/>
      <w:lvlJc w:val="left"/>
      <w:pPr>
        <w:ind w:left="0" w:firstLine="402"/>
      </w:pPr>
      <w:rPr>
        <w:rFonts w:hint="eastAsia"/>
      </w:rPr>
    </w:lvl>
    <w:lvl w:ilvl="6" w:tentative="0">
      <w:start w:val="1"/>
      <w:numFmt w:val="lowerLetter"/>
      <w:pStyle w:val="7"/>
      <w:suff w:val="nothing"/>
      <w:lvlText w:val="%7．"/>
      <w:lvlJc w:val="left"/>
      <w:pPr>
        <w:ind w:left="0" w:firstLine="402"/>
      </w:pPr>
      <w:rPr>
        <w:rFonts w:hint="eastAsia"/>
      </w:rPr>
    </w:lvl>
    <w:lvl w:ilvl="7" w:tentative="0">
      <w:start w:val="1"/>
      <w:numFmt w:val="lowerLetter"/>
      <w:pStyle w:val="8"/>
      <w:suff w:val="nothing"/>
      <w:lvlText w:val="%8）"/>
      <w:lvlJc w:val="left"/>
      <w:pPr>
        <w:ind w:left="0" w:firstLine="402"/>
      </w:pPr>
      <w:rPr>
        <w:rFonts w:hint="eastAsia"/>
      </w:rPr>
    </w:lvl>
    <w:lvl w:ilvl="8" w:tentative="0">
      <w:start w:val="1"/>
      <w:numFmt w:val="lowerRoman"/>
      <w:pStyle w:val="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974F26"/>
    <w:rsid w:val="2DFF5D4E"/>
    <w:rsid w:val="6DD119B7"/>
    <w:rsid w:val="7E974F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4">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5">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6">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7">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8">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9">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4">
    <w:name w:val="Default Paragraph Font"/>
    <w:semiHidden/>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10">
    <w:name w:val="Body Text Indent"/>
    <w:basedOn w:val="1"/>
    <w:uiPriority w:val="0"/>
    <w:pPr>
      <w:spacing w:after="120" w:afterLines="0" w:afterAutospacing="0"/>
      <w:ind w:left="420" w:leftChars="200"/>
    </w:pPr>
  </w:style>
  <w:style w:type="paragraph" w:styleId="11">
    <w:name w:val="footer"/>
    <w:basedOn w:val="1"/>
    <w:unhideWhenUsed/>
    <w:qFormat/>
    <w:uiPriority w:val="99"/>
    <w:pPr>
      <w:tabs>
        <w:tab w:val="center" w:pos="4153"/>
        <w:tab w:val="right" w:pos="8306"/>
      </w:tabs>
      <w:snapToGrid w:val="0"/>
      <w:jc w:val="left"/>
    </w:pPr>
    <w:rPr>
      <w:sz w:val="18"/>
      <w:szCs w:val="18"/>
    </w:rPr>
  </w:style>
  <w:style w:type="paragraph" w:styleId="12">
    <w:name w:val="Body Text First Indent 2"/>
    <w:basedOn w:val="10"/>
    <w:qFormat/>
    <w:uiPriority w:val="0"/>
    <w:pPr>
      <w:ind w:firstLine="420" w:firstLineChars="200"/>
    </w:pPr>
  </w:style>
  <w:style w:type="paragraph" w:customStyle="1" w:styleId="15">
    <w:name w:val="备忘录"/>
    <w:basedOn w:val="12"/>
    <w:uiPriority w:val="0"/>
    <w:pPr>
      <w:numPr>
        <w:ilvl w:val="0"/>
        <w:numId w:val="1"/>
      </w:numPr>
      <w:spacing w:line="360" w:lineRule="auto"/>
    </w:pPr>
    <w:rPr>
      <w:rFonts w:cs="宋体" w:asciiTheme="minorAscii" w:hAnsiTheme="minorAscii" w:eastAsiaTheme="majorEastAsia"/>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2020-11-12T08:12:00Z</dcterms:created>
  <dc:creator>李婧</dc:creator>
  <cp:lastModifiedBy>李婧</cp:lastModifiedBy>
  <dcterms:modified xsi:type="dcterms:W3CDTF">2020-11-18T03:37:13Z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