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widowControl/>
        <w:spacing w:before="0" w:beforeAutospacing="0" w:after="0" w:afterAutospacing="0" w:line="360" w:lineRule="auto"/>
        <w:jc w:val="center"/>
        <w:rPr>
          <w:rFonts w:hint="eastAsia" w:ascii="黑体" w:hAnsi="黑体" w:eastAsia="黑体" w:cs="黑体"/>
          <w:b/>
          <w:bCs/>
          <w:sz w:val="32"/>
          <w:szCs w:val="32"/>
        </w:rPr>
      </w:pPr>
      <w:r>
        <w:rPr>
          <w:rFonts w:hint="eastAsia" w:ascii="黑体" w:hAnsi="黑体" w:eastAsia="黑体" w:cs="黑体"/>
          <w:b/>
          <w:bCs/>
          <w:sz w:val="32"/>
          <w:szCs w:val="32"/>
        </w:rPr>
        <w:t>债权申报须知</w:t>
      </w:r>
    </w:p>
    <w:p>
      <w:pPr>
        <w:pStyle w:val="13"/>
        <w:widowControl/>
        <w:spacing w:before="0" w:beforeAutospacing="0" w:after="0" w:afterAutospacing="0" w:line="360" w:lineRule="auto"/>
        <w:rPr>
          <w:rFonts w:hint="eastAsia" w:ascii="仿宋" w:hAnsi="仿宋" w:eastAsia="仿宋" w:cs="仿宋"/>
          <w:sz w:val="30"/>
          <w:szCs w:val="30"/>
        </w:rPr>
      </w:pPr>
    </w:p>
    <w:p>
      <w:pPr>
        <w:pStyle w:val="13"/>
        <w:widowControl/>
        <w:spacing w:before="0" w:beforeAutospacing="0" w:after="0" w:afterAutospacing="0" w:line="360" w:lineRule="auto"/>
        <w:rPr>
          <w:rFonts w:hint="eastAsia" w:ascii="仿宋" w:hAnsi="仿宋" w:eastAsia="仿宋" w:cs="仿宋"/>
          <w:sz w:val="30"/>
          <w:szCs w:val="30"/>
        </w:rPr>
      </w:pPr>
      <w:r>
        <w:rPr>
          <w:rFonts w:hint="eastAsia" w:ascii="仿宋" w:hAnsi="仿宋" w:eastAsia="仿宋" w:cs="仿宋"/>
          <w:sz w:val="30"/>
          <w:szCs w:val="30"/>
        </w:rPr>
        <w:t>各位债权人：</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为明确债权申报的有关事项，帮助债权人顺利申报债权，管理人现就债权申报材料及相关注意事项等说明如下：</w:t>
      </w:r>
    </w:p>
    <w:p>
      <w:pPr>
        <w:pStyle w:val="13"/>
        <w:widowControl/>
        <w:numPr>
          <w:ilvl w:val="0"/>
          <w:numId w:val="2"/>
        </w:numPr>
        <w:spacing w:before="0" w:beforeAutospacing="0" w:after="0" w:afterAutospacing="0" w:line="360" w:lineRule="auto"/>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债权申报表的填写</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请各位债权人在管理人所提供的《债权申报表》中填写申报的债权金额、债权形成原因、是否有财产担保及是否是连带债权等事项。债权人在“债权形成基本情况”一栏中可以详细说明：债权人、债务人、保证人、连带权利人、连带义务人等主体的具体情况及债权的发生、变更、担保及保证、转移、履行、抵消、清偿或部分清偿、诉讼、仲裁、调解、保全、执行的时间和发生数额（债权原始数额、余额、各种利息、罚息、违约金、案件受理费、保全费、执行费等构成事项）等全部情况。</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请各位债权人如实填写《债权申报表》后附的申报材料目录，并准备相应的证据材料。</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企业法人等单位的债权，须在《债权申报表》上由法定代表人或负责人签字并加盖公章；个人的债权，须在《债权申报表》由债权人本人或其代理人签名。</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如认为该表填写空间不够的，可后附续表。</w:t>
      </w:r>
    </w:p>
    <w:p>
      <w:pPr>
        <w:pStyle w:val="13"/>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60" w:lineRule="auto"/>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rPr>
        <w:t>证明债权人主体资格的材料</w:t>
      </w:r>
    </w:p>
    <w:p>
      <w:pPr>
        <w:pStyle w:val="13"/>
        <w:widowControl/>
        <w:numPr>
          <w:ilvl w:val="0"/>
          <w:numId w:val="3"/>
        </w:numPr>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企业法人等单位债权人须提交的材料：有效的企业法人营业执照、事业和社团法人登记证书等原件（核对后归还）及复印件（加盖单位公章）、法定代表人或负责人身份证明（并附身份证复印件）；如果是金融机构的，还须提供有效的《金融许可证》《经营金融业务许可证》等金融业资格的证明;如发生单位名称变更或法定代表人变更，导致其与申报的债权材料记载不符的，必须提交变更的法律文件和证明文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（2）个人债权人须提交的材料：债权人身份证等个人有效证件原件（核对后归还）及复印件。</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3）委托代理人进行申报的，还须提交如下材料：单位债权人委托代理人申报的，根据样本提交授权委托书（法定代表人或负责人签字并加盖单位公章）、代理人的身份证等个人有效证件原件（核对后归还）及复印件;个人债权人委托他人申报的，须提交授权委托书和代理人的身份证等个人有效证件原件（核对后归还）及复印件。</w:t>
      </w:r>
    </w:p>
    <w:p>
      <w:pPr>
        <w:pStyle w:val="13"/>
        <w:widowControl/>
        <w:numPr>
          <w:ilvl w:val="0"/>
          <w:numId w:val="2"/>
        </w:numPr>
        <w:spacing w:before="0" w:beforeAutospacing="0" w:after="0" w:afterAutospacing="0" w:line="360" w:lineRule="auto"/>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证明债权发生事实及其数额的材料</w:t>
      </w:r>
    </w:p>
    <w:p>
      <w:pPr>
        <w:pStyle w:val="13"/>
        <w:keepNext w:val="0"/>
        <w:keepLines/>
        <w:pageBreakBefore w:val="0"/>
        <w:widowControl/>
        <w:kinsoku/>
        <w:wordWrap w:val="0"/>
        <w:overflowPunct/>
        <w:topLinePunct w:val="0"/>
        <w:autoSpaceDE/>
        <w:autoSpaceDN/>
        <w:bidi w:val="0"/>
        <w:adjustRightInd/>
        <w:snapToGrid/>
        <w:spacing w:before="0" w:beforeAutospacing="0" w:after="0" w:afterAutospacing="0" w:line="36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（1）合同（包括但不限于借、贷款合同，购、销货合同等）、协议、备忘录等证明存在合同债权关系文件原件（核对后归还）及复印件;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（2）各类票据、划账单、汇款单、对账单、验收单、提货单，以及工程类商务中标书、工程预（结）算书等合同履行凭证的原件（核对后归还）及复印件;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（3）债权如有担保的，还须提交抵押合同、质押合同、保证合同等相关合同及相关的登记证件（包括但不限于他项权利证）等担保原始材料原件（核对后归还）和复印件。</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（4）债权的发生及变更（包括但不限于债权转移、债务承担、合同转让、债权债务重组、抵销、清偿）等原始材料原件（核对后归还）和复印件;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5）债权如涉及诉讼、仲裁、调解、保全、执行，则须提交诉讼、仲裁、调解、保全，执行有关的文件（包括但不限于已经判决正在执行或正在进行中的案件的起诉书、仲裁申请书、诉讼保全申请书、保全裁定书、生效判决书、调解书、裁决书、执行申请书、法院执行裁定书、法院执行案件通知书等）原件（核对后归还）及复印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（6）债权如涉及对建筑工程有争议的，须提交建筑工程审计报告原件（核对后归还）及复印件;</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7）利息计算方法及计算过程的书面说明，管理人特别提示，根据《中华人民共和国企业破产法》第四十六条第二款，附利息的债权自破产申请受理时起停止计息，请各位债权人在申报债权时注意利息计算截止日期为20</w:t>
      </w:r>
      <w:r>
        <w:rPr>
          <w:rFonts w:hint="eastAsia" w:ascii="仿宋" w:hAnsi="仿宋" w:eastAsia="仿宋" w:cs="仿宋"/>
          <w:sz w:val="30"/>
          <w:szCs w:val="30"/>
          <w:lang w:val="en-US" w:eastAsia="zh-CN"/>
        </w:rPr>
        <w:t>20</w:t>
      </w:r>
      <w:r>
        <w:rPr>
          <w:rFonts w:hint="eastAsia" w:ascii="仿宋" w:hAnsi="仿宋" w:eastAsia="仿宋" w:cs="仿宋"/>
          <w:sz w:val="30"/>
          <w:szCs w:val="30"/>
        </w:rPr>
        <w:t>年</w:t>
      </w:r>
      <w:r>
        <w:rPr>
          <w:rFonts w:hint="eastAsia" w:ascii="仿宋" w:hAnsi="仿宋" w:eastAsia="仿宋" w:cs="仿宋"/>
          <w:sz w:val="30"/>
          <w:szCs w:val="30"/>
          <w:lang w:val="en-US" w:eastAsia="zh-CN"/>
        </w:rPr>
        <w:t>10</w:t>
      </w:r>
      <w:r>
        <w:rPr>
          <w:rFonts w:hint="eastAsia" w:ascii="仿宋" w:hAnsi="仿宋" w:eastAsia="仿宋" w:cs="仿宋"/>
          <w:sz w:val="30"/>
          <w:szCs w:val="30"/>
        </w:rPr>
        <w:t>月</w:t>
      </w:r>
      <w:r>
        <w:rPr>
          <w:rFonts w:hint="eastAsia" w:ascii="仿宋" w:hAnsi="仿宋" w:eastAsia="仿宋" w:cs="仿宋"/>
          <w:sz w:val="30"/>
          <w:szCs w:val="30"/>
          <w:lang w:val="en-US" w:eastAsia="zh-CN"/>
        </w:rPr>
        <w:t>12</w:t>
      </w:r>
      <w:r>
        <w:rPr>
          <w:rFonts w:hint="eastAsia" w:ascii="仿宋" w:hAnsi="仿宋" w:eastAsia="仿宋" w:cs="仿宋"/>
          <w:sz w:val="30"/>
          <w:szCs w:val="30"/>
        </w:rPr>
        <w:t>日;</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（8）债权人主张债权的相关证明资料，如催款、催收通知等;</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（9）债权公证文书或相关公证文书（如有）;</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（10）能够证明债权发生、变更、存续、诉讼时效中止、中断、延长及其金额等情况的其他材料原件（核对后归还）及复印件。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债权人与债务人出现会计账面金额不一致时，债权人要提供会计明细账复印件和证明材料原件（核对后归还）及复印件。</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（11）债权人提交申报债权材料一式二份，请在每页材料上进行签字或盖章（骑缝章）。</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（12）债权人认为需要提交的其他材料。</w:t>
      </w:r>
    </w:p>
    <w:p>
      <w:pPr>
        <w:pStyle w:val="13"/>
        <w:widowControl/>
        <w:numPr>
          <w:ilvl w:val="0"/>
          <w:numId w:val="2"/>
        </w:numPr>
        <w:spacing w:before="0" w:beforeAutospacing="0" w:after="0" w:afterAutospacing="0" w:line="360" w:lineRule="auto"/>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提交材料时的有关注意事项</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1）债权人提交的申报材料中，《债权申报表》须提交两份原件，其他材料须带原件核对，并提交与原件核对相符的复印件一式二份，原件核对后退还。对于债权人提交的材料复印件，债权人为单位的，在复印件的每一页上加盖单位公章及骑缝章;债权人为自然人的，由债权人本人或代理人在复印件每一页上签字。</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（2）债权人无法提供原件核对的、须在复印件材料中签注</w:t>
      </w:r>
      <w:r>
        <w:rPr>
          <w:rFonts w:ascii="仿宋" w:hAnsi="仿宋" w:eastAsia="仿宋" w:cs="仿宋"/>
          <w:sz w:val="30"/>
          <w:szCs w:val="30"/>
        </w:rPr>
        <w:t>“</w:t>
      </w:r>
      <w:r>
        <w:rPr>
          <w:rFonts w:hint="eastAsia" w:ascii="仿宋" w:hAnsi="仿宋" w:eastAsia="仿宋" w:cs="仿宋"/>
          <w:sz w:val="30"/>
          <w:szCs w:val="30"/>
        </w:rPr>
        <w:t>复印件与原件一致;否测，一切法律后果自负</w:t>
      </w:r>
      <w:r>
        <w:rPr>
          <w:rFonts w:ascii="仿宋" w:hAnsi="仿宋" w:eastAsia="仿宋" w:cs="仿宋"/>
          <w:sz w:val="30"/>
          <w:szCs w:val="30"/>
        </w:rPr>
        <w:t>”</w:t>
      </w:r>
      <w:r>
        <w:rPr>
          <w:rFonts w:hint="eastAsia" w:ascii="仿宋" w:hAnsi="仿宋" w:eastAsia="仿宋" w:cs="仿宋"/>
          <w:sz w:val="30"/>
          <w:szCs w:val="30"/>
        </w:rPr>
        <w:t>字样。</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（3）债权人向管理人提</w:t>
      </w:r>
      <w:bookmarkStart w:id="0" w:name="_GoBack"/>
      <w:bookmarkEnd w:id="0"/>
      <w:r>
        <w:rPr>
          <w:rFonts w:hint="eastAsia" w:ascii="仿宋" w:hAnsi="仿宋" w:eastAsia="仿宋" w:cs="仿宋"/>
          <w:sz w:val="30"/>
          <w:szCs w:val="30"/>
        </w:rPr>
        <w:t>供的外文资料，应当附有中文译本。</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4）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pPr>
        <w:pStyle w:val="13"/>
        <w:widowControl/>
        <w:spacing w:before="0" w:beforeAutospacing="0" w:after="0" w:afterAutospacing="0"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rPr>
        <w:t>（5）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特别行政区、澳门特别行政区，台湾地区形成的，应当履行相关的证明手续。</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6）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（7）提供材料纸张统一为A4 型打印纸。</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（8）债权申报登记完毕后，管理人将向债权人发放债权登记回执。</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特此说明</w:t>
      </w:r>
    </w:p>
    <w:p>
      <w:pPr>
        <w:pStyle w:val="13"/>
        <w:widowControl/>
        <w:spacing w:before="0" w:beforeAutospacing="0" w:after="0" w:afterAutospacing="0" w:line="360" w:lineRule="auto"/>
        <w:ind w:firstLine="600" w:firstLineChars="200"/>
        <w:rPr>
          <w:rFonts w:hint="eastAsia" w:ascii="仿宋" w:hAnsi="仿宋" w:eastAsia="仿宋" w:cs="仿宋"/>
          <w:sz w:val="30"/>
          <w:szCs w:val="30"/>
        </w:rPr>
      </w:pPr>
    </w:p>
    <w:p>
      <w:pPr>
        <w:spacing w:line="360" w:lineRule="auto"/>
        <w:ind w:firstLine="4200" w:firstLineChars="1400"/>
        <w:rPr>
          <w:sz w:val="30"/>
          <w:szCs w:val="30"/>
        </w:rPr>
      </w:pPr>
      <w:r>
        <w:rPr>
          <w:rFonts w:hint="eastAsia" w:ascii="仿宋" w:hAnsi="仿宋" w:eastAsia="仿宋" w:cs="仿宋"/>
          <w:sz w:val="30"/>
          <w:szCs w:val="30"/>
        </w:rPr>
        <w:t>二〇二〇年十一月</w:t>
      </w:r>
      <w:r>
        <w:rPr>
          <w:rFonts w:hint="eastAsia" w:ascii="仿宋" w:hAnsi="仿宋" w:eastAsia="仿宋" w:cs="仿宋"/>
          <w:sz w:val="30"/>
          <w:szCs w:val="30"/>
          <w:lang w:val="en-US" w:eastAsia="zh-CN"/>
        </w:rPr>
        <w:t>十八</w:t>
      </w:r>
      <w:r>
        <w:rPr>
          <w:rFonts w:hint="eastAsia" w:ascii="仿宋" w:hAnsi="仿宋" w:eastAsia="仿宋" w:cs="仿宋"/>
          <w:sz w:val="30"/>
          <w:szCs w:val="30"/>
        </w:rPr>
        <w:t>日</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C8F173"/>
    <w:multiLevelType w:val="singleLevel"/>
    <w:tmpl w:val="CAC8F173"/>
    <w:lvl w:ilvl="0" w:tentative="0">
      <w:start w:val="1"/>
      <w:numFmt w:val="chineseCounting"/>
      <w:suff w:val="nothing"/>
      <w:lvlText w:val="%1、"/>
      <w:lvlJc w:val="left"/>
      <w:pPr>
        <w:ind w:left="0" w:firstLine="420"/>
      </w:pPr>
      <w:rPr>
        <w:rFonts w:hint="eastAsia"/>
      </w:rPr>
    </w:lvl>
  </w:abstractNum>
  <w:abstractNum w:abstractNumId="1">
    <w:nsid w:val="E480E839"/>
    <w:multiLevelType w:val="singleLevel"/>
    <w:tmpl w:val="E480E839"/>
    <w:lvl w:ilvl="0" w:tentative="0">
      <w:start w:val="1"/>
      <w:numFmt w:val="decimal"/>
      <w:suff w:val="nothing"/>
      <w:lvlText w:val="（%1）"/>
      <w:lvlJc w:val="left"/>
    </w:lvl>
  </w:abstractNum>
  <w:abstractNum w:abstractNumId="2">
    <w:nsid w:val="3507071B"/>
    <w:multiLevelType w:val="multilevel"/>
    <w:tmpl w:val="3507071B"/>
    <w:lvl w:ilvl="0" w:tentative="0">
      <w:start w:val="1"/>
      <w:numFmt w:val="none"/>
      <w:pStyle w:val="17"/>
      <w:suff w:val="nothing"/>
      <w:lvlText w:val="一、"/>
      <w:lvlJc w:val="left"/>
      <w:pPr>
        <w:tabs>
          <w:tab w:val="left" w:pos="0"/>
        </w:tabs>
        <w:ind w:left="0" w:firstLine="0"/>
      </w:pPr>
      <w:rPr>
        <w:rFonts w:hint="default" w:ascii="宋体" w:hAnsi="宋体" w:eastAsia="宋体" w:cs="宋体"/>
        <w:sz w:val="32"/>
      </w:rPr>
    </w:lvl>
    <w:lvl w:ilvl="1" w:tentative="0">
      <w:start w:val="1"/>
      <w:numFmt w:val="none"/>
      <w:pStyle w:val="2"/>
      <w:suff w:val="nothing"/>
      <w:lvlText w:val="（一）"/>
      <w:lvlJc w:val="left"/>
      <w:pPr>
        <w:ind w:left="0" w:firstLine="0"/>
      </w:pPr>
      <w:rPr>
        <w:rFonts w:hint="default" w:ascii="宋体" w:hAnsi="宋体" w:eastAsia="宋体" w:cs="宋体"/>
        <w:sz w:val="30"/>
      </w:rPr>
    </w:lvl>
    <w:lvl w:ilvl="2" w:tentative="0">
      <w:start w:val="1"/>
      <w:numFmt w:val="none"/>
      <w:pStyle w:val="3"/>
      <w:suff w:val="nothing"/>
      <w:lvlText w:val="1、"/>
      <w:lvlJc w:val="left"/>
      <w:pPr>
        <w:ind w:left="0" w:firstLine="400"/>
      </w:pPr>
      <w:rPr>
        <w:rFonts w:hint="default" w:ascii="宋体" w:hAnsi="宋体" w:eastAsia="宋体" w:cs="宋体"/>
        <w:sz w:val="28"/>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pStyle w:val="5"/>
      <w:suff w:val="nothing"/>
      <w:lvlText w:val="%5"/>
      <w:lvlJc w:val="left"/>
      <w:pPr>
        <w:ind w:left="0" w:firstLine="402"/>
      </w:pPr>
      <w:rPr>
        <w:rFonts w:hint="eastAsia"/>
      </w:rPr>
    </w:lvl>
    <w:lvl w:ilvl="5" w:tentative="0">
      <w:start w:val="1"/>
      <w:numFmt w:val="decimal"/>
      <w:pStyle w:val="6"/>
      <w:suff w:val="nothing"/>
      <w:lvlText w:val="%6）"/>
      <w:lvlJc w:val="left"/>
      <w:pPr>
        <w:ind w:left="0" w:firstLine="402"/>
      </w:pPr>
      <w:rPr>
        <w:rFonts w:hint="eastAsia"/>
      </w:rPr>
    </w:lvl>
    <w:lvl w:ilvl="6" w:tentative="0">
      <w:start w:val="1"/>
      <w:numFmt w:val="lowerLetter"/>
      <w:pStyle w:val="7"/>
      <w:suff w:val="nothing"/>
      <w:lvlText w:val="%7．"/>
      <w:lvlJc w:val="left"/>
      <w:pPr>
        <w:ind w:left="0" w:firstLine="402"/>
      </w:pPr>
      <w:rPr>
        <w:rFonts w:hint="eastAsia"/>
      </w:rPr>
    </w:lvl>
    <w:lvl w:ilvl="7" w:tentative="0">
      <w:start w:val="1"/>
      <w:numFmt w:val="lowerLetter"/>
      <w:pStyle w:val="8"/>
      <w:suff w:val="nothing"/>
      <w:lvlText w:val="%8）"/>
      <w:lvlJc w:val="left"/>
      <w:pPr>
        <w:ind w:left="0" w:firstLine="402"/>
      </w:pPr>
      <w:rPr>
        <w:rFonts w:hint="eastAsia"/>
      </w:rPr>
    </w:lvl>
    <w:lvl w:ilvl="8" w:tentative="0">
      <w:start w:val="1"/>
      <w:numFmt w:val="lowerRoman"/>
      <w:pStyle w:val="9"/>
      <w:suff w:val="nothing"/>
      <w:lvlText w:val="%9 "/>
      <w:lvlJc w:val="left"/>
      <w:pPr>
        <w:ind w:left="0" w:firstLine="402"/>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137D6"/>
    <w:rsid w:val="2DFF5D4E"/>
    <w:rsid w:val="589137D6"/>
    <w:rsid w:val="5A4C625E"/>
    <w:rsid w:val="79A90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4">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6">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8">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0">
    <w:name w:val="Body Text Indent"/>
    <w:basedOn w:val="1"/>
    <w:uiPriority w:val="0"/>
    <w:pPr>
      <w:spacing w:after="120" w:afterLines="0" w:afterAutospacing="0"/>
      <w:ind w:left="420" w:leftChars="200"/>
    </w:pPr>
  </w:style>
  <w:style w:type="paragraph" w:styleId="11">
    <w:name w:val="footer"/>
    <w:basedOn w:val="1"/>
    <w:unhideWhenUsed/>
    <w:uiPriority w:val="99"/>
    <w:pPr>
      <w:tabs>
        <w:tab w:val="center" w:pos="4153"/>
        <w:tab w:val="right" w:pos="8306"/>
      </w:tabs>
      <w:snapToGrid w:val="0"/>
      <w:jc w:val="left"/>
    </w:pPr>
    <w:rPr>
      <w:sz w:val="18"/>
      <w:szCs w:val="18"/>
    </w:rPr>
  </w:style>
  <w:style w:type="paragraph" w:styleId="12">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uiPriority w:val="99"/>
    <w:pPr>
      <w:spacing w:before="100" w:beforeAutospacing="1" w:after="100" w:afterAutospacing="1"/>
      <w:ind w:left="0" w:right="0"/>
      <w:jc w:val="left"/>
    </w:pPr>
    <w:rPr>
      <w:kern w:val="0"/>
      <w:sz w:val="24"/>
      <w:lang w:val="en-US" w:eastAsia="zh-CN" w:bidi="ar"/>
    </w:rPr>
  </w:style>
  <w:style w:type="paragraph" w:styleId="14">
    <w:name w:val="Body Text First Indent 2"/>
    <w:basedOn w:val="10"/>
    <w:qFormat/>
    <w:uiPriority w:val="0"/>
    <w:pPr>
      <w:ind w:firstLine="420" w:firstLineChars="200"/>
    </w:pPr>
  </w:style>
  <w:style w:type="paragraph" w:customStyle="1" w:styleId="17">
    <w:name w:val="备忘录"/>
    <w:basedOn w:val="14"/>
    <w:qFormat/>
    <w:uiPriority w:val="0"/>
    <w:pPr>
      <w:numPr>
        <w:ilvl w:val="0"/>
        <w:numId w:val="1"/>
      </w:numPr>
      <w:spacing w:line="360" w:lineRule="auto"/>
    </w:pPr>
    <w:rPr>
      <w:rFonts w:cs="宋体" w:asciiTheme="minorAscii" w:hAnsiTheme="minorAscii" w:eastAsiaTheme="majorEastAsia"/>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2020-11-12T07:59:00Z</dcterms:created>
  <dc:creator>李婧</dc:creator>
  <cp:lastModifiedBy>李婧</cp:lastModifiedBy>
  <dcterms:modified xsi:type="dcterms:W3CDTF">2020-11-18T03:36:18Z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