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721" w:firstLineChars="200"/>
        <w:jc w:val="center"/>
        <w:textAlignment w:val="auto"/>
        <w:outlineLvl w:val="9"/>
        <w:rPr>
          <w:rFonts w:hint="default"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“晨曦露苑”</w:t>
      </w:r>
      <w:r>
        <w:rPr>
          <w:rFonts w:hint="default" w:asciiTheme="majorEastAsia" w:hAnsiTheme="majorEastAsia" w:eastAsiaTheme="majorEastAsia" w:cstheme="majorEastAsia"/>
          <w:b/>
          <w:bCs/>
          <w:sz w:val="36"/>
          <w:szCs w:val="36"/>
        </w:rPr>
        <w:t>项目续建质量鉴定单位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721" w:firstLineChars="200"/>
        <w:jc w:val="center"/>
        <w:textAlignment w:val="auto"/>
        <w:outlineLvl w:val="9"/>
        <w:rPr>
          <w:rFonts w:hint="eastAsia" w:ascii="华文仿宋" w:hAnsi="华文仿宋" w:eastAsia="华文仿宋" w:cs="华文仿宋"/>
          <w:sz w:val="28"/>
          <w:szCs w:val="28"/>
        </w:rPr>
      </w:pPr>
      <w:r>
        <w:rPr>
          <w:rFonts w:hint="default" w:asciiTheme="majorEastAsia" w:hAnsiTheme="majorEastAsia" w:eastAsiaTheme="majorEastAsia" w:cstheme="majorEastAsia"/>
          <w:b/>
          <w:bCs/>
          <w:sz w:val="36"/>
          <w:szCs w:val="36"/>
        </w:rPr>
        <w:t>招标公告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重庆市大足区人民法院依据重庆市金庚置业发展有限公司的申请（以下称“债务人”或“金庚公司”），于2019年 11月14日裁定受理重庆市金庚置业发展有限公司破产清算一案，并于2019年12月23日指定重庆志和智律师事务所担任重庆市金庚置业发展有限公司的管理人（以下简称管理人）。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管理人进场后拟定了《晨曦露苑、江山郡项目复工方案》，债权人会议已经表决通过。根据该方案，</w:t>
      </w:r>
      <w:r>
        <w:rPr>
          <w:rFonts w:hint="eastAsia" w:ascii="华文仿宋" w:hAnsi="华文仿宋" w:eastAsia="华文仿宋" w:cs="华文仿宋"/>
          <w:sz w:val="28"/>
          <w:szCs w:val="28"/>
        </w:rPr>
        <w:t>晨曦露苑</w:t>
      </w:r>
      <w:r>
        <w:rPr>
          <w:rFonts w:hint="default" w:ascii="华文仿宋" w:hAnsi="华文仿宋" w:eastAsia="华文仿宋" w:cs="华文仿宋"/>
          <w:sz w:val="28"/>
          <w:szCs w:val="28"/>
        </w:rPr>
        <w:t>项目停工数年</w:t>
      </w: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复工前，</w:t>
      </w:r>
      <w:r>
        <w:rPr>
          <w:rFonts w:hint="eastAsia" w:ascii="华文仿宋" w:hAnsi="华文仿宋" w:eastAsia="华文仿宋" w:cs="华文仿宋"/>
          <w:sz w:val="28"/>
          <w:szCs w:val="28"/>
        </w:rPr>
        <w:t>需对晨曦露苑</w:t>
      </w:r>
      <w:r>
        <w:rPr>
          <w:rFonts w:hint="default" w:ascii="华文仿宋" w:hAnsi="华文仿宋" w:eastAsia="华文仿宋" w:cs="华文仿宋"/>
          <w:sz w:val="28"/>
          <w:szCs w:val="28"/>
        </w:rPr>
        <w:t>A栋、</w:t>
      </w:r>
      <w:r>
        <w:rPr>
          <w:rFonts w:hint="eastAsia" w:ascii="华文仿宋" w:hAnsi="华文仿宋" w:eastAsia="华文仿宋" w:cs="华文仿宋"/>
          <w:sz w:val="28"/>
          <w:szCs w:val="28"/>
        </w:rPr>
        <w:t>B栋房屋结构进行结构安全性检测、评定，了解房屋施工质量、结构安全性</w:t>
      </w:r>
      <w:r>
        <w:rPr>
          <w:rFonts w:hint="default" w:ascii="华文仿宋" w:hAnsi="华文仿宋" w:eastAsia="华文仿宋" w:cs="华文仿宋"/>
          <w:sz w:val="28"/>
          <w:szCs w:val="28"/>
        </w:rPr>
        <w:t>，为后续复工、治理、使用、验收提供依据。为此，管理人拟定招标公告如下：</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1" w:firstLineChars="200"/>
        <w:textAlignment w:val="auto"/>
        <w:outlineLvl w:val="9"/>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“晨曦露苑项目”由重庆市金庚置业发展有限公司开发，</w:t>
      </w:r>
      <w:r>
        <w:rPr>
          <w:rFonts w:hint="default" w:ascii="华文仿宋" w:hAnsi="华文仿宋" w:eastAsia="华文仿宋" w:cs="华文仿宋"/>
          <w:sz w:val="28"/>
          <w:szCs w:val="28"/>
        </w:rPr>
        <w:t>重庆市大足区金泰建设有限公司承建。</w:t>
      </w:r>
      <w:r>
        <w:rPr>
          <w:rFonts w:hint="eastAsia" w:ascii="华文仿宋" w:hAnsi="华文仿宋" w:eastAsia="华文仿宋" w:cs="华文仿宋"/>
          <w:sz w:val="28"/>
          <w:szCs w:val="28"/>
        </w:rPr>
        <w:t>项目位于重庆市大足区北园路与北环路交叉口西50米，占地面积为5234㎡，该项目开发A、B两栋，</w:t>
      </w:r>
      <w:r>
        <w:rPr>
          <w:rFonts w:hint="default" w:ascii="华文仿宋" w:hAnsi="华文仿宋" w:eastAsia="华文仿宋" w:cs="华文仿宋"/>
          <w:sz w:val="28"/>
          <w:szCs w:val="28"/>
        </w:rPr>
        <w:t>A栋建筑面积2114.8平方米、B栋建筑面积22173.34平方米，工程修建</w:t>
      </w:r>
      <w:r>
        <w:rPr>
          <w:rFonts w:hint="eastAsia" w:ascii="华文仿宋" w:hAnsi="华文仿宋" w:eastAsia="华文仿宋" w:cs="华文仿宋"/>
          <w:sz w:val="28"/>
          <w:szCs w:val="28"/>
        </w:rPr>
        <w:t>基本情况如下：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A栋房屋主体及内外墙抹灰、楼地面</w:t>
      </w:r>
      <w:r>
        <w:rPr>
          <w:rFonts w:hint="default" w:ascii="华文仿宋" w:hAnsi="华文仿宋" w:eastAsia="华文仿宋" w:cs="华文仿宋"/>
          <w:sz w:val="28"/>
          <w:szCs w:val="28"/>
        </w:rPr>
        <w:t>、</w:t>
      </w:r>
      <w:r>
        <w:rPr>
          <w:rFonts w:hint="eastAsia" w:ascii="华文仿宋" w:hAnsi="华文仿宋" w:eastAsia="华文仿宋" w:cs="华文仿宋"/>
          <w:sz w:val="28"/>
          <w:szCs w:val="28"/>
        </w:rPr>
        <w:t>塑钢窗框已经完成。窗芯</w:t>
      </w:r>
      <w:r>
        <w:rPr>
          <w:rFonts w:hint="default" w:ascii="华文仿宋" w:hAnsi="华文仿宋" w:eastAsia="华文仿宋" w:cs="华文仿宋"/>
          <w:sz w:val="28"/>
          <w:szCs w:val="28"/>
        </w:rPr>
        <w:t>、</w:t>
      </w:r>
      <w:r>
        <w:rPr>
          <w:rFonts w:hint="eastAsia" w:ascii="华文仿宋" w:hAnsi="华文仿宋" w:eastAsia="华文仿宋" w:cs="华文仿宋"/>
          <w:sz w:val="28"/>
          <w:szCs w:val="28"/>
        </w:rPr>
        <w:t>楼梯、阳台栏杆</w:t>
      </w:r>
      <w:r>
        <w:rPr>
          <w:rFonts w:hint="default" w:ascii="华文仿宋" w:hAnsi="华文仿宋" w:eastAsia="华文仿宋" w:cs="华文仿宋"/>
          <w:sz w:val="28"/>
          <w:szCs w:val="28"/>
        </w:rPr>
        <w:t>、</w:t>
      </w:r>
      <w:r>
        <w:rPr>
          <w:rFonts w:hint="eastAsia" w:ascii="华文仿宋" w:hAnsi="华文仿宋" w:eastAsia="华文仿宋" w:cs="华文仿宋"/>
          <w:sz w:val="28"/>
          <w:szCs w:val="28"/>
        </w:rPr>
        <w:t>水电气未安装</w:t>
      </w:r>
      <w:r>
        <w:rPr>
          <w:rFonts w:hint="default" w:ascii="华文仿宋" w:hAnsi="华文仿宋" w:eastAsia="华文仿宋" w:cs="华文仿宋"/>
          <w:sz w:val="28"/>
          <w:szCs w:val="28"/>
        </w:rPr>
        <w:t>，</w:t>
      </w:r>
      <w:r>
        <w:rPr>
          <w:rFonts w:hint="eastAsia" w:ascii="华文仿宋" w:hAnsi="华文仿宋" w:eastAsia="华文仿宋" w:cs="华文仿宋"/>
          <w:sz w:val="28"/>
          <w:szCs w:val="28"/>
        </w:rPr>
        <w:t>室外绿化及环保未完成。B栋房屋主体结构及维护结构基本完成</w:t>
      </w:r>
      <w:r>
        <w:rPr>
          <w:rFonts w:hint="default" w:ascii="华文仿宋" w:hAnsi="华文仿宋" w:eastAsia="华文仿宋" w:cs="华文仿宋"/>
          <w:sz w:val="28"/>
          <w:szCs w:val="28"/>
        </w:rPr>
        <w:t>，</w:t>
      </w:r>
      <w:r>
        <w:rPr>
          <w:rFonts w:hint="eastAsia" w:ascii="华文仿宋" w:hAnsi="华文仿宋" w:eastAsia="华文仿宋" w:cs="华文仿宋"/>
          <w:sz w:val="28"/>
          <w:szCs w:val="28"/>
        </w:rPr>
        <w:t>内外墙及楼地面、所有安装及保温隔热工程、地下主体工程均未完成</w:t>
      </w:r>
      <w:r>
        <w:rPr>
          <w:rFonts w:hint="default" w:ascii="华文仿宋" w:hAnsi="华文仿宋" w:eastAsia="华文仿宋" w:cs="华文仿宋"/>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1"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b/>
          <w:bCs/>
          <w:sz w:val="28"/>
          <w:szCs w:val="28"/>
        </w:rPr>
        <w:t>鉴定内容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对晨曦露苑</w:t>
      </w:r>
      <w:r>
        <w:rPr>
          <w:rFonts w:hint="eastAsia" w:ascii="华文仿宋" w:hAnsi="华文仿宋" w:eastAsia="华文仿宋" w:cs="华文仿宋"/>
          <w:sz w:val="28"/>
          <w:szCs w:val="28"/>
        </w:rPr>
        <w:t>项目</w:t>
      </w:r>
      <w:r>
        <w:rPr>
          <w:rFonts w:hint="default" w:ascii="华文仿宋" w:hAnsi="华文仿宋" w:eastAsia="华文仿宋" w:cs="华文仿宋"/>
          <w:sz w:val="28"/>
          <w:szCs w:val="28"/>
        </w:rPr>
        <w:t>已完成工程，</w:t>
      </w:r>
      <w:r>
        <w:rPr>
          <w:rFonts w:hint="eastAsia" w:ascii="华文仿宋" w:hAnsi="华文仿宋" w:eastAsia="华文仿宋" w:cs="华文仿宋"/>
          <w:sz w:val="28"/>
          <w:szCs w:val="28"/>
        </w:rPr>
        <w:t>进行结构安全性检测、鉴定，并为后续</w:t>
      </w:r>
      <w:r>
        <w:rPr>
          <w:rFonts w:hint="default" w:ascii="华文仿宋" w:hAnsi="华文仿宋" w:eastAsia="华文仿宋" w:cs="华文仿宋"/>
          <w:sz w:val="28"/>
          <w:szCs w:val="28"/>
        </w:rPr>
        <w:t>复工、</w:t>
      </w:r>
      <w:r>
        <w:rPr>
          <w:rFonts w:hint="eastAsia" w:ascii="华文仿宋" w:hAnsi="华文仿宋" w:eastAsia="华文仿宋" w:cs="华文仿宋"/>
          <w:sz w:val="28"/>
          <w:szCs w:val="28"/>
        </w:rPr>
        <w:t>治理、使用</w:t>
      </w:r>
      <w:r>
        <w:rPr>
          <w:rFonts w:hint="default" w:ascii="华文仿宋" w:hAnsi="华文仿宋" w:eastAsia="华文仿宋" w:cs="华文仿宋"/>
          <w:sz w:val="28"/>
          <w:szCs w:val="28"/>
        </w:rPr>
        <w:t>、验收</w:t>
      </w:r>
      <w:r>
        <w:rPr>
          <w:rFonts w:hint="eastAsia" w:ascii="华文仿宋" w:hAnsi="华文仿宋" w:eastAsia="华文仿宋" w:cs="华文仿宋"/>
          <w:sz w:val="28"/>
          <w:szCs w:val="28"/>
        </w:rPr>
        <w:t>提供依据。</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1" w:firstLineChars="200"/>
        <w:textAlignment w:val="auto"/>
        <w:outlineLvl w:val="9"/>
        <w:rPr>
          <w:rFonts w:hint="eastAsia" w:ascii="华文仿宋" w:hAnsi="华文仿宋" w:eastAsia="华文仿宋" w:cs="华文仿宋"/>
          <w:b/>
          <w:bCs/>
          <w:sz w:val="28"/>
          <w:szCs w:val="28"/>
        </w:rPr>
      </w:pPr>
      <w:r>
        <w:rPr>
          <w:rFonts w:hint="default" w:ascii="华文仿宋" w:hAnsi="华文仿宋" w:eastAsia="华文仿宋" w:cs="华文仿宋"/>
          <w:b/>
          <w:bCs/>
          <w:sz w:val="28"/>
          <w:szCs w:val="28"/>
        </w:rPr>
        <w:t>参选人</w:t>
      </w:r>
      <w:r>
        <w:rPr>
          <w:rFonts w:hint="eastAsia" w:ascii="华文仿宋" w:hAnsi="华文仿宋" w:eastAsia="华文仿宋" w:cs="华文仿宋"/>
          <w:b/>
          <w:bCs/>
          <w:sz w:val="28"/>
          <w:szCs w:val="28"/>
        </w:rPr>
        <w:t>基本条件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1.应当是依法设立并有效存续的企业法人，具有较高的社会责任感和良好的商业信誉，未被人民法院列入失信名单。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default" w:ascii="华文仿宋" w:hAnsi="华文仿宋" w:eastAsia="华文仿宋" w:cs="华文仿宋"/>
          <w:sz w:val="28"/>
          <w:szCs w:val="28"/>
        </w:rPr>
      </w:pPr>
      <w:r>
        <w:rPr>
          <w:rFonts w:hint="default" w:ascii="华文仿宋" w:hAnsi="华文仿宋" w:eastAsia="华文仿宋" w:cs="华文仿宋"/>
          <w:sz w:val="28"/>
          <w:szCs w:val="28"/>
        </w:rPr>
        <w:t>2.具备重庆市建设工程质量检测机构资质证书，入围重庆法院鉴定机构名录。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3.三年内未因工作质量等问题受到相关行政主管部门行政处罚或者市场禁入。</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1" w:firstLineChars="200"/>
        <w:textAlignment w:val="auto"/>
        <w:outlineLvl w:val="9"/>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招募流程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1.报名时间、地点及联系人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（1）报名时间：即日起至2020年1</w:t>
      </w:r>
      <w:r>
        <w:rPr>
          <w:rFonts w:hint="default" w:ascii="华文仿宋" w:hAnsi="华文仿宋" w:eastAsia="华文仿宋" w:cs="华文仿宋"/>
          <w:sz w:val="28"/>
          <w:szCs w:val="28"/>
        </w:rPr>
        <w:t>2</w:t>
      </w:r>
      <w:r>
        <w:rPr>
          <w:rFonts w:hint="eastAsia" w:ascii="华文仿宋" w:hAnsi="华文仿宋" w:eastAsia="华文仿宋" w:cs="华文仿宋"/>
          <w:sz w:val="28"/>
          <w:szCs w:val="28"/>
        </w:rPr>
        <w:t>月1</w:t>
      </w:r>
      <w:r>
        <w:rPr>
          <w:rFonts w:hint="default" w:ascii="华文仿宋" w:hAnsi="华文仿宋" w:eastAsia="华文仿宋" w:cs="华文仿宋"/>
          <w:sz w:val="28"/>
          <w:szCs w:val="28"/>
        </w:rPr>
        <w:t>8</w:t>
      </w:r>
      <w:r>
        <w:rPr>
          <w:rFonts w:hint="eastAsia" w:ascii="华文仿宋" w:hAnsi="华文仿宋" w:eastAsia="华文仿宋" w:cs="华文仿宋"/>
          <w:sz w:val="28"/>
          <w:szCs w:val="28"/>
        </w:rPr>
        <w:t>日</w:t>
      </w:r>
      <w:r>
        <w:rPr>
          <w:rFonts w:hint="default" w:ascii="华文仿宋" w:hAnsi="华文仿宋" w:eastAsia="华文仿宋" w:cs="华文仿宋"/>
          <w:sz w:val="28"/>
          <w:szCs w:val="28"/>
        </w:rPr>
        <w:t>17时</w:t>
      </w:r>
      <w:r>
        <w:rPr>
          <w:rFonts w:hint="eastAsia" w:ascii="华文仿宋" w:hAnsi="华文仿宋" w:eastAsia="华文仿宋" w:cs="华文仿宋"/>
          <w:sz w:val="28"/>
          <w:szCs w:val="28"/>
        </w:rPr>
        <w:t>止</w:t>
      </w:r>
      <w:r>
        <w:rPr>
          <w:rFonts w:hint="default"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（2）报名地点：</w:t>
      </w:r>
      <w:r>
        <w:rPr>
          <w:rFonts w:hint="default" w:ascii="华文仿宋" w:hAnsi="华文仿宋" w:eastAsia="华文仿宋" w:cs="华文仿宋"/>
          <w:sz w:val="28"/>
          <w:szCs w:val="28"/>
        </w:rPr>
        <w:t>重庆市渝中区企业天地7号楼22A重庆志和智律师事务所</w:t>
      </w:r>
      <w:r>
        <w:rPr>
          <w:rFonts w:hint="eastAsia"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default" w:ascii="华文仿宋" w:hAnsi="华文仿宋" w:eastAsia="华文仿宋" w:cs="华文仿宋"/>
          <w:sz w:val="28"/>
          <w:szCs w:val="28"/>
        </w:rPr>
      </w:pPr>
      <w:r>
        <w:rPr>
          <w:rFonts w:hint="eastAsia" w:ascii="华文仿宋" w:hAnsi="华文仿宋" w:eastAsia="华文仿宋" w:cs="华文仿宋"/>
          <w:sz w:val="28"/>
          <w:szCs w:val="28"/>
        </w:rPr>
        <w:t>（3）联系人：肖闻帛、刘渝；联系电话：17347900924</w:t>
      </w:r>
      <w:r>
        <w:rPr>
          <w:rFonts w:hint="default"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逾期送达或则未送达指定地点的竞标文件，招标单位不予受理。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2.报名时需提交的材料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（1）报名意向</w:t>
      </w:r>
      <w:r>
        <w:rPr>
          <w:rFonts w:hint="default" w:ascii="华文仿宋" w:hAnsi="华文仿宋" w:eastAsia="华文仿宋" w:cs="华文仿宋"/>
          <w:sz w:val="28"/>
          <w:szCs w:val="28"/>
        </w:rPr>
        <w:t>书、包含竞标人</w:t>
      </w:r>
      <w:r>
        <w:rPr>
          <w:rFonts w:hint="eastAsia" w:ascii="华文仿宋" w:hAnsi="华文仿宋" w:eastAsia="华文仿宋" w:cs="华文仿宋"/>
          <w:sz w:val="28"/>
          <w:szCs w:val="28"/>
        </w:rPr>
        <w:t>简介</w:t>
      </w:r>
      <w:r>
        <w:rPr>
          <w:rFonts w:hint="default"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2</w:t>
      </w:r>
      <w:r>
        <w:rPr>
          <w:rFonts w:hint="eastAsia" w:ascii="华文仿宋" w:hAnsi="华文仿宋" w:eastAsia="华文仿宋" w:cs="华文仿宋"/>
          <w:sz w:val="28"/>
          <w:szCs w:val="28"/>
        </w:rPr>
        <w:t>）营业执照复印件、法定代表人或负责人身份证明文件、授权委托书原件</w:t>
      </w:r>
      <w:r>
        <w:rPr>
          <w:rFonts w:hint="default"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3</w:t>
      </w: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资质证书</w:t>
      </w:r>
      <w:r>
        <w:rPr>
          <w:rFonts w:hint="eastAsia"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4</w:t>
      </w:r>
      <w:r>
        <w:rPr>
          <w:rFonts w:hint="eastAsia" w:ascii="华文仿宋" w:hAnsi="华文仿宋" w:eastAsia="华文仿宋" w:cs="华文仿宋"/>
          <w:sz w:val="28"/>
          <w:szCs w:val="28"/>
        </w:rPr>
        <w:t>）报价方案</w:t>
      </w:r>
      <w:r>
        <w:rPr>
          <w:rFonts w:hint="default"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5</w:t>
      </w: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单位联系函，载明</w:t>
      </w:r>
      <w:r>
        <w:rPr>
          <w:rFonts w:hint="eastAsia" w:ascii="华文仿宋" w:hAnsi="华文仿宋" w:eastAsia="华文仿宋" w:cs="华文仿宋"/>
          <w:sz w:val="28"/>
          <w:szCs w:val="28"/>
        </w:rPr>
        <w:t>联系人、联系电话、电子邮箱、通信地址</w:t>
      </w:r>
      <w:r>
        <w:rPr>
          <w:rFonts w:hint="default"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（6）本项目工作实施方案及进度安排</w:t>
      </w:r>
      <w:r>
        <w:rPr>
          <w:rFonts w:hint="eastAsia" w:ascii="华文仿宋" w:hAnsi="华文仿宋" w:eastAsia="华文仿宋" w:cs="华文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对上述报名材料应加</w:t>
      </w:r>
      <w:r>
        <w:rPr>
          <w:rFonts w:hint="default" w:ascii="华文仿宋" w:hAnsi="华文仿宋" w:eastAsia="华文仿宋" w:cs="华文仿宋"/>
          <w:sz w:val="28"/>
          <w:szCs w:val="28"/>
        </w:rPr>
        <w:t>盖</w:t>
      </w:r>
      <w:r>
        <w:rPr>
          <w:rFonts w:hint="eastAsia" w:ascii="华文仿宋" w:hAnsi="华文仿宋" w:eastAsia="华文仿宋" w:cs="华文仿宋"/>
          <w:sz w:val="28"/>
          <w:szCs w:val="28"/>
        </w:rPr>
        <w:t>印章并由其法定代表人或授权代表签名。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3.</w:t>
      </w:r>
      <w:r>
        <w:rPr>
          <w:rFonts w:hint="eastAsia" w:ascii="华文仿宋" w:hAnsi="华文仿宋" w:eastAsia="华文仿宋" w:cs="华文仿宋"/>
          <w:sz w:val="28"/>
          <w:szCs w:val="28"/>
        </w:rPr>
        <w:t>遴选阶段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default" w:ascii="华文仿宋" w:hAnsi="华文仿宋" w:eastAsia="华文仿宋" w:cs="华文仿宋"/>
          <w:sz w:val="28"/>
          <w:szCs w:val="28"/>
        </w:rPr>
      </w:pPr>
      <w:r>
        <w:rPr>
          <w:rFonts w:hint="default" w:ascii="华文仿宋" w:hAnsi="华文仿宋" w:eastAsia="华文仿宋" w:cs="华文仿宋"/>
          <w:sz w:val="28"/>
          <w:szCs w:val="28"/>
        </w:rPr>
        <w:t>报名</w:t>
      </w:r>
      <w:r>
        <w:rPr>
          <w:rFonts w:hint="eastAsia" w:ascii="华文仿宋" w:hAnsi="华文仿宋" w:eastAsia="华文仿宋" w:cs="华文仿宋"/>
          <w:sz w:val="28"/>
          <w:szCs w:val="28"/>
        </w:rPr>
        <w:t>期限届满后，</w:t>
      </w:r>
      <w:r>
        <w:rPr>
          <w:rFonts w:hint="default" w:ascii="华文仿宋" w:hAnsi="华文仿宋" w:eastAsia="华文仿宋" w:cs="华文仿宋"/>
          <w:sz w:val="28"/>
          <w:szCs w:val="28"/>
        </w:rPr>
        <w:t>定于2020年12月21日，上午十时，在重庆志和智律师事务所，根据竞标人提交的资料。</w:t>
      </w:r>
      <w:r>
        <w:rPr>
          <w:rFonts w:hint="eastAsia" w:ascii="华文仿宋" w:hAnsi="华文仿宋" w:eastAsia="华文仿宋" w:cs="华文仿宋"/>
          <w:sz w:val="28"/>
          <w:szCs w:val="28"/>
        </w:rPr>
        <w:t>通过商业谈判或竞争性遴选的方式，确定最终的</w:t>
      </w:r>
      <w:r>
        <w:rPr>
          <w:rFonts w:hint="default" w:ascii="华文仿宋" w:hAnsi="华文仿宋" w:eastAsia="华文仿宋" w:cs="华文仿宋"/>
          <w:sz w:val="28"/>
          <w:szCs w:val="28"/>
        </w:rPr>
        <w:t>鉴定机构。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default" w:ascii="华文仿宋" w:hAnsi="华文仿宋" w:eastAsia="华文仿宋" w:cs="华文仿宋"/>
          <w:sz w:val="28"/>
          <w:szCs w:val="28"/>
        </w:rPr>
      </w:pPr>
      <w:r>
        <w:rPr>
          <w:rFonts w:hint="default" w:ascii="华文仿宋" w:hAnsi="华文仿宋" w:eastAsia="华文仿宋" w:cs="华文仿宋"/>
          <w:sz w:val="28"/>
          <w:szCs w:val="28"/>
        </w:rPr>
        <w:t>管理人将综合考虑上述各项事项，报价作为遴选的重要条件，但不保证最低价中选，在报请债权人委员会或人民法院同意后，择优确定一家单位为本案的</w:t>
      </w:r>
      <w:r>
        <w:rPr>
          <w:rFonts w:hint="default" w:ascii="华文仿宋" w:hAnsi="华文仿宋" w:eastAsia="华文仿宋" w:cs="华文仿宋"/>
          <w:sz w:val="28"/>
          <w:szCs w:val="28"/>
        </w:rPr>
        <w:t>鉴定</w:t>
      </w:r>
      <w:bookmarkStart w:id="0" w:name="_GoBack"/>
      <w:bookmarkEnd w:id="0"/>
      <w:r>
        <w:rPr>
          <w:rFonts w:hint="default" w:ascii="华文仿宋" w:hAnsi="华文仿宋" w:eastAsia="华文仿宋" w:cs="华文仿宋"/>
          <w:sz w:val="28"/>
          <w:szCs w:val="28"/>
        </w:rPr>
        <w:t>机构。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4.</w:t>
      </w:r>
      <w:r>
        <w:rPr>
          <w:rFonts w:hint="eastAsia" w:ascii="华文仿宋" w:hAnsi="华文仿宋" w:eastAsia="华文仿宋" w:cs="华文仿宋"/>
          <w:sz w:val="28"/>
          <w:szCs w:val="28"/>
        </w:rPr>
        <w:t>签署协议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最终的</w:t>
      </w:r>
      <w:r>
        <w:rPr>
          <w:rFonts w:hint="default" w:ascii="华文仿宋" w:hAnsi="华文仿宋" w:eastAsia="华文仿宋" w:cs="华文仿宋"/>
          <w:sz w:val="28"/>
          <w:szCs w:val="28"/>
        </w:rPr>
        <w:t>鉴定结构</w:t>
      </w:r>
      <w:r>
        <w:rPr>
          <w:rFonts w:hint="eastAsia" w:ascii="华文仿宋" w:hAnsi="华文仿宋" w:eastAsia="华文仿宋" w:cs="华文仿宋"/>
          <w:sz w:val="28"/>
          <w:szCs w:val="28"/>
        </w:rPr>
        <w:t>确定后，应与管理人签订《</w:t>
      </w:r>
      <w:r>
        <w:rPr>
          <w:rFonts w:hint="default" w:ascii="华文仿宋" w:hAnsi="华文仿宋" w:eastAsia="华文仿宋" w:cs="华文仿宋"/>
          <w:sz w:val="28"/>
          <w:szCs w:val="28"/>
        </w:rPr>
        <w:t>检测合同</w:t>
      </w:r>
      <w:r>
        <w:rPr>
          <w:rFonts w:hint="eastAsia" w:ascii="华文仿宋" w:hAnsi="华文仿宋" w:eastAsia="华文仿宋" w:cs="华文仿宋"/>
          <w:sz w:val="28"/>
          <w:szCs w:val="28"/>
        </w:rPr>
        <w:t>》</w:t>
      </w:r>
      <w:r>
        <w:rPr>
          <w:rFonts w:hint="default" w:ascii="华文仿宋" w:hAnsi="华文仿宋" w:eastAsia="华文仿宋" w:cs="华文仿宋"/>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1" w:firstLineChars="200"/>
        <w:textAlignment w:val="auto"/>
        <w:outlineLvl w:val="9"/>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其他事项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default" w:ascii="华文仿宋" w:hAnsi="华文仿宋" w:eastAsia="华文仿宋" w:cs="华文仿宋"/>
          <w:sz w:val="28"/>
          <w:szCs w:val="28"/>
        </w:rPr>
      </w:pPr>
      <w:r>
        <w:rPr>
          <w:rFonts w:hint="default" w:ascii="华文仿宋" w:hAnsi="华文仿宋" w:eastAsia="华文仿宋" w:cs="华文仿宋"/>
          <w:sz w:val="28"/>
          <w:szCs w:val="28"/>
        </w:rPr>
        <w:t>本公告在全国企业破产重整案件信息网上发布。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1" w:firstLineChars="200"/>
        <w:textAlignment w:val="auto"/>
        <w:outlineLvl w:val="9"/>
        <w:rPr>
          <w:rFonts w:hint="eastAsia" w:ascii="华文仿宋" w:hAnsi="华文仿宋" w:eastAsia="华文仿宋" w:cs="华文仿宋"/>
          <w:b/>
          <w:bCs/>
          <w:sz w:val="28"/>
          <w:szCs w:val="28"/>
        </w:rPr>
      </w:pPr>
      <w:r>
        <w:rPr>
          <w:rFonts w:hint="default" w:ascii="华文仿宋" w:hAnsi="华文仿宋" w:eastAsia="华文仿宋" w:cs="华文仿宋"/>
          <w:b/>
          <w:bCs/>
          <w:sz w:val="28"/>
          <w:szCs w:val="28"/>
        </w:rPr>
        <w:t>特别说明：本项目的委托人为重庆市金庚置业发展有限公司管理人，费用支付责任主体为重庆市金庚置业发展有限公司，费用作为破产费用，根据破产程序进展情况由管理人安排支付时间。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default" w:ascii="华文仿宋" w:hAnsi="华文仿宋" w:eastAsia="华文仿宋" w:cs="华文仿宋"/>
          <w:sz w:val="28"/>
          <w:szCs w:val="28"/>
        </w:rPr>
      </w:pPr>
      <w:r>
        <w:rPr>
          <w:rFonts w:hint="default" w:ascii="华文仿宋" w:hAnsi="华文仿宋" w:eastAsia="华文仿宋" w:cs="华文仿宋"/>
          <w:sz w:val="28"/>
          <w:szCs w:val="28"/>
        </w:rPr>
        <w:t xml:space="preserve">                      重庆市金庚置业发展有限公司管理人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华文仿宋" w:hAnsi="华文仿宋" w:eastAsia="华文仿宋" w:cs="华文仿宋"/>
          <w:sz w:val="28"/>
          <w:szCs w:val="28"/>
        </w:rPr>
      </w:pPr>
      <w:r>
        <w:rPr>
          <w:rFonts w:hint="default" w:ascii="华文仿宋" w:hAnsi="华文仿宋" w:eastAsia="华文仿宋" w:cs="华文仿宋"/>
          <w:sz w:val="28"/>
          <w:szCs w:val="28"/>
        </w:rPr>
        <w:t xml:space="preserve">                                2020年12月14日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仿宋">
    <w:altName w:val="汉仪仿宋KW"/>
    <w:panose1 w:val="00000000000000000000"/>
    <w:charset w:val="00"/>
    <w:family w:val="auto"/>
    <w:pitch w:val="default"/>
    <w:sig w:usb0="00000000" w:usb1="00000000" w:usb2="00000000" w:usb3="00000000" w:csb0="00000000" w:csb1="00000000"/>
  </w:font>
  <w:font w:name="汉仪仿宋KW">
    <w:panose1 w:val="00020600040101010101"/>
    <w:charset w:val="86"/>
    <w:family w:val="auto"/>
    <w:pitch w:val="default"/>
    <w:sig w:usb0="A00002BF" w:usb1="18EF7CFA" w:usb2="00000016" w:usb3="00000000" w:csb0="00040000" w:csb1="00000000"/>
  </w:font>
  <w:font w:name="方正小标宋_GBK">
    <w:altName w:val="苹方-简"/>
    <w:panose1 w:val="00000000000000000000"/>
    <w:charset w:val="00"/>
    <w:family w:val="auto"/>
    <w:pitch w:val="default"/>
    <w:sig w:usb0="00000000" w:usb1="00000000" w:usb2="00000000" w:usb3="00000000" w:csb0="00000000" w:csb1="00000000"/>
  </w:font>
  <w:font w:name="Apple Color Emoji">
    <w:panose1 w:val="00000000000000000000"/>
    <w:charset w:val="00"/>
    <w:family w:val="auto"/>
    <w:pitch w:val="default"/>
    <w:sig w:usb0="00000003" w:usb1="18000000" w:usb2="14000000" w:usb3="00000000" w:csb0="00000001" w:csb1="00000000"/>
  </w:font>
  <w:font w:name="方正小标宋_GBK">
    <w:altName w:val="冬青黑体简体中文"/>
    <w:panose1 w:val="020B0604020202020204"/>
    <w:charset w:val="86"/>
    <w:family w:val="auto"/>
    <w:pitch w:val="default"/>
    <w:sig w:usb0="00000000" w:usb1="00000000" w:usb2="00000000" w:usb3="00000000" w:csb0="00040000" w:csb1="00000000"/>
  </w:font>
  <w:font w:name="方正仿宋_GBK">
    <w:altName w:val="苹方-简"/>
    <w:panose1 w:val="020B0604020202020204"/>
    <w:charset w:val="86"/>
    <w:family w:val="auto"/>
    <w:pitch w:val="default"/>
    <w:sig w:usb0="00000000" w:usb1="00000000" w:usb2="0000000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汉仪中黑KW">
    <w:panose1 w:val="00020600040101010101"/>
    <w:charset w:val="86"/>
    <w:family w:val="auto"/>
    <w:pitch w:val="default"/>
    <w:sig w:usb0="A00002BF" w:usb1="18EF7CFA" w:usb2="00000016" w:usb3="00000000" w:csb0="00040000" w:csb1="00000000"/>
  </w:font>
  <w:font w:name="儷宋 Pro">
    <w:panose1 w:val="02020300000000000000"/>
    <w:charset w:val="88"/>
    <w:family w:val="auto"/>
    <w:pitch w:val="default"/>
    <w:sig w:usb0="80000001" w:usb1="28091800" w:usb2="00000016" w:usb3="00000000" w:csb0="00100000" w:csb1="00000000"/>
  </w:font>
  <w:font w:name="宋体-简">
    <w:panose1 w:val="02010800040101010101"/>
    <w:charset w:val="86"/>
    <w:family w:val="auto"/>
    <w:pitch w:val="default"/>
    <w:sig w:usb0="00000001" w:usb1="080F0000" w:usb2="00000000" w:usb3="00000000" w:csb0="00040000" w:csb1="00000000"/>
  </w:font>
  <w:font w:name="圆体-繁">
    <w:panose1 w:val="02010600040101010101"/>
    <w:charset w:val="86"/>
    <w:family w:val="auto"/>
    <w:pitch w:val="default"/>
    <w:sig w:usb0="80000287" w:usb1="280F3C52" w:usb2="00000016" w:usb3="00000000" w:csb0="0004001F" w:csb1="00000000"/>
  </w:font>
  <w:font w:name="华文宋体">
    <w:panose1 w:val="02010600040101010101"/>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冬青黑体简体中文">
    <w:panose1 w:val="020B0300000000000000"/>
    <w:charset w:val="86"/>
    <w:family w:val="auto"/>
    <w:pitch w:val="default"/>
    <w:sig w:usb0="A00002BF" w:usb1="1ACF7CFA" w:usb2="00000016" w:usb3="00000000" w:csb0="00060007"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Helvetica">
    <w:panose1 w:val="00000000000000000000"/>
    <w:charset w:val="00"/>
    <w:family w:val="auto"/>
    <w:pitch w:val="default"/>
    <w:sig w:usb0="E00002FF" w:usb1="5000785B" w:usb2="00000000" w:usb3="00000000" w:csb0="2000019F" w:csb1="4F010000"/>
  </w:font>
  <w:font w:name="Traditional Arabic">
    <w:altName w:val="苹方-简"/>
    <w:panose1 w:val="02020603050405020304"/>
    <w:charset w:val="00"/>
    <w:family w:val="auto"/>
    <w:pitch w:val="default"/>
    <w:sig w:usb0="00000000" w:usb1="00000000" w:usb2="00000008" w:usb3="00000000" w:csb0="00000041" w:csb1="2008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DengXian">
    <w:altName w:val="汉仪中等线KW"/>
    <w:panose1 w:val="02010600030101010101"/>
    <w:charset w:val="00"/>
    <w:family w:val="auto"/>
    <w:pitch w:val="default"/>
    <w:sig w:usb0="00000000" w:usb1="00000000" w:usb2="00000016" w:usb3="00000000" w:csb0="0004000F" w:csb1="00000000"/>
  </w:font>
  <w:font w:name="Kingsoft Confetti">
    <w:altName w:val="苹方-简"/>
    <w:panose1 w:val="05000000000000000000"/>
    <w:charset w:val="00"/>
    <w:family w:val="auto"/>
    <w:pitch w:val="default"/>
    <w:sig w:usb0="00000000" w:usb1="00000000" w:usb2="00000000" w:usb3="00000000" w:csb0="80000000" w:csb1="00000000"/>
  </w:font>
  <w:font w:name="Kingsoft Sign">
    <w:altName w:val="苹方-简"/>
    <w:panose1 w:val="05050102010706020507"/>
    <w:charset w:val="00"/>
    <w:family w:val="auto"/>
    <w:pitch w:val="default"/>
    <w:sig w:usb0="00000000" w:usb1="00000000" w:usb2="00000000" w:usb3="00000000" w:csb0="80000000" w:csb1="00000000"/>
  </w:font>
  <w:font w:name="Arial">
    <w:panose1 w:val="020B0604020202090204"/>
    <w:charset w:val="00"/>
    <w:family w:val="auto"/>
    <w:pitch w:val="default"/>
    <w:sig w:usb0="E0000AFF" w:usb1="00007843" w:usb2="00000001" w:usb3="00000000" w:csb0="400001BF" w:csb1="DFF70000"/>
  </w:font>
  <w:font w:name="Songti SC Regular">
    <w:altName w:val="宋体-简"/>
    <w:panose1 w:val="02010800040101010101"/>
    <w:charset w:val="86"/>
    <w:family w:val="auto"/>
    <w:pitch w:val="default"/>
    <w:sig w:usb0="00000000" w:usb1="00000000" w:usb2="00000000" w:usb3="00000000" w:csb0="00040000" w:csb1="00000000"/>
  </w:font>
  <w:font w:name="DejaVa Sans">
    <w:altName w:val="苹方-简"/>
    <w:panose1 w:val="00000000000000000000"/>
    <w:charset w:val="00"/>
    <w:family w:val="auto"/>
    <w:pitch w:val="default"/>
    <w:sig w:usb0="00000000" w:usb1="00000000" w:usb2="00000000" w:usb3="00000000" w:csb0="00000000" w:csb1="00000000"/>
  </w:font>
  <w:font w:name="等线 Light">
    <w:altName w:val="汉仪中等线KW"/>
    <w:panose1 w:val="00000000000000000000"/>
    <w:charset w:val="00"/>
    <w:family w:val="auto"/>
    <w:pitch w:val="default"/>
    <w:sig w:usb0="00000000" w:usb1="00000000" w:usb2="00000000" w:usb3="00000000" w:csb0="00000000" w:csb1="00000000"/>
  </w:font>
  <w:font w:name="Calibri">
    <w:altName w:val="Helvetica Neue"/>
    <w:panose1 w:val="020F0502020204030204"/>
    <w:charset w:val="86"/>
    <w:family w:val="swiss"/>
    <w:pitch w:val="default"/>
    <w:sig w:usb0="00000000" w:usb1="00000000"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71DA53"/>
    <w:multiLevelType w:val="singleLevel"/>
    <w:tmpl w:val="5E71DA53"/>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52D4AD3"/>
    <w:rsid w:val="177F150D"/>
    <w:rsid w:val="3EFE4783"/>
    <w:rsid w:val="59AB3304"/>
    <w:rsid w:val="7BBF27F0"/>
    <w:rsid w:val="C52D4AD3"/>
    <w:rsid w:val="C9E22D52"/>
    <w:rsid w:val="F9AF2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Office_1.5.3.2393_F1E327BC-269C-435d-A152-05C5408002CA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2020-03-20T11:43:00Z</dcterms:created>
  <dc:creator>wangzhaojunlin</dc:creator>
  <cp:lastModifiedBy>wangzhaojunlin</cp:lastModifiedBy>
  <dcterms:modified xsi:type="dcterms:W3CDTF">2020-12-14T15:25:26Z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2052-1.5.3.2393</vt:lpwstr>
  </property>
</Properties>
</file>