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after="0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 w:cs="宋体"/>
          <w:b/>
          <w:i w:val="0"/>
          <w:strike w:val="0"/>
          <w:color w:val="auto"/>
          <w:sz w:val="36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/>
          <w:i w:val="0"/>
          <w:strike w:val="0"/>
          <w:color w:val="auto"/>
          <w:sz w:val="36"/>
          <w:u w:val="none"/>
        </w:rPr>
        <w:t>管理人</w:t>
      </w:r>
    </w:p>
    <w:p>
      <w:pPr>
        <w:pStyle w:val="3"/>
        <w:spacing w:after="0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接管工作方案</w:t>
      </w:r>
    </w:p>
    <w:p>
      <w:pPr>
        <w:snapToGrid w:val="0"/>
        <w:spacing w:line="440" w:lineRule="exact"/>
        <w:jc w:val="right"/>
        <w:rPr>
          <w:rFonts w:ascii="宋体" w:hAnsi="宋体"/>
          <w:b/>
          <w:sz w:val="24"/>
          <w:szCs w:val="21"/>
        </w:rPr>
      </w:pPr>
    </w:p>
    <w:p>
      <w:pPr>
        <w:snapToGrid w:val="0"/>
        <w:spacing w:line="440" w:lineRule="exact"/>
        <w:jc w:val="right"/>
        <w:rPr>
          <w:rFonts w:ascii="宋体" w:hAnsi="宋体"/>
          <w:b/>
          <w:sz w:val="24"/>
          <w:szCs w:val="21"/>
        </w:rPr>
      </w:pPr>
      <w:r>
        <w:rPr>
          <w:rFonts w:ascii="宋体" w:hAnsi="宋体" w:eastAsia="宋体" w:cs="宋体"/>
          <w:b/>
          <w:i w:val="0"/>
          <w:strike w:val="0"/>
          <w:color w:val="auto"/>
          <w:sz w:val="24"/>
          <w:u w:val="none"/>
        </w:rPr>
        <w:t>（2020）苏0925破</w:t>
      </w:r>
      <w:r>
        <w:rPr>
          <w:rFonts w:hint="eastAsia" w:ascii="宋体" w:hAnsi="宋体" w:cs="宋体"/>
          <w:b/>
          <w:i w:val="0"/>
          <w:strike w:val="0"/>
          <w:color w:val="auto"/>
          <w:sz w:val="24"/>
          <w:u w:val="none"/>
          <w:lang w:val="en-US" w:eastAsia="zh-CN"/>
        </w:rPr>
        <w:t>7</w:t>
      </w:r>
      <w:bookmarkStart w:id="0" w:name="_GoBack"/>
      <w:bookmarkEnd w:id="0"/>
      <w:r>
        <w:rPr>
          <w:rFonts w:ascii="宋体" w:hAnsi="宋体" w:eastAsia="宋体" w:cs="宋体"/>
          <w:b/>
          <w:i w:val="0"/>
          <w:strike w:val="0"/>
          <w:color w:val="auto"/>
          <w:sz w:val="24"/>
          <w:u w:val="none"/>
        </w:rPr>
        <w:t>号</w:t>
      </w:r>
    </w:p>
    <w:p>
      <w:pPr>
        <w:pStyle w:val="3"/>
        <w:spacing w:after="0" w:line="360" w:lineRule="auto"/>
        <w:rPr>
          <w:rFonts w:ascii="宋体" w:hAnsi="宋体"/>
          <w:b/>
          <w:sz w:val="24"/>
        </w:rPr>
      </w:pP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2020-1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2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-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25</w:t>
      </w:r>
      <w:r>
        <w:rPr>
          <w:rFonts w:ascii="宋体" w:hAnsi="宋体"/>
          <w:sz w:val="24"/>
        </w:rPr>
        <w:t>，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建湖县人民法院</w:t>
      </w:r>
      <w:r>
        <w:rPr>
          <w:rFonts w:ascii="宋体" w:hAnsi="宋体"/>
          <w:sz w:val="24"/>
        </w:rPr>
        <w:t>裁定受理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一案，并于同日指定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江苏向阳红律师事务所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担任管理人，开展各项管理工作。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为便于管理人规范、高效、全面地接管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，依法履行管理职责，保障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工作的顺利推进，为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计划的通过和执行奠定良好的基础，现结合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的实际情况，</w:t>
      </w:r>
      <w:r>
        <w:rPr>
          <w:rFonts w:ascii="宋体" w:hAnsi="宋体"/>
          <w:sz w:val="24"/>
        </w:rPr>
        <w:t>制定接管工作方案如下：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一、接管工作的法律依据</w:t>
      </w:r>
    </w:p>
    <w:p>
      <w:pPr>
        <w:spacing w:before="100" w:beforeAutospacing="1" w:after="100" w:afterAutospacing="1" w:line="360" w:lineRule="auto"/>
        <w:ind w:left="239" w:leftChars="114" w:firstLine="398" w:firstLineChars="166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根据《中华人民共和国企业破产法》第十五条</w:t>
      </w:r>
      <w:r>
        <w:rPr>
          <w:rFonts w:hint="eastAsia" w:ascii="宋体" w:hAnsi="宋体"/>
          <w:sz w:val="24"/>
        </w:rPr>
        <w:t>、第</w:t>
      </w:r>
      <w:r>
        <w:rPr>
          <w:rFonts w:hint="eastAsia" w:ascii="宋体" w:hAnsi="宋体"/>
          <w:sz w:val="24"/>
          <w:lang w:eastAsia="zh-CN"/>
        </w:rPr>
        <w:t>二十五</w:t>
      </w:r>
      <w:r>
        <w:rPr>
          <w:rFonts w:hint="eastAsia" w:ascii="宋体" w:hAnsi="宋体"/>
          <w:sz w:val="24"/>
        </w:rPr>
        <w:t>条、</w:t>
      </w:r>
      <w:r>
        <w:rPr>
          <w:rFonts w:hint="eastAsia" w:ascii="宋体" w:hAnsi="宋体"/>
          <w:sz w:val="24"/>
          <w:lang w:eastAsia="zh-CN"/>
        </w:rPr>
        <w:t>第一百二十七</w:t>
      </w:r>
      <w:r>
        <w:rPr>
          <w:rFonts w:hint="eastAsia" w:ascii="宋体" w:hAnsi="宋体"/>
          <w:sz w:val="24"/>
        </w:rPr>
        <w:t>条</w:t>
      </w:r>
      <w:r>
        <w:rPr>
          <w:rFonts w:ascii="宋体" w:hAnsi="宋体"/>
          <w:sz w:val="24"/>
        </w:rPr>
        <w:t>之规定，法院受理企业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破产清算</w:t>
      </w:r>
      <w:r>
        <w:rPr>
          <w:rFonts w:ascii="宋体" w:hAnsi="宋体"/>
          <w:sz w:val="24"/>
        </w:rPr>
        <w:t>后，管理人应当履行接管债务人的财产、印章和账簿、文书等资料</w:t>
      </w:r>
      <w:r>
        <w:rPr>
          <w:rFonts w:hint="eastAsia" w:ascii="宋体" w:hAnsi="宋体"/>
          <w:sz w:val="24"/>
        </w:rPr>
        <w:t>以及与债权申报、继续履行合同、资产处置等相关</w:t>
      </w:r>
      <w:r>
        <w:rPr>
          <w:rFonts w:ascii="宋体" w:hAnsi="宋体"/>
          <w:sz w:val="24"/>
        </w:rPr>
        <w:t>的法定职责。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二、</w:t>
      </w:r>
      <w:r>
        <w:rPr>
          <w:rFonts w:hint="eastAsia" w:ascii="宋体" w:hAnsi="宋体" w:cs="宋体"/>
          <w:b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/>
          <w:b/>
          <w:sz w:val="24"/>
        </w:rPr>
        <w:t>接管</w:t>
      </w:r>
      <w:r>
        <w:rPr>
          <w:rFonts w:hint="eastAsia" w:ascii="宋体" w:hAnsi="宋体"/>
          <w:b/>
          <w:sz w:val="24"/>
        </w:rPr>
        <w:t>工作</w:t>
      </w:r>
      <w:r>
        <w:rPr>
          <w:rFonts w:ascii="宋体" w:hAnsi="宋体"/>
          <w:b/>
          <w:sz w:val="24"/>
        </w:rPr>
        <w:t>的</w:t>
      </w:r>
      <w:r>
        <w:rPr>
          <w:rFonts w:hint="eastAsia" w:ascii="宋体" w:hAnsi="宋体"/>
          <w:b/>
          <w:sz w:val="24"/>
        </w:rPr>
        <w:t>主要事项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（一）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的公章、财务专用章、合同专用章、</w:t>
      </w:r>
      <w:r>
        <w:rPr>
          <w:rFonts w:ascii="宋体" w:hAnsi="宋体"/>
          <w:sz w:val="24"/>
        </w:rPr>
        <w:t>税务登记专用章、法定代表人私章</w:t>
      </w:r>
      <w:r>
        <w:rPr>
          <w:rFonts w:hint="eastAsia" w:ascii="宋体" w:hAnsi="宋体"/>
          <w:sz w:val="24"/>
        </w:rPr>
        <w:t>、预留银行的私人印鉴、</w:t>
      </w:r>
      <w:r>
        <w:rPr>
          <w:rFonts w:ascii="宋体" w:hAnsi="宋体"/>
          <w:sz w:val="24"/>
        </w:rPr>
        <w:t>掌握在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/>
          <w:sz w:val="24"/>
        </w:rPr>
        <w:t>手中的关联公司公章等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印章，并由专人保管。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及其职员因正当原因需使用印章时，必须遵循管理</w:t>
      </w:r>
      <w:r>
        <w:rPr>
          <w:rFonts w:hint="eastAsia" w:ascii="宋体" w:hAnsi="宋体"/>
          <w:sz w:val="24"/>
        </w:rPr>
        <w:t>人制定的印章使用制度，履行相关报批程序。加盖印章后，管理人需复印相应文件资料留底，以防止文件在加盖印章后被篡改，并对使用人等情况予以登记备查。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（二）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的营业执照、法人代码证、税务登记证等经营凭证。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（三）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的财务会计资料，</w:t>
      </w:r>
      <w:r>
        <w:rPr>
          <w:rFonts w:ascii="宋体" w:hAnsi="宋体"/>
          <w:sz w:val="24"/>
        </w:rPr>
        <w:t>包括历年的审计报告、验资报告、财务凭证、总账册、明细账册等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（四）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的文件、合同、协议等原始档案材料。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（五）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的资产权属证明，包括商标注册证书、专利证书、</w:t>
      </w:r>
      <w:r>
        <w:rPr>
          <w:rFonts w:ascii="宋体" w:hAnsi="宋体"/>
          <w:sz w:val="24"/>
        </w:rPr>
        <w:t>对外投资权益凭证、对外债权凭证、房屋权属证书、车辆登记证书等各类资产凭证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（六）车辆、房产、机器设备等资产，如资产存在被其他法院强制执行的风险时，及时报请法院采取保全措施。并注意提示法院保全的期限，及时续封、续冻。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（七）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的人事档案资料。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（八）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的银行账户和现金。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（九）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</w:t>
      </w:r>
      <w:r>
        <w:rPr>
          <w:rFonts w:ascii="宋体" w:hAnsi="宋体"/>
          <w:sz w:val="24"/>
        </w:rPr>
        <w:t>涉诉案件材料（包括以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）</w:t>
      </w:r>
      <w:r>
        <w:rPr>
          <w:rFonts w:ascii="宋体" w:hAnsi="宋体"/>
          <w:sz w:val="24"/>
        </w:rPr>
        <w:t>为原告、被告的所有一审、二审、再审、执行案件及仲裁等）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（十）其他事项的接管和移交。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 w:eastAsia="宋体" w:cs="宋体"/>
          <w:b/>
          <w:i w:val="0"/>
          <w:strike w:val="0"/>
          <w:color w:val="auto"/>
          <w:sz w:val="24"/>
          <w:u w:val="none"/>
        </w:rPr>
        <w:t>三、</w:t>
      </w:r>
      <w:r>
        <w:rPr>
          <w:rFonts w:hint="eastAsia" w:ascii="宋体" w:hAnsi="宋体" w:cs="宋体"/>
          <w:b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/>
          <w:b/>
          <w:sz w:val="24"/>
        </w:rPr>
        <w:t>接管工作</w:t>
      </w:r>
      <w:r>
        <w:rPr>
          <w:rFonts w:hint="eastAsia" w:ascii="宋体" w:hAnsi="宋体"/>
          <w:b/>
          <w:sz w:val="24"/>
        </w:rPr>
        <w:t>的基本程序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（一）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各部门工作人员</w:t>
      </w:r>
      <w:r>
        <w:rPr>
          <w:rFonts w:ascii="宋体" w:hAnsi="宋体"/>
          <w:sz w:val="24"/>
        </w:rPr>
        <w:t>要提前进行资料清理、准备工作，这是接管</w:t>
      </w:r>
      <w:r>
        <w:rPr>
          <w:rFonts w:hint="eastAsia" w:ascii="宋体" w:hAnsi="宋体"/>
          <w:sz w:val="24"/>
        </w:rPr>
        <w:t>工作</w:t>
      </w:r>
      <w:r>
        <w:rPr>
          <w:rFonts w:ascii="宋体" w:hAnsi="宋体"/>
          <w:sz w:val="24"/>
        </w:rPr>
        <w:t>能够顺利开展的前提之一。在准备过程中，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各部门工作人员</w:t>
      </w:r>
      <w:r>
        <w:rPr>
          <w:rFonts w:ascii="宋体" w:hAnsi="宋体"/>
          <w:sz w:val="24"/>
        </w:rPr>
        <w:t>可随时就有关问题与管理人进行沟通、协商。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（二）</w:t>
      </w:r>
      <w:r>
        <w:rPr>
          <w:rFonts w:ascii="宋体" w:hAnsi="宋体"/>
          <w:sz w:val="24"/>
        </w:rPr>
        <w:t>根据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ascii="宋体" w:hAnsi="宋体"/>
          <w:sz w:val="24"/>
        </w:rPr>
        <w:t>工作进程的需要，对于急需处理事宜所涉及到的移交事项，应当优先安排移交；对于其他事项，可配合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ascii="宋体" w:hAnsi="宋体"/>
          <w:sz w:val="24"/>
        </w:rPr>
        <w:t>工作进度陆续移交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（三）</w:t>
      </w:r>
      <w:r>
        <w:rPr>
          <w:rFonts w:ascii="宋体" w:hAnsi="宋体"/>
          <w:sz w:val="24"/>
        </w:rPr>
        <w:t>管理人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和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留守人员</w:t>
      </w:r>
      <w:r>
        <w:rPr>
          <w:rFonts w:ascii="宋体" w:hAnsi="宋体"/>
          <w:sz w:val="24"/>
        </w:rPr>
        <w:t>按照所移交和接管的事项，由</w:t>
      </w:r>
      <w:r>
        <w:rPr>
          <w:rFonts w:hint="eastAsia" w:ascii="宋体" w:hAnsi="宋体"/>
          <w:sz w:val="24"/>
        </w:rPr>
        <w:t>上述</w:t>
      </w:r>
      <w:r>
        <w:rPr>
          <w:rFonts w:ascii="宋体" w:hAnsi="宋体"/>
          <w:sz w:val="24"/>
        </w:rPr>
        <w:t>专人</w:t>
      </w:r>
      <w:r>
        <w:rPr>
          <w:rFonts w:hint="eastAsia" w:ascii="宋体" w:hAnsi="宋体"/>
          <w:sz w:val="24"/>
        </w:rPr>
        <w:t>调动本组人力，</w:t>
      </w:r>
      <w:r>
        <w:rPr>
          <w:rFonts w:ascii="宋体" w:hAnsi="宋体"/>
          <w:sz w:val="24"/>
        </w:rPr>
        <w:t>分工负责移交和接管，所有移交和接管事项必须制作交接清单</w:t>
      </w:r>
      <w:r>
        <w:rPr>
          <w:rFonts w:hint="eastAsia" w:ascii="宋体" w:hAnsi="宋体"/>
          <w:sz w:val="24"/>
        </w:rPr>
        <w:t>，一式两份。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（四）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hint="eastAsia" w:ascii="宋体" w:hAnsi="宋体"/>
          <w:sz w:val="24"/>
        </w:rPr>
        <w:t>留守人员向管理人实际交接时，应该按照交接清单逐项交接，管理人认真核对、清点，</w:t>
      </w:r>
      <w:r>
        <w:rPr>
          <w:rFonts w:ascii="宋体" w:hAnsi="宋体"/>
          <w:sz w:val="24"/>
        </w:rPr>
        <w:t>严格做到账实相符，即交接清单记载事项与实物必须一致</w:t>
      </w:r>
      <w:r>
        <w:rPr>
          <w:rFonts w:hint="eastAsia" w:ascii="宋体" w:hAnsi="宋体"/>
          <w:sz w:val="24"/>
        </w:rPr>
        <w:t>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（五）管理人清点资产的同时，开展对资产的评估工作，努力做到清点与评估工作同步完成，为后期工作的迅速开展打下坚实基础。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（六）交接工作完成，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、管理人负责交接的人员、监交人分别在“移交人”、“接收人”和“监交人”栏上签字，并由移交人签署保证全部移交承诺书。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（七）</w:t>
      </w:r>
      <w:r>
        <w:rPr>
          <w:rFonts w:ascii="宋体" w:hAnsi="宋体"/>
          <w:sz w:val="24"/>
        </w:rPr>
        <w:t>对于移交后暂不使用需要封存的资产，由管理人以封条形式封存，由管理人相关负责人员在封条上签字。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（八）对于需要由原占有人员继续保管使用的财产、资料等，由管理人委托原占有人员继续妥善保管使用，并由原占有人员出具相关承诺书。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（九）</w:t>
      </w:r>
      <w:r>
        <w:rPr>
          <w:rFonts w:ascii="宋体" w:hAnsi="宋体"/>
          <w:sz w:val="24"/>
        </w:rPr>
        <w:t>对于无法交接的资料，或交接资料中无法体现出来的信息，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/>
          <w:sz w:val="24"/>
        </w:rPr>
        <w:t>要向管理人进行详细的介绍，必要时，出具书面的情况说明。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ascii="宋体" w:hAnsi="宋体" w:eastAsia="宋体" w:cs="宋体"/>
          <w:b/>
          <w:i w:val="0"/>
          <w:strike w:val="0"/>
          <w:color w:val="auto"/>
          <w:sz w:val="24"/>
          <w:u w:val="none"/>
        </w:rPr>
        <w:t>四、</w:t>
      </w:r>
      <w:r>
        <w:rPr>
          <w:rFonts w:hint="eastAsia" w:ascii="宋体" w:hAnsi="宋体" w:cs="宋体"/>
          <w:b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/>
          <w:i w:val="0"/>
          <w:strike w:val="0"/>
          <w:color w:val="auto"/>
          <w:sz w:val="24"/>
          <w:u w:val="none"/>
        </w:rPr>
        <w:t>接管工作的具体分工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一般情况下，</w:t>
      </w:r>
      <w:r>
        <w:rPr>
          <w:rFonts w:ascii="宋体" w:hAnsi="宋体"/>
          <w:sz w:val="24"/>
        </w:rPr>
        <w:t>对于有形资产和书面文件，采取现实移交的方式</w:t>
      </w:r>
      <w:r>
        <w:rPr>
          <w:rFonts w:hint="eastAsia" w:ascii="宋体" w:hAnsi="宋体"/>
          <w:sz w:val="24"/>
        </w:rPr>
        <w:t>；</w:t>
      </w:r>
      <w:r>
        <w:rPr>
          <w:rFonts w:ascii="宋体" w:hAnsi="宋体"/>
          <w:sz w:val="24"/>
        </w:rPr>
        <w:t>对于不动产和特殊的动产，在现实移交的同时，还要移交权利凭证</w:t>
      </w:r>
      <w:r>
        <w:rPr>
          <w:rFonts w:hint="eastAsia" w:ascii="宋体" w:hAnsi="宋体"/>
          <w:sz w:val="24"/>
        </w:rPr>
        <w:t>；</w:t>
      </w:r>
      <w:r>
        <w:rPr>
          <w:rFonts w:ascii="宋体" w:hAnsi="宋体"/>
          <w:sz w:val="24"/>
        </w:rPr>
        <w:t>对于银行账户等，则通过移交钥匙、印鉴，改变密码等方式，将实际控制权移交。根据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/>
          <w:sz w:val="24"/>
        </w:rPr>
        <w:t>移交接管事项的不同，</w:t>
      </w:r>
      <w:r>
        <w:rPr>
          <w:rFonts w:hint="eastAsia" w:ascii="宋体" w:hAnsi="宋体"/>
          <w:sz w:val="24"/>
        </w:rPr>
        <w:t>结合项目推进的具体情况，对接管移交工作做如下具体分工：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（一）公章、权证类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公章、权证类事项的交接，包括接管移交事项中的第（一）、（二）、（五）项内容，由</w:t>
      </w:r>
      <w:r>
        <w:rPr>
          <w:rFonts w:hint="eastAsia" w:ascii="宋体" w:hAnsi="宋体"/>
          <w:sz w:val="24"/>
          <w:lang w:eastAsia="zh-CN"/>
        </w:rPr>
        <w:t>王美玲</w:t>
      </w:r>
      <w:r>
        <w:rPr>
          <w:rFonts w:hint="eastAsia" w:ascii="宋体" w:hAnsi="宋体"/>
          <w:sz w:val="24"/>
        </w:rPr>
        <w:t>（管理人指定工作人员或工作组）负责接收，并在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hint="eastAsia" w:ascii="宋体" w:hAnsi="宋体"/>
          <w:sz w:val="24"/>
        </w:rPr>
        <w:t>程序中监管、使用。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具体负责人：</w:t>
      </w:r>
      <w:r>
        <w:rPr>
          <w:rFonts w:hint="eastAsia" w:ascii="宋体" w:hAnsi="宋体"/>
          <w:sz w:val="24"/>
          <w:lang w:eastAsia="zh-CN"/>
        </w:rPr>
        <w:t>王美玲</w:t>
      </w:r>
      <w:r>
        <w:rPr>
          <w:rFonts w:hint="eastAsia" w:ascii="宋体" w:hAnsi="宋体"/>
          <w:sz w:val="24"/>
        </w:rPr>
        <w:t xml:space="preserve"> 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（二）文件</w:t>
      </w:r>
      <w:r>
        <w:rPr>
          <w:rFonts w:ascii="宋体" w:hAnsi="宋体"/>
          <w:b/>
          <w:sz w:val="24"/>
        </w:rPr>
        <w:t>、诉讼</w:t>
      </w:r>
      <w:r>
        <w:rPr>
          <w:rFonts w:hint="eastAsia" w:ascii="宋体" w:hAnsi="宋体"/>
          <w:b/>
          <w:sz w:val="24"/>
        </w:rPr>
        <w:t>档案类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文件、诉讼档案类事项的交接，包括接管移交事项中的第（四）、（九）项内容，由</w:t>
      </w:r>
      <w:r>
        <w:rPr>
          <w:rFonts w:hint="eastAsia" w:ascii="宋体" w:hAnsi="宋体"/>
          <w:sz w:val="24"/>
          <w:lang w:eastAsia="zh-CN"/>
        </w:rPr>
        <w:t>王美玲</w:t>
      </w:r>
      <w:r>
        <w:rPr>
          <w:rFonts w:hint="eastAsia" w:ascii="宋体" w:hAnsi="宋体"/>
          <w:sz w:val="24"/>
        </w:rPr>
        <w:t>（管理人指定工作人员或工作组）负责接收，并在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hint="eastAsia" w:ascii="宋体" w:hAnsi="宋体"/>
          <w:sz w:val="24"/>
        </w:rPr>
        <w:t>程序中委托公司各对应部门负责保管。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具体负责人：</w:t>
      </w:r>
      <w:r>
        <w:rPr>
          <w:rFonts w:hint="eastAsia" w:ascii="宋体" w:hAnsi="宋体"/>
          <w:sz w:val="24"/>
          <w:lang w:eastAsia="zh-CN"/>
        </w:rPr>
        <w:t>王美玲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（三）人事档案类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人事档案类事项的交接，包括接管移交事项中的第（七）项内容，由</w:t>
      </w:r>
      <w:r>
        <w:rPr>
          <w:rFonts w:hint="eastAsia" w:ascii="宋体" w:hAnsi="宋体"/>
          <w:sz w:val="24"/>
          <w:lang w:eastAsia="zh-CN"/>
        </w:rPr>
        <w:t>王美玲</w:t>
      </w:r>
      <w:r>
        <w:rPr>
          <w:rFonts w:hint="eastAsia" w:ascii="宋体" w:hAnsi="宋体"/>
          <w:sz w:val="24"/>
        </w:rPr>
        <w:t>（管理人指定工作人员或工作组）负责接收，并在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hint="eastAsia" w:ascii="宋体" w:hAnsi="宋体"/>
          <w:sz w:val="24"/>
        </w:rPr>
        <w:t>程序中委托公司人事部门负责保管。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具体负责人：</w:t>
      </w:r>
      <w:r>
        <w:rPr>
          <w:rFonts w:hint="eastAsia" w:ascii="宋体" w:hAnsi="宋体"/>
          <w:sz w:val="24"/>
          <w:lang w:eastAsia="zh-CN"/>
        </w:rPr>
        <w:t>王美玲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（四）账簿、</w:t>
      </w:r>
      <w:r>
        <w:rPr>
          <w:rFonts w:ascii="宋体" w:hAnsi="宋体"/>
          <w:b/>
          <w:sz w:val="24"/>
        </w:rPr>
        <w:t>资产</w:t>
      </w:r>
      <w:r>
        <w:rPr>
          <w:rFonts w:hint="eastAsia" w:ascii="宋体" w:hAnsi="宋体"/>
          <w:b/>
          <w:sz w:val="24"/>
        </w:rPr>
        <w:t>类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账簿类事项的交接，指接管移交事项中的第（三）、</w:t>
      </w: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</w:rPr>
        <w:t>六</w:t>
      </w:r>
      <w:r>
        <w:rPr>
          <w:rFonts w:ascii="宋体" w:hAnsi="宋体"/>
          <w:sz w:val="24"/>
        </w:rPr>
        <w:t>）</w:t>
      </w:r>
      <w:r>
        <w:rPr>
          <w:rFonts w:hint="eastAsia" w:ascii="宋体" w:hAnsi="宋体"/>
          <w:sz w:val="24"/>
        </w:rPr>
        <w:t>、</w:t>
      </w:r>
      <w:r>
        <w:rPr>
          <w:rFonts w:ascii="宋体" w:hAnsi="宋体"/>
          <w:sz w:val="24"/>
        </w:rPr>
        <w:t>（八）</w:t>
      </w:r>
      <w:r>
        <w:rPr>
          <w:rFonts w:hint="eastAsia" w:ascii="宋体" w:hAnsi="宋体"/>
          <w:sz w:val="24"/>
        </w:rPr>
        <w:t>项内容，由</w:t>
      </w:r>
      <w:r>
        <w:rPr>
          <w:rFonts w:hint="eastAsia" w:ascii="宋体" w:hAnsi="宋体"/>
          <w:sz w:val="24"/>
          <w:lang w:eastAsia="zh-CN"/>
        </w:rPr>
        <w:t>王美玲</w:t>
      </w:r>
      <w:r>
        <w:rPr>
          <w:rFonts w:hint="eastAsia" w:ascii="宋体" w:hAnsi="宋体"/>
          <w:sz w:val="24"/>
        </w:rPr>
        <w:t>（管理人指定工作人员或工作组）负责接收，并在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hint="eastAsia" w:ascii="宋体" w:hAnsi="宋体"/>
          <w:sz w:val="24"/>
        </w:rPr>
        <w:t>程序中委托公司各</w:t>
      </w:r>
      <w:r>
        <w:rPr>
          <w:rFonts w:ascii="宋体" w:hAnsi="宋体"/>
          <w:sz w:val="24"/>
        </w:rPr>
        <w:t>对应</w:t>
      </w:r>
      <w:r>
        <w:rPr>
          <w:rFonts w:hint="eastAsia" w:ascii="宋体" w:hAnsi="宋体"/>
          <w:sz w:val="24"/>
        </w:rPr>
        <w:t>部门负责保管。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具体负责人：</w:t>
      </w:r>
      <w:r>
        <w:rPr>
          <w:rFonts w:hint="eastAsia" w:ascii="宋体" w:hAnsi="宋体"/>
          <w:sz w:val="24"/>
          <w:lang w:eastAsia="zh-CN"/>
        </w:rPr>
        <w:t>王美玲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五、接管后公司的经营模式及文件保管模式</w:t>
      </w:r>
    </w:p>
    <w:p>
      <w:pPr>
        <w:spacing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对于公司高管人员，可以考虑停止其行使一切职务，也可以采取管理人委托其继续经营的模式，由管理人在公司的原有审批程序上做最后的把关。</w:t>
      </w:r>
    </w:p>
    <w:p>
      <w:pPr>
        <w:spacing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管理人接管后，对于生产经营所需的重要文件和资料，采取委托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××××（工作人员）代管的方式；对于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程序所需的文件和资料，按照管理人发布的工作制度，进一步进行清查和整理工作。</w:t>
      </w:r>
    </w:p>
    <w:p>
      <w:pPr>
        <w:spacing w:before="100" w:beforeAutospacing="1" w:after="100" w:afterAutospacing="1" w:line="360" w:lineRule="auto"/>
        <w:ind w:firstLine="482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六</w:t>
      </w:r>
      <w:r>
        <w:rPr>
          <w:rFonts w:ascii="宋体" w:hAnsi="宋体"/>
          <w:b/>
          <w:bCs/>
          <w:sz w:val="24"/>
        </w:rPr>
        <w:t>、接管工作的时间安排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Cs/>
          <w:sz w:val="24"/>
        </w:rPr>
        <w:t>接管</w:t>
      </w:r>
      <w:r>
        <w:rPr>
          <w:rFonts w:ascii="宋体" w:hAnsi="宋体"/>
          <w:bCs/>
          <w:sz w:val="24"/>
        </w:rPr>
        <w:t>工作暂定于</w:t>
      </w:r>
      <w:r>
        <w:rPr>
          <w:rFonts w:hint="eastAsia" w:ascii="宋体" w:hAnsi="宋体"/>
          <w:sz w:val="24"/>
          <w:lang w:val="en-US" w:eastAsia="zh-CN"/>
        </w:rPr>
        <w:t>2021</w:t>
      </w:r>
      <w:r>
        <w:rPr>
          <w:rFonts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1</w:t>
      </w:r>
      <w:r>
        <w:rPr>
          <w:rFonts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26</w:t>
      </w:r>
      <w:r>
        <w:rPr>
          <w:rFonts w:ascii="宋体" w:hAnsi="宋体"/>
          <w:bCs/>
          <w:sz w:val="24"/>
        </w:rPr>
        <w:t>日至</w:t>
      </w:r>
      <w:r>
        <w:rPr>
          <w:rFonts w:hint="eastAsia" w:ascii="宋体" w:hAnsi="宋体"/>
          <w:bCs/>
          <w:sz w:val="24"/>
          <w:lang w:val="en-US" w:eastAsia="zh-CN"/>
        </w:rPr>
        <w:t>2021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8</w:t>
      </w:r>
      <w:r>
        <w:rPr>
          <w:rFonts w:ascii="宋体" w:hAnsi="宋体"/>
          <w:bCs/>
          <w:sz w:val="24"/>
        </w:rPr>
        <w:t>日期间开展。由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有关人员</w:t>
      </w:r>
      <w:r>
        <w:rPr>
          <w:rFonts w:ascii="宋体" w:hAnsi="宋体"/>
          <w:bCs/>
          <w:sz w:val="24"/>
        </w:rPr>
        <w:t>清理文件、编制清单，在此期间，</w:t>
      </w:r>
      <w:r>
        <w:rPr>
          <w:rFonts w:hint="eastAsia" w:ascii="宋体" w:hAnsi="宋体"/>
          <w:bCs/>
          <w:sz w:val="24"/>
        </w:rPr>
        <w:t>管理人</w:t>
      </w:r>
      <w:r>
        <w:rPr>
          <w:rFonts w:ascii="宋体" w:hAnsi="宋体"/>
          <w:bCs/>
          <w:sz w:val="24"/>
        </w:rPr>
        <w:t>可以根据交接工作的要求与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有关人员</w:t>
      </w:r>
      <w:r>
        <w:rPr>
          <w:rFonts w:ascii="宋体" w:hAnsi="宋体"/>
          <w:bCs/>
          <w:sz w:val="24"/>
        </w:rPr>
        <w:t>进行必要的沟通与协调；</w:t>
      </w:r>
      <w:r>
        <w:rPr>
          <w:rFonts w:hint="eastAsia" w:ascii="宋体" w:hAnsi="宋体"/>
          <w:bCs/>
          <w:sz w:val="24"/>
          <w:lang w:eastAsia="zh-CN"/>
        </w:rPr>
        <w:t>并于当日</w:t>
      </w:r>
      <w:r>
        <w:rPr>
          <w:rFonts w:ascii="宋体" w:hAnsi="宋体"/>
          <w:bCs/>
          <w:sz w:val="24"/>
        </w:rPr>
        <w:t>双方具体办理移交手续。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bCs/>
          <w:sz w:val="24"/>
        </w:rPr>
      </w:pPr>
    </w:p>
    <w:p>
      <w:pPr>
        <w:spacing w:before="100" w:beforeAutospacing="1" w:after="100" w:afterAutospacing="1" w:line="360" w:lineRule="auto"/>
        <w:jc w:val="right"/>
        <w:rPr>
          <w:rFonts w:ascii="宋体" w:hAnsi="宋体"/>
          <w:bCs/>
          <w:sz w:val="24"/>
        </w:rPr>
      </w:pP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管理人</w:t>
      </w:r>
    </w:p>
    <w:p>
      <w:pPr>
        <w:spacing w:before="100" w:beforeAutospacing="1" w:after="100" w:afterAutospacing="1" w:line="360" w:lineRule="auto"/>
        <w:jc w:val="center"/>
        <w:rPr>
          <w:rFonts w:ascii="宋体" w:hAnsi="宋体"/>
          <w:bCs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 xml:space="preserve">                                                   202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年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1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月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19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日</w:t>
      </w:r>
    </w:p>
    <w:p>
      <w:pPr>
        <w:rPr>
          <w:rFonts w:ascii="宋体" w:hAnsi="宋体"/>
          <w:sz w:val="24"/>
        </w:rPr>
      </w:pPr>
    </w:p>
    <w:p>
      <w:pPr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附：1.保证全部移交的承诺书；</w:t>
      </w:r>
    </w:p>
    <w:p>
      <w:pPr>
        <w:ind w:firstLine="480"/>
      </w:pPr>
      <w:r>
        <w:rPr>
          <w:rFonts w:hint="eastAsia" w:ascii="宋体" w:hAnsi="宋体"/>
          <w:sz w:val="24"/>
        </w:rPr>
        <w:t>2.继续妥善保管、使用相关资料委托书；</w:t>
      </w:r>
    </w:p>
    <w:p>
      <w:pPr>
        <w:ind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.继续妥善保管、使用相关资料承诺书</w:t>
      </w: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附1</w:t>
      </w:r>
    </w:p>
    <w:p>
      <w:pPr>
        <w:spacing w:before="100" w:beforeAutospacing="1" w:after="100" w:afterAutospacing="1"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承  诺  书</w:t>
      </w:r>
    </w:p>
    <w:p>
      <w:pPr>
        <w:spacing w:before="100" w:beforeAutospacing="1" w:after="100" w:afterAutospacing="1" w:line="360" w:lineRule="auto"/>
        <w:rPr>
          <w:rFonts w:ascii="宋体" w:hAnsi="宋体"/>
          <w:sz w:val="24"/>
        </w:rPr>
      </w:pP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本人现郑重承诺，已按照法院和管理人的要求，交接了本人保管的                                       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（文件名称）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无任何隐匿、销毁、转移相关资料的行为，所交资料真实、无遗漏。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如果存在上述隐匿、销毁、转移的行为，本人愿意承担相应的法律责任。</w:t>
      </w: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before="100" w:beforeAutospacing="1" w:after="100" w:afterAutospacing="1"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before="100" w:beforeAutospacing="1" w:after="100" w:afterAutospacing="1" w:line="360" w:lineRule="auto"/>
        <w:ind w:right="80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承诺人：</w:t>
      </w:r>
    </w:p>
    <w:p>
      <w:pPr>
        <w:spacing w:before="100" w:beforeAutospacing="1" w:after="100" w:afterAutospacing="1" w:line="360" w:lineRule="auto"/>
        <w:ind w:right="64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联系电话：</w:t>
      </w:r>
    </w:p>
    <w:p>
      <w:pPr>
        <w:spacing w:before="100" w:beforeAutospacing="1" w:after="100" w:afterAutospacing="1" w:line="360" w:lineRule="auto"/>
        <w:ind w:right="64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时间：</w:t>
      </w:r>
    </w:p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附2</w:t>
      </w:r>
    </w:p>
    <w:p/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继续妥善保管、使用公司相关</w:t>
      </w:r>
      <w:r>
        <w:rPr>
          <w:rFonts w:hint="eastAsia" w:ascii="宋体" w:hAnsi="宋体"/>
          <w:bCs/>
          <w:sz w:val="36"/>
          <w:szCs w:val="36"/>
        </w:rPr>
        <w:t>××</w:t>
      </w:r>
      <w:r>
        <w:rPr>
          <w:rFonts w:hint="eastAsia" w:ascii="宋体" w:hAnsi="宋体"/>
          <w:b/>
          <w:sz w:val="36"/>
          <w:szCs w:val="36"/>
        </w:rPr>
        <w:t>资料委托书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2020-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12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-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25</w:t>
      </w:r>
      <w:r>
        <w:rPr>
          <w:rFonts w:hint="eastAsia" w:ascii="宋体" w:hAnsi="宋体"/>
          <w:sz w:val="24"/>
        </w:rPr>
        <w:t>，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建湖县人民法院</w:t>
      </w:r>
      <w:r>
        <w:rPr>
          <w:rFonts w:hint="eastAsia" w:ascii="宋体" w:hAnsi="宋体"/>
          <w:sz w:val="24"/>
        </w:rPr>
        <w:t>裁定受理了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hint="eastAsia" w:ascii="宋体" w:hAnsi="宋体"/>
          <w:sz w:val="24"/>
        </w:rPr>
        <w:t>案，并指定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朱珊担任</w:t>
      </w:r>
      <w:r>
        <w:rPr>
          <w:rFonts w:hint="eastAsia" w:ascii="宋体" w:hAnsi="宋体"/>
          <w:sz w:val="24"/>
        </w:rPr>
        <w:t>管理人。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管理人接管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后，为了维持公司事务的正常管理，除管理人另有规定外，委托公司相关人员×××、×××继续保管和使用原由其保管和使用的相关资料。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继续保管相关资料的人员依法应履行以下职责：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（一）对管理人交由其保管的所列清单上的资料继续妥善保管；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（二）在需要使用上述资料时，应按照资料固有的用途使用，保证资料的安全、完整；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（三）对于在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hint="eastAsia" w:ascii="宋体" w:hAnsi="宋体"/>
          <w:sz w:val="24"/>
          <w:lang w:eastAsia="zh-CN"/>
        </w:rPr>
        <w:t>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期间，因负有保管义务的人员未履行相应保管责任，致使相关资料毁损、灭失的，由其本人和其他对该项资料负有继续保管义务的人员承担连带责任。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line="360" w:lineRule="auto"/>
        <w:ind w:firstLine="480" w:firstLineChars="200"/>
        <w:jc w:val="right"/>
        <w:rPr>
          <w:rFonts w:ascii="宋体" w:hAnsi="宋体"/>
          <w:sz w:val="24"/>
        </w:rPr>
      </w:pP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管理人</w:t>
      </w:r>
    </w:p>
    <w:p>
      <w:pPr>
        <w:spacing w:line="360" w:lineRule="auto"/>
        <w:ind w:firstLine="480" w:firstLineChars="200"/>
        <w:jc w:val="right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21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年1月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19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日</w:t>
      </w:r>
    </w:p>
    <w:p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br w:type="page"/>
      </w:r>
      <w:r>
        <w:rPr>
          <w:rFonts w:hint="eastAsia" w:ascii="宋体" w:hAnsi="宋体"/>
          <w:sz w:val="24"/>
        </w:rPr>
        <w:t>附3：</w:t>
      </w:r>
    </w:p>
    <w:p/>
    <w:p>
      <w:pPr>
        <w:spacing w:line="360" w:lineRule="auto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继续妥善保管、使用公司相关财务资料承诺书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ind w:firstLine="555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2020-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12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-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25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，建湖县人民法院裁定受理了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的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破产清算案件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，并指定了管理人。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本人认识到：管理人接管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后，除管理人另有规定外，由本人保管相关材料，有利于维持公司事务的正常管理，有利于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工作的顺利进行。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本人承诺：（一）对管理人交由本人保管的所列清单上的材料妥善保管；在需要使用时，严格按照相关制度执行。（二）对于在</w:t>
      </w:r>
      <w:r>
        <w:rPr>
          <w:rFonts w:hint="eastAsia" w:ascii="宋体" w:hAnsi="宋体" w:cs="宋体"/>
          <w:b w:val="0"/>
          <w:i w:val="0"/>
          <w:strike w:val="0"/>
          <w:color w:val="auto"/>
          <w:sz w:val="24"/>
          <w:u w:val="none"/>
          <w:lang w:eastAsia="zh-CN"/>
        </w:rPr>
        <w:t>江苏翰禾机械制造有限公司破产清算</w:t>
      </w:r>
      <w:r>
        <w:rPr>
          <w:rFonts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期间，因本人未履行相应保管职责，致使相关材料毁损、灭失的，由本人和其他对相关材料负有保管义务的人员承担连带责任。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spacing w:line="360" w:lineRule="auto"/>
        <w:ind w:right="600" w:firstLine="4202" w:firstLineChars="175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承诺人：</w:t>
      </w:r>
    </w:p>
    <w:p>
      <w:pPr>
        <w:spacing w:line="360" w:lineRule="auto"/>
        <w:ind w:right="600" w:firstLine="4197" w:firstLineChars="1749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联系电话：</w:t>
      </w:r>
    </w:p>
    <w:p>
      <w:pPr>
        <w:spacing w:line="360" w:lineRule="auto"/>
        <w:ind w:right="600" w:firstLine="480" w:firstLineChars="200"/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时间：</w:t>
      </w:r>
    </w:p>
    <w:p>
      <w:pPr>
        <w:spacing w:line="360" w:lineRule="auto"/>
        <w:rPr>
          <w:rFonts w:ascii="宋体" w:hAnsi="宋体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1</w:t>
    </w:r>
    <w:r>
      <w:fldChar w:fldCharType="end"/>
    </w:r>
  </w:p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A11"/>
    <w:rsid w:val="000053DA"/>
    <w:rsid w:val="00007F2F"/>
    <w:rsid w:val="00016FF4"/>
    <w:rsid w:val="0002178C"/>
    <w:rsid w:val="00032178"/>
    <w:rsid w:val="00052A97"/>
    <w:rsid w:val="00055EB2"/>
    <w:rsid w:val="000610FE"/>
    <w:rsid w:val="0006659B"/>
    <w:rsid w:val="000726E6"/>
    <w:rsid w:val="0007328F"/>
    <w:rsid w:val="00075FAF"/>
    <w:rsid w:val="00076F27"/>
    <w:rsid w:val="00085D1F"/>
    <w:rsid w:val="00090FD0"/>
    <w:rsid w:val="00091F88"/>
    <w:rsid w:val="000A37CE"/>
    <w:rsid w:val="000B3EF8"/>
    <w:rsid w:val="000B677E"/>
    <w:rsid w:val="000C78E9"/>
    <w:rsid w:val="000E0785"/>
    <w:rsid w:val="000E419C"/>
    <w:rsid w:val="000F0FA6"/>
    <w:rsid w:val="000F1010"/>
    <w:rsid w:val="000F1ACF"/>
    <w:rsid w:val="00101DE8"/>
    <w:rsid w:val="00107E81"/>
    <w:rsid w:val="0011136E"/>
    <w:rsid w:val="0011207C"/>
    <w:rsid w:val="00131D29"/>
    <w:rsid w:val="0013607F"/>
    <w:rsid w:val="00136FDA"/>
    <w:rsid w:val="0013725F"/>
    <w:rsid w:val="00144928"/>
    <w:rsid w:val="00145F6E"/>
    <w:rsid w:val="00146D8F"/>
    <w:rsid w:val="00151AE7"/>
    <w:rsid w:val="00155065"/>
    <w:rsid w:val="0015544C"/>
    <w:rsid w:val="00162C7B"/>
    <w:rsid w:val="00170F11"/>
    <w:rsid w:val="0017532D"/>
    <w:rsid w:val="00185EC8"/>
    <w:rsid w:val="00194E0A"/>
    <w:rsid w:val="00195208"/>
    <w:rsid w:val="001A00DB"/>
    <w:rsid w:val="001A1E83"/>
    <w:rsid w:val="001A1FA5"/>
    <w:rsid w:val="001A4420"/>
    <w:rsid w:val="001B088C"/>
    <w:rsid w:val="001B588F"/>
    <w:rsid w:val="001B5A11"/>
    <w:rsid w:val="001C0A6C"/>
    <w:rsid w:val="001C26C2"/>
    <w:rsid w:val="001D06E6"/>
    <w:rsid w:val="001D5EA0"/>
    <w:rsid w:val="001D6C1B"/>
    <w:rsid w:val="001E10AF"/>
    <w:rsid w:val="001E1406"/>
    <w:rsid w:val="001F42BC"/>
    <w:rsid w:val="001F7B97"/>
    <w:rsid w:val="00206050"/>
    <w:rsid w:val="002109C8"/>
    <w:rsid w:val="00215565"/>
    <w:rsid w:val="0021689A"/>
    <w:rsid w:val="00217AE8"/>
    <w:rsid w:val="00236FD7"/>
    <w:rsid w:val="00246503"/>
    <w:rsid w:val="002535D9"/>
    <w:rsid w:val="00253A47"/>
    <w:rsid w:val="00256CF2"/>
    <w:rsid w:val="002623AE"/>
    <w:rsid w:val="0026476B"/>
    <w:rsid w:val="002669ED"/>
    <w:rsid w:val="002719C2"/>
    <w:rsid w:val="00272A0E"/>
    <w:rsid w:val="00273805"/>
    <w:rsid w:val="00276BA8"/>
    <w:rsid w:val="002770CC"/>
    <w:rsid w:val="00280D41"/>
    <w:rsid w:val="00281541"/>
    <w:rsid w:val="00287267"/>
    <w:rsid w:val="00287D03"/>
    <w:rsid w:val="00291AFC"/>
    <w:rsid w:val="002932ED"/>
    <w:rsid w:val="0029642D"/>
    <w:rsid w:val="002A7D2A"/>
    <w:rsid w:val="002C404B"/>
    <w:rsid w:val="002D26F7"/>
    <w:rsid w:val="002D35D3"/>
    <w:rsid w:val="002D3DE9"/>
    <w:rsid w:val="002D68B8"/>
    <w:rsid w:val="002E7D21"/>
    <w:rsid w:val="002E7EC7"/>
    <w:rsid w:val="002F0EC4"/>
    <w:rsid w:val="003014DF"/>
    <w:rsid w:val="00301598"/>
    <w:rsid w:val="0030161F"/>
    <w:rsid w:val="0031362D"/>
    <w:rsid w:val="00314382"/>
    <w:rsid w:val="003155E5"/>
    <w:rsid w:val="00327C02"/>
    <w:rsid w:val="00331E23"/>
    <w:rsid w:val="00336F8F"/>
    <w:rsid w:val="003427CD"/>
    <w:rsid w:val="003728E6"/>
    <w:rsid w:val="00376D42"/>
    <w:rsid w:val="00380631"/>
    <w:rsid w:val="00381125"/>
    <w:rsid w:val="00385E23"/>
    <w:rsid w:val="00391B79"/>
    <w:rsid w:val="00397AB4"/>
    <w:rsid w:val="003A1A2F"/>
    <w:rsid w:val="003A221D"/>
    <w:rsid w:val="003A4344"/>
    <w:rsid w:val="003B1DCE"/>
    <w:rsid w:val="003B32FE"/>
    <w:rsid w:val="003B3A10"/>
    <w:rsid w:val="003B3FBC"/>
    <w:rsid w:val="003B74D8"/>
    <w:rsid w:val="003C0A41"/>
    <w:rsid w:val="003C0C1A"/>
    <w:rsid w:val="003C5788"/>
    <w:rsid w:val="003D27B8"/>
    <w:rsid w:val="003D2E2B"/>
    <w:rsid w:val="003E1534"/>
    <w:rsid w:val="003E3DD8"/>
    <w:rsid w:val="003E5A38"/>
    <w:rsid w:val="00405F02"/>
    <w:rsid w:val="004101D9"/>
    <w:rsid w:val="004136E2"/>
    <w:rsid w:val="00416DD0"/>
    <w:rsid w:val="00421C20"/>
    <w:rsid w:val="00422B68"/>
    <w:rsid w:val="004249EC"/>
    <w:rsid w:val="00425F5C"/>
    <w:rsid w:val="0043066B"/>
    <w:rsid w:val="0043427F"/>
    <w:rsid w:val="00452C80"/>
    <w:rsid w:val="004547C2"/>
    <w:rsid w:val="00455479"/>
    <w:rsid w:val="00463CBF"/>
    <w:rsid w:val="00466C4D"/>
    <w:rsid w:val="00466D32"/>
    <w:rsid w:val="004677DA"/>
    <w:rsid w:val="00470982"/>
    <w:rsid w:val="0047778B"/>
    <w:rsid w:val="004817B3"/>
    <w:rsid w:val="00484B04"/>
    <w:rsid w:val="00494DD1"/>
    <w:rsid w:val="004A3E72"/>
    <w:rsid w:val="004B1611"/>
    <w:rsid w:val="004B61DF"/>
    <w:rsid w:val="004B668B"/>
    <w:rsid w:val="004B66A9"/>
    <w:rsid w:val="004C639F"/>
    <w:rsid w:val="004C7C55"/>
    <w:rsid w:val="004D08C6"/>
    <w:rsid w:val="004D10B0"/>
    <w:rsid w:val="004D2832"/>
    <w:rsid w:val="004D2B56"/>
    <w:rsid w:val="004D407A"/>
    <w:rsid w:val="004D52F6"/>
    <w:rsid w:val="004D7D1D"/>
    <w:rsid w:val="004E1AD7"/>
    <w:rsid w:val="004E3AD9"/>
    <w:rsid w:val="004E5206"/>
    <w:rsid w:val="004F065E"/>
    <w:rsid w:val="004F1BB5"/>
    <w:rsid w:val="00500139"/>
    <w:rsid w:val="00507D96"/>
    <w:rsid w:val="00513918"/>
    <w:rsid w:val="00513A15"/>
    <w:rsid w:val="0052166D"/>
    <w:rsid w:val="00521D14"/>
    <w:rsid w:val="0052789B"/>
    <w:rsid w:val="00530221"/>
    <w:rsid w:val="0053118B"/>
    <w:rsid w:val="00533A2A"/>
    <w:rsid w:val="005377F6"/>
    <w:rsid w:val="00547B5D"/>
    <w:rsid w:val="00554CD6"/>
    <w:rsid w:val="0055604A"/>
    <w:rsid w:val="0056265F"/>
    <w:rsid w:val="005674AD"/>
    <w:rsid w:val="005858C4"/>
    <w:rsid w:val="005870EF"/>
    <w:rsid w:val="00592F10"/>
    <w:rsid w:val="0059383A"/>
    <w:rsid w:val="00595555"/>
    <w:rsid w:val="005A11F3"/>
    <w:rsid w:val="005B06BF"/>
    <w:rsid w:val="005B15D5"/>
    <w:rsid w:val="005B23E8"/>
    <w:rsid w:val="005B561F"/>
    <w:rsid w:val="005B65A8"/>
    <w:rsid w:val="005C444A"/>
    <w:rsid w:val="005C72BD"/>
    <w:rsid w:val="005D64CA"/>
    <w:rsid w:val="005E16F1"/>
    <w:rsid w:val="005F3534"/>
    <w:rsid w:val="00604C84"/>
    <w:rsid w:val="006217C4"/>
    <w:rsid w:val="00632B6B"/>
    <w:rsid w:val="00645E8B"/>
    <w:rsid w:val="00650A0D"/>
    <w:rsid w:val="00652E72"/>
    <w:rsid w:val="00664BD7"/>
    <w:rsid w:val="00667D25"/>
    <w:rsid w:val="00671672"/>
    <w:rsid w:val="00671E23"/>
    <w:rsid w:val="006862B9"/>
    <w:rsid w:val="006906DA"/>
    <w:rsid w:val="006917E7"/>
    <w:rsid w:val="00694C8E"/>
    <w:rsid w:val="00695FEB"/>
    <w:rsid w:val="00696929"/>
    <w:rsid w:val="006A3608"/>
    <w:rsid w:val="006B2C43"/>
    <w:rsid w:val="006B4042"/>
    <w:rsid w:val="006B667F"/>
    <w:rsid w:val="006C1084"/>
    <w:rsid w:val="006C169F"/>
    <w:rsid w:val="006C2F74"/>
    <w:rsid w:val="006C4D28"/>
    <w:rsid w:val="006E2CDC"/>
    <w:rsid w:val="006E5540"/>
    <w:rsid w:val="006E5A87"/>
    <w:rsid w:val="006F0DE4"/>
    <w:rsid w:val="006F7F59"/>
    <w:rsid w:val="0070290E"/>
    <w:rsid w:val="007076E1"/>
    <w:rsid w:val="00710517"/>
    <w:rsid w:val="0071505E"/>
    <w:rsid w:val="007253D8"/>
    <w:rsid w:val="007269FD"/>
    <w:rsid w:val="00733AEF"/>
    <w:rsid w:val="0073400E"/>
    <w:rsid w:val="00734557"/>
    <w:rsid w:val="00734FF9"/>
    <w:rsid w:val="00736BF6"/>
    <w:rsid w:val="007415AD"/>
    <w:rsid w:val="00751D40"/>
    <w:rsid w:val="0075550E"/>
    <w:rsid w:val="00757545"/>
    <w:rsid w:val="00757AD9"/>
    <w:rsid w:val="00770459"/>
    <w:rsid w:val="00772026"/>
    <w:rsid w:val="007725C7"/>
    <w:rsid w:val="007759D4"/>
    <w:rsid w:val="00792270"/>
    <w:rsid w:val="00794279"/>
    <w:rsid w:val="00795868"/>
    <w:rsid w:val="007B083D"/>
    <w:rsid w:val="007B1CD9"/>
    <w:rsid w:val="007B5771"/>
    <w:rsid w:val="007B62C9"/>
    <w:rsid w:val="007C4513"/>
    <w:rsid w:val="007D00BC"/>
    <w:rsid w:val="007D07BF"/>
    <w:rsid w:val="007E46CE"/>
    <w:rsid w:val="007E4AF8"/>
    <w:rsid w:val="007F2808"/>
    <w:rsid w:val="007F3E50"/>
    <w:rsid w:val="008148D6"/>
    <w:rsid w:val="00825396"/>
    <w:rsid w:val="008265E0"/>
    <w:rsid w:val="008332DF"/>
    <w:rsid w:val="00841687"/>
    <w:rsid w:val="0084554F"/>
    <w:rsid w:val="00846065"/>
    <w:rsid w:val="0085200F"/>
    <w:rsid w:val="008567F6"/>
    <w:rsid w:val="00864422"/>
    <w:rsid w:val="008734FC"/>
    <w:rsid w:val="0087501B"/>
    <w:rsid w:val="00876132"/>
    <w:rsid w:val="00886B30"/>
    <w:rsid w:val="00892408"/>
    <w:rsid w:val="00894E3E"/>
    <w:rsid w:val="008A3136"/>
    <w:rsid w:val="008A572F"/>
    <w:rsid w:val="008B0B26"/>
    <w:rsid w:val="008B0D63"/>
    <w:rsid w:val="008B270B"/>
    <w:rsid w:val="008B4126"/>
    <w:rsid w:val="008B503A"/>
    <w:rsid w:val="008B66C8"/>
    <w:rsid w:val="008C4B49"/>
    <w:rsid w:val="008C533A"/>
    <w:rsid w:val="008D4248"/>
    <w:rsid w:val="008E7B1E"/>
    <w:rsid w:val="008F0C00"/>
    <w:rsid w:val="00902E24"/>
    <w:rsid w:val="00906420"/>
    <w:rsid w:val="00907AED"/>
    <w:rsid w:val="00914708"/>
    <w:rsid w:val="0093597C"/>
    <w:rsid w:val="00937521"/>
    <w:rsid w:val="00954F6B"/>
    <w:rsid w:val="0095533C"/>
    <w:rsid w:val="00955C4D"/>
    <w:rsid w:val="00963D49"/>
    <w:rsid w:val="00964B56"/>
    <w:rsid w:val="00965AA5"/>
    <w:rsid w:val="00971CCE"/>
    <w:rsid w:val="00980599"/>
    <w:rsid w:val="00981865"/>
    <w:rsid w:val="0098260A"/>
    <w:rsid w:val="00983204"/>
    <w:rsid w:val="009856D7"/>
    <w:rsid w:val="009870F2"/>
    <w:rsid w:val="00991BAE"/>
    <w:rsid w:val="00992E91"/>
    <w:rsid w:val="009A33CE"/>
    <w:rsid w:val="009A691D"/>
    <w:rsid w:val="009B02B8"/>
    <w:rsid w:val="009C2F0F"/>
    <w:rsid w:val="009C4EA9"/>
    <w:rsid w:val="009C5DA8"/>
    <w:rsid w:val="009D176E"/>
    <w:rsid w:val="009D39BE"/>
    <w:rsid w:val="009D75BA"/>
    <w:rsid w:val="009E44B1"/>
    <w:rsid w:val="009E77BC"/>
    <w:rsid w:val="009F4230"/>
    <w:rsid w:val="00A06F21"/>
    <w:rsid w:val="00A075B9"/>
    <w:rsid w:val="00A10B3D"/>
    <w:rsid w:val="00A130A4"/>
    <w:rsid w:val="00A13E7B"/>
    <w:rsid w:val="00A16568"/>
    <w:rsid w:val="00A169F9"/>
    <w:rsid w:val="00A16FC2"/>
    <w:rsid w:val="00A17CF6"/>
    <w:rsid w:val="00A20C75"/>
    <w:rsid w:val="00A23082"/>
    <w:rsid w:val="00A23DD9"/>
    <w:rsid w:val="00A24630"/>
    <w:rsid w:val="00A24D6B"/>
    <w:rsid w:val="00A35998"/>
    <w:rsid w:val="00A4082A"/>
    <w:rsid w:val="00A414CA"/>
    <w:rsid w:val="00A41F96"/>
    <w:rsid w:val="00A422C0"/>
    <w:rsid w:val="00A44AE4"/>
    <w:rsid w:val="00A4700D"/>
    <w:rsid w:val="00A50F1B"/>
    <w:rsid w:val="00A52888"/>
    <w:rsid w:val="00A567D4"/>
    <w:rsid w:val="00A6265B"/>
    <w:rsid w:val="00A64BBD"/>
    <w:rsid w:val="00A717C4"/>
    <w:rsid w:val="00A76A3F"/>
    <w:rsid w:val="00A86BB0"/>
    <w:rsid w:val="00A90A5C"/>
    <w:rsid w:val="00A95503"/>
    <w:rsid w:val="00AA1967"/>
    <w:rsid w:val="00AA301A"/>
    <w:rsid w:val="00AB25A4"/>
    <w:rsid w:val="00AB46F8"/>
    <w:rsid w:val="00AB4B66"/>
    <w:rsid w:val="00AB79E7"/>
    <w:rsid w:val="00AC2536"/>
    <w:rsid w:val="00AC67AD"/>
    <w:rsid w:val="00AD1342"/>
    <w:rsid w:val="00AD4C6E"/>
    <w:rsid w:val="00AD7E7C"/>
    <w:rsid w:val="00AE02FA"/>
    <w:rsid w:val="00AE2409"/>
    <w:rsid w:val="00AF02C9"/>
    <w:rsid w:val="00AF3B99"/>
    <w:rsid w:val="00AF4128"/>
    <w:rsid w:val="00AF784E"/>
    <w:rsid w:val="00B007D0"/>
    <w:rsid w:val="00B056A8"/>
    <w:rsid w:val="00B06F12"/>
    <w:rsid w:val="00B07D93"/>
    <w:rsid w:val="00B1155D"/>
    <w:rsid w:val="00B1573A"/>
    <w:rsid w:val="00B21DFF"/>
    <w:rsid w:val="00B2203E"/>
    <w:rsid w:val="00B2292C"/>
    <w:rsid w:val="00B27675"/>
    <w:rsid w:val="00B36A89"/>
    <w:rsid w:val="00B37A57"/>
    <w:rsid w:val="00B41C52"/>
    <w:rsid w:val="00B44A11"/>
    <w:rsid w:val="00B4607D"/>
    <w:rsid w:val="00B46343"/>
    <w:rsid w:val="00B46A19"/>
    <w:rsid w:val="00B471AF"/>
    <w:rsid w:val="00B47DB1"/>
    <w:rsid w:val="00B63F30"/>
    <w:rsid w:val="00B6486C"/>
    <w:rsid w:val="00B655C9"/>
    <w:rsid w:val="00B864B9"/>
    <w:rsid w:val="00B9072C"/>
    <w:rsid w:val="00B95B47"/>
    <w:rsid w:val="00B96412"/>
    <w:rsid w:val="00B97170"/>
    <w:rsid w:val="00BA0099"/>
    <w:rsid w:val="00BA03E6"/>
    <w:rsid w:val="00BC14EA"/>
    <w:rsid w:val="00BC1953"/>
    <w:rsid w:val="00BC2632"/>
    <w:rsid w:val="00BC3629"/>
    <w:rsid w:val="00BD5E80"/>
    <w:rsid w:val="00C020EB"/>
    <w:rsid w:val="00C13B38"/>
    <w:rsid w:val="00C2179D"/>
    <w:rsid w:val="00C2539D"/>
    <w:rsid w:val="00C27843"/>
    <w:rsid w:val="00C30DC8"/>
    <w:rsid w:val="00C33120"/>
    <w:rsid w:val="00C33733"/>
    <w:rsid w:val="00C50D46"/>
    <w:rsid w:val="00C7760A"/>
    <w:rsid w:val="00C77E10"/>
    <w:rsid w:val="00C82485"/>
    <w:rsid w:val="00C912B6"/>
    <w:rsid w:val="00C9772A"/>
    <w:rsid w:val="00CA0D87"/>
    <w:rsid w:val="00CB3800"/>
    <w:rsid w:val="00CB3ABC"/>
    <w:rsid w:val="00CB6D3A"/>
    <w:rsid w:val="00CB7602"/>
    <w:rsid w:val="00CB7A2F"/>
    <w:rsid w:val="00CC34A7"/>
    <w:rsid w:val="00CC647B"/>
    <w:rsid w:val="00CD6117"/>
    <w:rsid w:val="00CD6CA2"/>
    <w:rsid w:val="00CD6F21"/>
    <w:rsid w:val="00CE2B2C"/>
    <w:rsid w:val="00D04C23"/>
    <w:rsid w:val="00D07241"/>
    <w:rsid w:val="00D10281"/>
    <w:rsid w:val="00D203A2"/>
    <w:rsid w:val="00D27C86"/>
    <w:rsid w:val="00D3082B"/>
    <w:rsid w:val="00D36F43"/>
    <w:rsid w:val="00D40BCB"/>
    <w:rsid w:val="00D40CAD"/>
    <w:rsid w:val="00D41631"/>
    <w:rsid w:val="00D4457E"/>
    <w:rsid w:val="00D46712"/>
    <w:rsid w:val="00D53545"/>
    <w:rsid w:val="00D53813"/>
    <w:rsid w:val="00D542B0"/>
    <w:rsid w:val="00D55B30"/>
    <w:rsid w:val="00D56AC6"/>
    <w:rsid w:val="00D57F89"/>
    <w:rsid w:val="00D6286D"/>
    <w:rsid w:val="00D64725"/>
    <w:rsid w:val="00D65557"/>
    <w:rsid w:val="00D73179"/>
    <w:rsid w:val="00D73402"/>
    <w:rsid w:val="00D759F2"/>
    <w:rsid w:val="00D80188"/>
    <w:rsid w:val="00D900BC"/>
    <w:rsid w:val="00DA1CC3"/>
    <w:rsid w:val="00DA1DD8"/>
    <w:rsid w:val="00DA3360"/>
    <w:rsid w:val="00DA55D2"/>
    <w:rsid w:val="00DA5A70"/>
    <w:rsid w:val="00DB3CB3"/>
    <w:rsid w:val="00DB4323"/>
    <w:rsid w:val="00DB4640"/>
    <w:rsid w:val="00DB485E"/>
    <w:rsid w:val="00DB6203"/>
    <w:rsid w:val="00DB6839"/>
    <w:rsid w:val="00DD1C48"/>
    <w:rsid w:val="00DE2447"/>
    <w:rsid w:val="00DE31B2"/>
    <w:rsid w:val="00DF76B1"/>
    <w:rsid w:val="00E052B4"/>
    <w:rsid w:val="00E06C08"/>
    <w:rsid w:val="00E11CFF"/>
    <w:rsid w:val="00E2003D"/>
    <w:rsid w:val="00E22B55"/>
    <w:rsid w:val="00E23340"/>
    <w:rsid w:val="00E364FB"/>
    <w:rsid w:val="00E40FFD"/>
    <w:rsid w:val="00E74319"/>
    <w:rsid w:val="00E80B0C"/>
    <w:rsid w:val="00E876F2"/>
    <w:rsid w:val="00E96A99"/>
    <w:rsid w:val="00EB2374"/>
    <w:rsid w:val="00EB266A"/>
    <w:rsid w:val="00EB3173"/>
    <w:rsid w:val="00EB3A31"/>
    <w:rsid w:val="00EB7AD1"/>
    <w:rsid w:val="00EC7EE4"/>
    <w:rsid w:val="00ED0686"/>
    <w:rsid w:val="00ED0874"/>
    <w:rsid w:val="00ED3491"/>
    <w:rsid w:val="00ED7742"/>
    <w:rsid w:val="00ED7DC7"/>
    <w:rsid w:val="00EF11A0"/>
    <w:rsid w:val="00EF2733"/>
    <w:rsid w:val="00EF60EA"/>
    <w:rsid w:val="00F00016"/>
    <w:rsid w:val="00F005C6"/>
    <w:rsid w:val="00F0795E"/>
    <w:rsid w:val="00F101C8"/>
    <w:rsid w:val="00F12419"/>
    <w:rsid w:val="00F13068"/>
    <w:rsid w:val="00F2257C"/>
    <w:rsid w:val="00F312E7"/>
    <w:rsid w:val="00F31E5F"/>
    <w:rsid w:val="00F4589F"/>
    <w:rsid w:val="00F540D6"/>
    <w:rsid w:val="00F54520"/>
    <w:rsid w:val="00F55226"/>
    <w:rsid w:val="00F57E24"/>
    <w:rsid w:val="00F6066C"/>
    <w:rsid w:val="00F66C87"/>
    <w:rsid w:val="00F67D24"/>
    <w:rsid w:val="00F772E4"/>
    <w:rsid w:val="00F85DC0"/>
    <w:rsid w:val="00F874AE"/>
    <w:rsid w:val="00F91789"/>
    <w:rsid w:val="00F978D5"/>
    <w:rsid w:val="00FA56B4"/>
    <w:rsid w:val="00FB4DED"/>
    <w:rsid w:val="00FB6E2E"/>
    <w:rsid w:val="00FB7741"/>
    <w:rsid w:val="00FC0ECC"/>
    <w:rsid w:val="00FD0687"/>
    <w:rsid w:val="00FD08B3"/>
    <w:rsid w:val="00FD5753"/>
    <w:rsid w:val="00FE112F"/>
    <w:rsid w:val="00FE4907"/>
    <w:rsid w:val="00FE6612"/>
    <w:rsid w:val="00FF1052"/>
    <w:rsid w:val="00FF2E95"/>
    <w:rsid w:val="00FF6B42"/>
    <w:rsid w:val="00FF75D4"/>
    <w:rsid w:val="076869B9"/>
    <w:rsid w:val="08EA6A74"/>
    <w:rsid w:val="0A4172F2"/>
    <w:rsid w:val="195C7EC7"/>
    <w:rsid w:val="1B4C4764"/>
    <w:rsid w:val="1B976E8B"/>
    <w:rsid w:val="35D403BC"/>
    <w:rsid w:val="36697A8E"/>
    <w:rsid w:val="3CC72008"/>
    <w:rsid w:val="46CF033C"/>
    <w:rsid w:val="483E7D31"/>
    <w:rsid w:val="4DB35484"/>
    <w:rsid w:val="53015875"/>
    <w:rsid w:val="5E7A181E"/>
    <w:rsid w:val="6B675930"/>
    <w:rsid w:val="6F9D0345"/>
    <w:rsid w:val="79DF1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qFormat/>
    <w:uiPriority w:val="0"/>
    <w:pPr>
      <w:jc w:val="left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line="480" w:lineRule="exact"/>
      <w:ind w:firstLine="560" w:firstLineChars="200"/>
    </w:pPr>
    <w:rPr>
      <w:rFonts w:ascii="仿宋_GB2312" w:eastAsia="仿宋_GB2312"/>
      <w:bCs/>
      <w:sz w:val="28"/>
      <w:szCs w:val="28"/>
    </w:rPr>
  </w:style>
  <w:style w:type="paragraph" w:styleId="8">
    <w:name w:val="annotation subject"/>
    <w:basedOn w:val="2"/>
    <w:next w:val="2"/>
    <w:link w:val="16"/>
    <w:qFormat/>
    <w:uiPriority w:val="0"/>
    <w:rPr>
      <w:b/>
      <w:bCs/>
    </w:rPr>
  </w:style>
  <w:style w:type="character" w:styleId="11">
    <w:name w:val="page number"/>
    <w:basedOn w:val="10"/>
    <w:qFormat/>
    <w:uiPriority w:val="0"/>
  </w:style>
  <w:style w:type="character" w:styleId="12">
    <w:name w:val="annotation reference"/>
    <w:qFormat/>
    <w:uiPriority w:val="0"/>
    <w:rPr>
      <w:sz w:val="21"/>
      <w:szCs w:val="21"/>
    </w:rPr>
  </w:style>
  <w:style w:type="character" w:customStyle="1" w:styleId="13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4">
    <w:name w:val="批注文字 Char"/>
    <w:link w:val="2"/>
    <w:uiPriority w:val="0"/>
    <w:rPr>
      <w:kern w:val="2"/>
      <w:sz w:val="21"/>
      <w:szCs w:val="24"/>
    </w:rPr>
  </w:style>
  <w:style w:type="character" w:customStyle="1" w:styleId="15">
    <w:name w:val="dash6b63_6587__char1"/>
    <w:uiPriority w:val="0"/>
    <w:rPr>
      <w:rFonts w:hint="default" w:ascii="Times New Roman" w:hAnsi="Times New Roman" w:cs="Times New Roman"/>
      <w:sz w:val="20"/>
      <w:szCs w:val="20"/>
      <w:u w:val="none"/>
    </w:rPr>
  </w:style>
  <w:style w:type="character" w:customStyle="1" w:styleId="16">
    <w:name w:val="批注主题 Char"/>
    <w:link w:val="8"/>
    <w:qFormat/>
    <w:uiPriority w:val="0"/>
    <w:rPr>
      <w:b/>
      <w:bCs/>
      <w:kern w:val="2"/>
      <w:sz w:val="21"/>
      <w:szCs w:val="24"/>
    </w:rPr>
  </w:style>
  <w:style w:type="paragraph" w:customStyle="1" w:styleId="17">
    <w:name w:val="Char1 Char Char Char Char Char Char"/>
    <w:basedOn w:val="1"/>
    <w:qFormat/>
    <w:uiPriority w:val="0"/>
  </w:style>
  <w:style w:type="paragraph" w:customStyle="1" w:styleId="1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518</Words>
  <Characters>2955</Characters>
  <Lines>24</Lines>
  <Paragraphs>6</Paragraphs>
  <TotalTime>6</TotalTime>
  <ScaleCrop>false</ScaleCrop>
  <LinksUpToDate>false</LinksUpToDate>
  <CharactersWithSpaces>3467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2016-06-09T08:50:00Z</dcterms:created>
  <dc:creator>caoyeshan</dc:creator>
  <cp:keywords>鞍一工</cp:keywords>
  <cp:lastModifiedBy>carry</cp:lastModifiedBy>
  <cp:lastPrinted>2016-05-24T01:47:00Z</cp:lastPrinted>
  <dcterms:modified xsi:type="dcterms:W3CDTF">2021-01-26T04:58:21Z</dcterms:modified>
  <dc:title>鞍一工管理人接管工作方案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