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40" w:lineRule="exact"/>
        <w:jc w:val="center"/>
        <w:rPr>
          <w:rFonts w:hint="eastAsia" w:ascii="方正小标宋简体" w:hAnsi="方正小标宋简体" w:eastAsia="方正小标宋简体" w:cs="方正小标宋简体"/>
          <w:bCs/>
          <w:color w:val="auto"/>
          <w:sz w:val="44"/>
          <w:szCs w:val="44"/>
        </w:rPr>
      </w:pPr>
      <w:r>
        <w:rPr>
          <w:rFonts w:hint="eastAsia" w:ascii="方正小标宋简体" w:hAnsi="方正小标宋简体" w:eastAsia="方正小标宋简体" w:cs="方正小标宋简体"/>
          <w:bCs/>
          <w:color w:val="auto"/>
          <w:sz w:val="44"/>
          <w:szCs w:val="44"/>
        </w:rPr>
        <w:t>丰城同创实业有限公司重整投资协议书</w:t>
      </w:r>
    </w:p>
    <w:p>
      <w:pPr>
        <w:pStyle w:val="2"/>
        <w:keepNext w:val="0"/>
        <w:keepLines w:val="0"/>
        <w:pageBreakBefore w:val="0"/>
        <w:kinsoku/>
        <w:wordWrap/>
        <w:overflowPunct/>
        <w:topLinePunct w:val="0"/>
        <w:autoSpaceDE/>
        <w:autoSpaceDN/>
        <w:bidi w:val="0"/>
        <w:adjustRightInd/>
        <w:snapToGrid/>
        <w:spacing w:line="540" w:lineRule="exact"/>
        <w:jc w:val="center"/>
        <w:rPr>
          <w:rFonts w:hint="eastAsia" w:eastAsia="方正小标宋简体"/>
          <w:color w:val="auto"/>
          <w:sz w:val="36"/>
          <w:szCs w:val="36"/>
          <w:lang w:eastAsia="zh-CN"/>
        </w:rPr>
      </w:pPr>
      <w:r>
        <w:rPr>
          <w:rFonts w:hint="eastAsia" w:ascii="方正小标宋简体" w:hAnsi="方正小标宋简体" w:eastAsia="方正小标宋简体" w:cs="方正小标宋简体"/>
          <w:bCs/>
          <w:color w:val="auto"/>
          <w:sz w:val="36"/>
          <w:szCs w:val="36"/>
          <w:lang w:eastAsia="zh-CN"/>
        </w:rPr>
        <w:t>（</w:t>
      </w:r>
      <w:r>
        <w:rPr>
          <w:rFonts w:hint="eastAsia" w:ascii="方正小标宋简体" w:hAnsi="方正小标宋简体" w:eastAsia="方正小标宋简体" w:cs="方正小标宋简体"/>
          <w:bCs/>
          <w:color w:val="auto"/>
          <w:sz w:val="36"/>
          <w:szCs w:val="36"/>
          <w:lang w:val="en-US" w:eastAsia="zh-CN"/>
        </w:rPr>
        <w:t>样本</w:t>
      </w:r>
      <w:r>
        <w:rPr>
          <w:rFonts w:hint="eastAsia" w:ascii="方正小标宋简体" w:hAnsi="方正小标宋简体" w:eastAsia="方正小标宋简体" w:cs="方正小标宋简体"/>
          <w:bCs/>
          <w:color w:val="auto"/>
          <w:sz w:val="36"/>
          <w:szCs w:val="36"/>
          <w:lang w:eastAsia="zh-CN"/>
        </w:rPr>
        <w:t>）</w:t>
      </w:r>
    </w:p>
    <w:p>
      <w:pPr>
        <w:keepNext w:val="0"/>
        <w:keepLines w:val="0"/>
        <w:pageBreakBefore w:val="0"/>
        <w:kinsoku/>
        <w:wordWrap/>
        <w:overflowPunct/>
        <w:topLinePunct w:val="0"/>
        <w:autoSpaceDE/>
        <w:autoSpaceDN/>
        <w:bidi w:val="0"/>
        <w:adjustRightInd/>
        <w:snapToGrid/>
        <w:spacing w:line="540" w:lineRule="exact"/>
        <w:ind w:firstLine="640" w:firstLineChars="200"/>
        <w:jc w:val="center"/>
        <w:rPr>
          <w:rFonts w:ascii="仿宋" w:hAnsi="仿宋" w:eastAsia="仿宋" w:cs="仿宋"/>
          <w:color w:val="auto"/>
          <w:sz w:val="32"/>
          <w:szCs w:val="32"/>
        </w:rPr>
      </w:pPr>
    </w:p>
    <w:p>
      <w:pPr>
        <w:keepNext w:val="0"/>
        <w:keepLines w:val="0"/>
        <w:pageBreakBefore w:val="0"/>
        <w:kinsoku/>
        <w:wordWrap/>
        <w:overflowPunct/>
        <w:topLinePunct w:val="0"/>
        <w:autoSpaceDE/>
        <w:autoSpaceDN/>
        <w:bidi w:val="0"/>
        <w:adjustRightInd/>
        <w:snapToGrid/>
        <w:spacing w:line="54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甲方：丰城同创实业有限公司破产管理人（以下简称“甲方”）</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乙方：                          公司（以下简称“乙方”）</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鉴于：</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1.丰城同创实业有限公司（以下简称“同创公司”）于2019年8月1日经丰城市人民法院（以下简称“丰城法院”）裁定重整。</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val="en-US" w:eastAsia="zh-CN"/>
        </w:rPr>
        <w:t>甲</w:t>
      </w:r>
      <w:r>
        <w:rPr>
          <w:rFonts w:hint="eastAsia" w:ascii="仿宋" w:hAnsi="仿宋" w:eastAsia="仿宋" w:cs="仿宋"/>
          <w:color w:val="auto"/>
          <w:sz w:val="32"/>
          <w:szCs w:val="32"/>
        </w:rPr>
        <w:t>方经丰城法院指定为同创公司管理人，依法履行管理人的法定职责。</w:t>
      </w:r>
    </w:p>
    <w:p>
      <w:pPr>
        <w:keepNext w:val="0"/>
        <w:keepLines w:val="0"/>
        <w:pageBreakBefore w:val="0"/>
        <w:kinsoku/>
        <w:wordWrap/>
        <w:overflowPunct/>
        <w:topLinePunct w:val="0"/>
        <w:autoSpaceDE/>
        <w:autoSpaceDN/>
        <w:bidi w:val="0"/>
        <w:adjustRightInd/>
        <w:snapToGrid/>
        <w:spacing w:line="54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3.甲方经报丰城市人民法院同意，于   年   月   日公开发布《丰城同创实业有限公司重整投资人招募公告》（以下简称“招募公告”），并将《丰城同创实业有限公司重整投资人评选方案》（以下简称“评选方案”）及《丰城同创实业有限公司重整投资协议书》</w:t>
      </w:r>
      <w:r>
        <w:rPr>
          <w:rFonts w:hint="eastAsia" w:ascii="仿宋" w:hAnsi="仿宋" w:eastAsia="仿宋" w:cs="仿宋"/>
          <w:color w:val="auto"/>
          <w:sz w:val="32"/>
          <w:szCs w:val="32"/>
          <w:lang w:val="en-US" w:eastAsia="zh-CN"/>
        </w:rPr>
        <w:t>样本</w:t>
      </w:r>
      <w:r>
        <w:rPr>
          <w:rFonts w:hint="eastAsia" w:ascii="仿宋" w:hAnsi="仿宋" w:eastAsia="仿宋" w:cs="仿宋"/>
          <w:color w:val="auto"/>
          <w:sz w:val="32"/>
          <w:szCs w:val="32"/>
        </w:rPr>
        <w:t>作为“招募公告”的附件同时发布。</w:t>
      </w:r>
    </w:p>
    <w:p>
      <w:pPr>
        <w:keepNext w:val="0"/>
        <w:keepLines w:val="0"/>
        <w:pageBreakBefore w:val="0"/>
        <w:kinsoku/>
        <w:wordWrap/>
        <w:overflowPunct/>
        <w:topLinePunct w:val="0"/>
        <w:autoSpaceDE/>
        <w:autoSpaceDN/>
        <w:bidi w:val="0"/>
        <w:adjustRightInd/>
        <w:snapToGrid/>
        <w:spacing w:line="54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4.乙方按照“招募公告”的要求提交了《重整投资方案》，经评审委员会评选，乙方排序第一，并作为意向重整投资人和甲方进行洽谈。</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甲乙双方经平等友好协商，达成本协议，以资共同信守。</w:t>
      </w:r>
    </w:p>
    <w:p>
      <w:pPr>
        <w:keepNext w:val="0"/>
        <w:keepLines w:val="0"/>
        <w:pageBreakBefore w:val="0"/>
        <w:numPr>
          <w:ilvl w:val="0"/>
          <w:numId w:val="1"/>
        </w:numPr>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乙方支付重整投资对价</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亿元，对应的权益为同创公司在招募公告中载明的资产，不包含对外应收</w:t>
      </w:r>
      <w:r>
        <w:rPr>
          <w:rFonts w:hint="eastAsia" w:ascii="仿宋" w:hAnsi="仿宋" w:eastAsia="仿宋" w:cs="仿宋"/>
          <w:color w:val="auto"/>
          <w:sz w:val="32"/>
          <w:szCs w:val="32"/>
          <w:lang w:val="en-US" w:eastAsia="zh-CN"/>
        </w:rPr>
        <w:t>账</w:t>
      </w:r>
      <w:r>
        <w:rPr>
          <w:rFonts w:hint="eastAsia" w:ascii="仿宋" w:hAnsi="仿宋" w:eastAsia="仿宋" w:cs="仿宋"/>
          <w:color w:val="auto"/>
          <w:sz w:val="32"/>
          <w:szCs w:val="32"/>
        </w:rPr>
        <w:t>款。</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重整投资对价用途：清偿有财产担保债权、工程款优先债权、税款优先债权、劳动债权、破产费用、共益债务、普通债权、预计债权、继续履行债务人和业主签订的返利合同等。</w:t>
      </w:r>
    </w:p>
    <w:p>
      <w:pPr>
        <w:keepNext w:val="0"/>
        <w:keepLines w:val="0"/>
        <w:pageBreakBefore w:val="0"/>
        <w:numPr>
          <w:ilvl w:val="0"/>
          <w:numId w:val="1"/>
        </w:numPr>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因同创公司资不抵债，拟将同创公司的出资人权益调整为零，并以零元对价让渡股权。</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 xml:space="preserve">法院裁定批准重整计划后3个月内，甲方协调将同创公司的股权让渡到乙方名下。 </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三、乙方在签订本协议后四日内向甲方指定账户缴纳8000万履约保证金，同时缴纳     亿元的偿债资金共计    亿元。甲方账户信息如下：</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u w:val="single"/>
        </w:rPr>
      </w:pPr>
      <w:r>
        <w:rPr>
          <w:rFonts w:hint="eastAsia" w:ascii="仿宋" w:hAnsi="仿宋" w:eastAsia="仿宋" w:cs="仿宋"/>
          <w:color w:val="auto"/>
          <w:sz w:val="32"/>
          <w:szCs w:val="32"/>
          <w:u w:val="single"/>
        </w:rPr>
        <w:t>账号：1508 2201 3900 2782 280</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u w:val="single"/>
        </w:rPr>
      </w:pPr>
      <w:r>
        <w:rPr>
          <w:rFonts w:hint="eastAsia" w:ascii="仿宋" w:hAnsi="仿宋" w:eastAsia="仿宋" w:cs="仿宋"/>
          <w:color w:val="auto"/>
          <w:sz w:val="32"/>
          <w:szCs w:val="32"/>
          <w:u w:val="single"/>
        </w:rPr>
        <w:t>账户名：丰城同创实业有限公司破产管理人</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u w:val="single"/>
        </w:rPr>
      </w:pPr>
      <w:r>
        <w:rPr>
          <w:rFonts w:hint="eastAsia" w:ascii="仿宋" w:hAnsi="仿宋" w:eastAsia="仿宋" w:cs="仿宋"/>
          <w:color w:val="auto"/>
          <w:sz w:val="32"/>
          <w:szCs w:val="32"/>
          <w:u w:val="single"/>
        </w:rPr>
        <w:t>开户行：中国工商银行股份有限公司丰城新城支行</w:t>
      </w:r>
    </w:p>
    <w:p>
      <w:pPr>
        <w:pStyle w:val="2"/>
        <w:keepNext w:val="0"/>
        <w:keepLines w:val="0"/>
        <w:pageBreakBefore w:val="0"/>
        <w:kinsoku/>
        <w:wordWrap/>
        <w:overflowPunct/>
        <w:topLinePunct w:val="0"/>
        <w:autoSpaceDE/>
        <w:autoSpaceDN/>
        <w:bidi w:val="0"/>
        <w:adjustRightInd/>
        <w:snapToGrid/>
        <w:spacing w:line="540" w:lineRule="exact"/>
        <w:ind w:left="420"/>
        <w:rPr>
          <w:rFonts w:ascii="仿宋" w:hAnsi="仿宋" w:eastAsia="仿宋" w:cs="仿宋"/>
          <w:color w:val="auto"/>
          <w:sz w:val="32"/>
          <w:szCs w:val="32"/>
        </w:rPr>
      </w:pPr>
      <w:r>
        <w:rPr>
          <w:rFonts w:hint="eastAsia" w:ascii="仿宋" w:hAnsi="仿宋" w:eastAsia="仿宋" w:cs="仿宋"/>
          <w:color w:val="auto"/>
          <w:sz w:val="32"/>
          <w:szCs w:val="32"/>
        </w:rPr>
        <w:t>四、偿债资金支付期限和方式</w:t>
      </w:r>
      <w:bookmarkStart w:id="0" w:name="_Toc8286"/>
    </w:p>
    <w:p>
      <w:pPr>
        <w:pStyle w:val="2"/>
        <w:keepNext w:val="0"/>
        <w:keepLines w:val="0"/>
        <w:pageBreakBefore w:val="0"/>
        <w:kinsoku/>
        <w:wordWrap/>
        <w:overflowPunct/>
        <w:topLinePunct w:val="0"/>
        <w:autoSpaceDE/>
        <w:autoSpaceDN/>
        <w:bidi w:val="0"/>
        <w:adjustRightInd/>
        <w:snapToGrid/>
        <w:spacing w:line="540" w:lineRule="exact"/>
        <w:ind w:left="420"/>
        <w:rPr>
          <w:rFonts w:ascii="仿宋" w:hAnsi="仿宋" w:eastAsia="仿宋" w:cs="仿宋"/>
          <w:color w:val="auto"/>
          <w:sz w:val="32"/>
          <w:szCs w:val="32"/>
        </w:rPr>
      </w:pPr>
      <w:r>
        <w:rPr>
          <w:rFonts w:hint="eastAsia" w:ascii="仿宋" w:hAnsi="仿宋" w:eastAsia="仿宋" w:cs="仿宋"/>
          <w:color w:val="auto"/>
          <w:sz w:val="32"/>
          <w:szCs w:val="32"/>
        </w:rPr>
        <w:t>（一）税款债权、共益债务、破产费用、劳动债权</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乙方同意自法院裁定批准重整计划后由甲方直接从已支付的偿债资金中列支。</w:t>
      </w:r>
    </w:p>
    <w:bookmarkEnd w:id="0"/>
    <w:p>
      <w:pPr>
        <w:pStyle w:val="10"/>
        <w:keepNext w:val="0"/>
        <w:keepLines w:val="0"/>
        <w:pageBreakBefore w:val="0"/>
        <w:kinsoku/>
        <w:wordWrap/>
        <w:overflowPunct/>
        <w:topLinePunct w:val="0"/>
        <w:autoSpaceDE/>
        <w:autoSpaceDN/>
        <w:bidi w:val="0"/>
        <w:adjustRightInd/>
        <w:snapToGrid/>
        <w:spacing w:line="540" w:lineRule="exact"/>
        <w:ind w:firstLine="640"/>
        <w:rPr>
          <w:rFonts w:ascii="仿宋" w:hAnsi="仿宋" w:eastAsia="仿宋" w:cs="仿宋"/>
          <w:color w:val="auto"/>
          <w:sz w:val="32"/>
          <w:szCs w:val="32"/>
        </w:rPr>
      </w:pPr>
      <w:r>
        <w:rPr>
          <w:rFonts w:hint="eastAsia" w:ascii="仿宋" w:hAnsi="仿宋" w:eastAsia="仿宋" w:cs="仿宋"/>
          <w:color w:val="auto"/>
          <w:sz w:val="32"/>
          <w:szCs w:val="32"/>
        </w:rPr>
        <w:t>（二）有财产担保债权</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如金融债权、让与担保债权优先部分100%清偿，但分六年七期支付，并按LPR标准补偿相应利息，则由乙方按法院裁定批准的重整计划执行。该优先债权优先部分对应的70%的金额，由甲方从偿债资金中扣除第一期应付偿债资金后返还给乙方。</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如金融债权、让与担保债权人选择按不低于70%的比例一次性受偿（具体比例以法院裁定批准的重整计划为准），乙方同意自法院裁定批准重整计划后由甲方从偿债资金中列支。</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（三）工程款优先债权</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如工程款债权优先部分100%清偿，但分三年四期支付，并按LPR标准补偿相应利息，则由乙方按法院裁定批准的重整计划执行。该工程款债权优先部分对应的70%的金额，由甲方从偿债资金中扣除第一期应付偿债资金后返还给乙方。</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如工程款债权人选择按不低于70%的比例一次性受偿（具体比例以法院裁定批准的重整计划为准），乙方同意自法院裁定批准重整计划后由甲方从偿债资金中列支。</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（四）普通债权</w:t>
      </w:r>
    </w:p>
    <w:p>
      <w:pPr>
        <w:keepNext w:val="0"/>
        <w:keepLines w:val="0"/>
        <w:pageBreakBefore w:val="0"/>
        <w:kinsoku/>
        <w:wordWrap/>
        <w:overflowPunct/>
        <w:topLinePunct w:val="0"/>
        <w:autoSpaceDE/>
        <w:autoSpaceDN/>
        <w:bidi w:val="0"/>
        <w:adjustRightInd/>
        <w:snapToGrid/>
        <w:spacing w:line="54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rPr>
        <w:t>乙方同意按法院裁定批准的重整计划中普通债权受偿比例对应金额，在重整计划批准后</w:t>
      </w:r>
      <w:r>
        <w:rPr>
          <w:rFonts w:hint="eastAsia" w:ascii="仿宋" w:hAnsi="仿宋" w:eastAsia="仿宋" w:cs="仿宋"/>
          <w:color w:val="auto"/>
          <w:sz w:val="32"/>
          <w:szCs w:val="32"/>
          <w:u w:val="single"/>
        </w:rPr>
        <w:t xml:space="preserve">   个月内支付   %，   个月内支付  %，  个月内付清。</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以法院裁定批准的重整计划确定投资人支付数额为准</w:t>
      </w:r>
      <w:r>
        <w:rPr>
          <w:rFonts w:hint="eastAsia" w:ascii="仿宋" w:hAnsi="仿宋" w:eastAsia="仿宋" w:cs="仿宋"/>
          <w:color w:val="auto"/>
          <w:sz w:val="32"/>
          <w:szCs w:val="32"/>
          <w:u w:val="none"/>
          <w:lang w:eastAsia="zh-CN"/>
        </w:rPr>
        <w:t>）</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（五）预计债权</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kern w:val="0"/>
          <w:sz w:val="32"/>
          <w:szCs w:val="32"/>
        </w:rPr>
      </w:pPr>
      <w:r>
        <w:rPr>
          <w:rFonts w:hint="eastAsia" w:ascii="仿宋" w:hAnsi="仿宋" w:eastAsia="仿宋" w:cs="仿宋"/>
          <w:color w:val="auto"/>
          <w:kern w:val="0"/>
          <w:sz w:val="32"/>
          <w:szCs w:val="32"/>
        </w:rPr>
        <w:t>预计债权由乙方在</w:t>
      </w:r>
      <w:r>
        <w:rPr>
          <w:rFonts w:hint="eastAsia" w:ascii="仿宋" w:hAnsi="仿宋" w:eastAsia="仿宋" w:cs="仿宋"/>
          <w:color w:val="auto"/>
          <w:sz w:val="32"/>
          <w:szCs w:val="32"/>
        </w:rPr>
        <w:t>法院裁定批准重整计划后</w:t>
      </w:r>
      <w:r>
        <w:rPr>
          <w:rFonts w:hint="eastAsia" w:ascii="仿宋" w:hAnsi="仿宋" w:eastAsia="仿宋" w:cs="仿宋"/>
          <w:color w:val="auto"/>
          <w:sz w:val="32"/>
          <w:szCs w:val="32"/>
          <w:u w:val="single"/>
        </w:rPr>
        <w:t xml:space="preserve">  个月内</w:t>
      </w:r>
      <w:r>
        <w:rPr>
          <w:rFonts w:hint="eastAsia" w:ascii="仿宋" w:hAnsi="仿宋" w:eastAsia="仿宋" w:cs="仿宋"/>
          <w:color w:val="auto"/>
          <w:sz w:val="32"/>
          <w:szCs w:val="32"/>
        </w:rPr>
        <w:t>支付，若税款债权、共益债务、破产费用、劳动债权、有财产担保债权（一次性按比例受偿）、工程款优先债权（一次性按比例受偿）、普通债权等按重整计划执行完毕，预计债权可由甲方从</w:t>
      </w:r>
      <w:r>
        <w:rPr>
          <w:rFonts w:hint="eastAsia" w:ascii="仿宋" w:hAnsi="仿宋" w:eastAsia="仿宋" w:cs="仿宋"/>
          <w:color w:val="auto"/>
          <w:kern w:val="0"/>
          <w:sz w:val="32"/>
          <w:szCs w:val="32"/>
        </w:rPr>
        <w:t>乙方交纳的8000万元履约保证金中列支。</w:t>
      </w:r>
    </w:p>
    <w:p>
      <w:pPr>
        <w:keepNext w:val="0"/>
        <w:keepLines w:val="0"/>
        <w:pageBreakBefore w:val="0"/>
        <w:numPr>
          <w:ilvl w:val="0"/>
          <w:numId w:val="2"/>
        </w:numPr>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继续履行同创公司和业主签订的返利合同所需费用由甲方从偿债资金中列支。</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（七）以上（一）至（六）项所需偿债资金包含在甲方设定重整投资底价    亿元以内，乙方重整投资报价中的溢价   亿元，乙方同意在法院裁定批准重整计划后6个月内支付。</w:t>
      </w:r>
    </w:p>
    <w:p>
      <w:pPr>
        <w:keepNext w:val="0"/>
        <w:keepLines w:val="0"/>
        <w:pageBreakBefore w:val="0"/>
        <w:kinsoku/>
        <w:wordWrap/>
        <w:overflowPunct/>
        <w:topLinePunct w:val="0"/>
        <w:autoSpaceDE/>
        <w:autoSpaceDN/>
        <w:bidi w:val="0"/>
        <w:adjustRightInd/>
        <w:snapToGrid/>
        <w:spacing w:line="540" w:lineRule="exact"/>
        <w:ind w:firstLine="640" w:firstLineChars="200"/>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五、甲方</w:t>
      </w:r>
      <w:r>
        <w:rPr>
          <w:rFonts w:hint="eastAsia" w:ascii="仿宋" w:hAnsi="仿宋" w:eastAsia="仿宋" w:cs="仿宋"/>
          <w:color w:val="auto"/>
          <w:sz w:val="32"/>
          <w:szCs w:val="32"/>
          <w:highlight w:val="none"/>
          <w:lang w:val="en-US" w:eastAsia="zh-CN"/>
        </w:rPr>
        <w:t>请求政府已落实政策</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baseline"/>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经2021年1月14日丰城市人民政府组织召开同创破产项目联系会议、2021年1月23日丰城市第八届市人民政府第75次常务会议、2021年2月2日丰城市规划委员会会议研究决定，同创项目调整如下：</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baseline"/>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rPr>
        <w:t>证载土地使用权面积与实际用地面积相差约8.5亩（具体面积以市自然资源局核定为准），该土地明确以110万</w:t>
      </w:r>
      <w:r>
        <w:rPr>
          <w:rFonts w:hint="eastAsia" w:ascii="仿宋" w:hAnsi="仿宋" w:eastAsia="仿宋" w:cs="仿宋"/>
          <w:color w:val="auto"/>
          <w:sz w:val="32"/>
          <w:szCs w:val="32"/>
          <w:highlight w:val="none"/>
          <w:lang w:val="en-US" w:eastAsia="zh-CN"/>
        </w:rPr>
        <w:t>元</w:t>
      </w:r>
      <w:r>
        <w:rPr>
          <w:rFonts w:hint="eastAsia" w:ascii="仿宋" w:hAnsi="仿宋" w:eastAsia="仿宋" w:cs="仿宋"/>
          <w:color w:val="auto"/>
          <w:sz w:val="32"/>
          <w:szCs w:val="32"/>
          <w:highlight w:val="none"/>
        </w:rPr>
        <w:t>/亩补办相关手续。</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baseline"/>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原规划二期土地不再供地；原附着在二期土地的义务不再履行。</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baseline"/>
        <w:rPr>
          <w:color w:val="auto"/>
          <w:sz w:val="32"/>
          <w:szCs w:val="32"/>
          <w:highlight w:val="none"/>
        </w:rPr>
      </w:pP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rPr>
        <w:t>C区土地约51.00亩（地上存在未报建在建工程）及B5地块</w:t>
      </w:r>
      <w:r>
        <w:rPr>
          <w:rFonts w:hint="eastAsia" w:ascii="仿宋" w:hAnsi="仿宋" w:eastAsia="仿宋" w:cs="仿宋"/>
          <w:color w:val="auto"/>
          <w:sz w:val="32"/>
          <w:szCs w:val="32"/>
          <w:highlight w:val="none"/>
          <w:lang w:val="en-US" w:eastAsia="zh-CN"/>
        </w:rPr>
        <w:t>约</w:t>
      </w:r>
      <w:r>
        <w:rPr>
          <w:rFonts w:hint="eastAsia" w:ascii="仿宋" w:hAnsi="仿宋" w:eastAsia="仿宋" w:cs="仿宋"/>
          <w:color w:val="auto"/>
          <w:sz w:val="32"/>
          <w:szCs w:val="32"/>
          <w:highlight w:val="none"/>
        </w:rPr>
        <w:t>11.94亩以不低于218万</w:t>
      </w:r>
      <w:r>
        <w:rPr>
          <w:rFonts w:hint="eastAsia" w:ascii="仿宋" w:hAnsi="仿宋" w:eastAsia="仿宋" w:cs="仿宋"/>
          <w:color w:val="auto"/>
          <w:sz w:val="32"/>
          <w:szCs w:val="32"/>
          <w:highlight w:val="none"/>
          <w:lang w:val="en-US" w:eastAsia="zh-CN"/>
        </w:rPr>
        <w:t>元</w:t>
      </w:r>
      <w:r>
        <w:rPr>
          <w:rFonts w:hint="eastAsia" w:ascii="仿宋" w:hAnsi="仿宋" w:eastAsia="仿宋" w:cs="仿宋"/>
          <w:color w:val="auto"/>
          <w:sz w:val="32"/>
          <w:szCs w:val="32"/>
          <w:highlight w:val="none"/>
        </w:rPr>
        <w:t>/亩（具体以重整投资人实际取得对价核算的土地单价为准）列为重整投资人实际取得土地成本，并将该成本作为该土地价款的计税依据；</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baseline"/>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在符合相关规范要求，且经专家论证通过的前提下，可将B区4-5层商业和B5地块原方案酒店调整为服务型公寓；</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baseline"/>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rPr>
        <w:t>根据现行幼儿园设计规范和建设现状，C区幼儿园规模按3个班规划建设；</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baseline"/>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社区用房共368.62㎡按原审定方案执行；</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baseline"/>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在调整规划建设了服务型公寓情况下，需配建不少于150㎡的社区居家养老设施；</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baseline"/>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重整投资人关于重整项目优惠政策不再执行2011年丰城市人民政府和同创控股（香港）集团股份有限公司签订的《投资协议书》，具体的重整项目优惠政策以拟签订的《重整投资协议》规定的内容为准。</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baseline"/>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重整项目仍然享受丰城市商贸物流园的优惠政策，但国家政策有变化的按新规定执行；</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baseline"/>
        <w:rPr>
          <w:color w:val="auto"/>
          <w:sz w:val="32"/>
          <w:szCs w:val="32"/>
          <w:highlight w:val="none"/>
        </w:rPr>
      </w:pP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rPr>
        <w:t>除上列已明确调整的规划条件外，不再作其他规划外调整。</w:t>
      </w:r>
    </w:p>
    <w:p>
      <w:pPr>
        <w:keepNext w:val="0"/>
        <w:keepLines w:val="0"/>
        <w:pageBreakBefore w:val="0"/>
        <w:kinsoku/>
        <w:wordWrap/>
        <w:overflowPunct/>
        <w:topLinePunct w:val="0"/>
        <w:autoSpaceDE/>
        <w:autoSpaceDN/>
        <w:bidi w:val="0"/>
        <w:adjustRightInd/>
        <w:snapToGrid/>
        <w:spacing w:line="54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六、甲方权利义务</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法院裁定批准重整计划后10个工作日内，甲方将同创公司财产和营业事务全部移交给乙方，移交后产生的经营损益及法律责任由乙方享有和承担。对于资产受限的情形，甲方积极协调排除。</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（1）移交财产以清单为准；</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（2）对于法院或行政部门查封、冻结财产，甲方积极配合丰城法院协调解除；</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3）对于抵押或质押财产，如抵押权人或质押权人优先债权选择100%但延后支付，则乙方提供其他容易变现的相应价值财产作为抵押财产替换，甲方积极协调法院解除抵押或质押手续；如抵押权人或质押权人优先债权选择按相应比例一次性清偿，甲方积极协调抵押权人或质押权人申请办理撤销手续。</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.重整期间的土地使用税，甲方已做预留，具体经税务审计核算后，由税务局进行申报，甲方审查认定并报丰城法院裁定，由甲方从乙方支付的偿债资金中列支。</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、乙方权利义务</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1.乙方同意接受甲方对同创公司债务化解方案的调整。</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baseline"/>
        <w:rPr>
          <w:rFonts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val="en-US" w:eastAsia="zh-CN"/>
        </w:rPr>
        <w:t>乙方</w:t>
      </w:r>
      <w:r>
        <w:rPr>
          <w:rFonts w:hint="eastAsia" w:ascii="仿宋" w:hAnsi="仿宋" w:eastAsia="仿宋" w:cs="仿宋"/>
          <w:color w:val="auto"/>
          <w:sz w:val="32"/>
          <w:szCs w:val="32"/>
        </w:rPr>
        <w:t>需继续履行债务人和业主签订的返利合同，并在法院裁定批准重整计划后  月内支付2019年6月25日之前</w:t>
      </w:r>
      <w:r>
        <w:rPr>
          <w:rFonts w:hint="eastAsia" w:ascii="仿宋" w:hAnsi="仿宋" w:eastAsia="仿宋" w:cs="仿宋"/>
          <w:color w:val="auto"/>
          <w:sz w:val="32"/>
          <w:szCs w:val="32"/>
          <w:lang w:val="en-US" w:eastAsia="zh-CN"/>
        </w:rPr>
        <w:t>以及</w:t>
      </w:r>
      <w:r>
        <w:rPr>
          <w:rFonts w:hint="eastAsia" w:ascii="仿宋" w:hAnsi="仿宋" w:eastAsia="仿宋" w:cs="仿宋"/>
          <w:color w:val="auto"/>
          <w:sz w:val="32"/>
          <w:szCs w:val="32"/>
        </w:rPr>
        <w:t>丰城法院</w:t>
      </w:r>
      <w:r>
        <w:rPr>
          <w:rFonts w:hint="eastAsia" w:ascii="仿宋" w:hAnsi="仿宋" w:eastAsia="仿宋" w:cs="仿宋"/>
          <w:color w:val="auto"/>
          <w:sz w:val="32"/>
          <w:szCs w:val="32"/>
          <w:lang w:val="en-US" w:eastAsia="zh-CN"/>
        </w:rPr>
        <w:t>裁定批准重整计划之日后</w:t>
      </w:r>
      <w:r>
        <w:rPr>
          <w:rFonts w:hint="eastAsia" w:ascii="仿宋" w:hAnsi="仿宋" w:eastAsia="仿宋" w:cs="仿宋"/>
          <w:color w:val="auto"/>
          <w:sz w:val="32"/>
          <w:szCs w:val="32"/>
        </w:rPr>
        <w:t>的应付业主返利款项目。</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baseline"/>
        <w:rPr>
          <w:rFonts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val="en-US" w:eastAsia="zh-CN"/>
        </w:rPr>
        <w:t>乙方</w:t>
      </w:r>
      <w:r>
        <w:rPr>
          <w:rFonts w:hint="eastAsia" w:ascii="仿宋" w:hAnsi="仿宋" w:eastAsia="仿宋" w:cs="仿宋"/>
          <w:color w:val="auto"/>
          <w:sz w:val="32"/>
          <w:szCs w:val="32"/>
        </w:rPr>
        <w:t>需完成幼儿园（3个班）建设、提供社区用房共368.62㎡、按要求增设不少于150㎡的社区居家养老设施；</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baseline"/>
        <w:rPr>
          <w:rFonts w:ascii="仿宋" w:hAnsi="仿宋" w:eastAsia="仿宋" w:cs="仿宋"/>
          <w:color w:val="auto"/>
          <w:sz w:val="32"/>
          <w:szCs w:val="32"/>
        </w:rPr>
      </w:pPr>
      <w:r>
        <w:rPr>
          <w:rFonts w:hint="eastAsia" w:ascii="仿宋" w:hAnsi="仿宋" w:eastAsia="仿宋" w:cs="仿宋"/>
          <w:color w:val="auto"/>
          <w:sz w:val="32"/>
          <w:szCs w:val="32"/>
        </w:rPr>
        <w:t>幼儿园、社区用房、社区居家养老设施验收合格后无偿移交给政府；</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baseline"/>
        <w:rPr>
          <w:rFonts w:ascii="仿宋" w:hAnsi="仿宋" w:eastAsia="仿宋" w:cs="仿宋"/>
          <w:color w:val="auto"/>
          <w:sz w:val="32"/>
          <w:szCs w:val="32"/>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乙方</w:t>
      </w:r>
      <w:r>
        <w:rPr>
          <w:rFonts w:hint="eastAsia" w:ascii="仿宋" w:hAnsi="仿宋" w:eastAsia="仿宋" w:cs="仿宋"/>
          <w:color w:val="auto"/>
          <w:sz w:val="32"/>
          <w:szCs w:val="32"/>
        </w:rPr>
        <w:t>关于A/B/C区新开发的商业需按照商贸物流园政策自持40%；</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baseline"/>
        <w:rPr>
          <w:rFonts w:ascii="仿宋" w:hAnsi="仿宋" w:eastAsia="仿宋" w:cs="仿宋"/>
          <w:color w:val="auto"/>
          <w:sz w:val="32"/>
          <w:szCs w:val="32"/>
        </w:rPr>
      </w:pPr>
      <w:r>
        <w:rPr>
          <w:rFonts w:hint="eastAsia" w:ascii="仿宋" w:hAnsi="仿宋" w:eastAsia="仿宋" w:cs="仿宋"/>
          <w:color w:val="auto"/>
          <w:sz w:val="32"/>
          <w:szCs w:val="32"/>
        </w:rPr>
        <w:t>5.</w:t>
      </w:r>
      <w:r>
        <w:rPr>
          <w:rFonts w:hint="eastAsia" w:ascii="仿宋" w:hAnsi="仿宋" w:eastAsia="仿宋" w:cs="仿宋"/>
          <w:color w:val="auto"/>
          <w:sz w:val="32"/>
          <w:szCs w:val="32"/>
          <w:lang w:val="en-US" w:eastAsia="zh-CN"/>
        </w:rPr>
        <w:t>乙方</w:t>
      </w:r>
      <w:r>
        <w:rPr>
          <w:rFonts w:hint="eastAsia" w:ascii="仿宋" w:hAnsi="仿宋" w:eastAsia="仿宋" w:cs="仿宋"/>
          <w:color w:val="auto"/>
          <w:sz w:val="32"/>
          <w:szCs w:val="32"/>
        </w:rPr>
        <w:t>在完善报批报建相关手续前应对C区在建工程进行质量检测；</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baseline"/>
        <w:rPr>
          <w:rFonts w:ascii="仿宋" w:hAnsi="仿宋" w:eastAsia="仿宋" w:cs="仿宋"/>
          <w:color w:val="auto"/>
          <w:sz w:val="32"/>
          <w:szCs w:val="32"/>
        </w:rPr>
      </w:pPr>
      <w:r>
        <w:rPr>
          <w:rFonts w:hint="eastAsia" w:ascii="仿宋" w:hAnsi="仿宋" w:eastAsia="仿宋" w:cs="仿宋"/>
          <w:color w:val="auto"/>
          <w:sz w:val="32"/>
          <w:szCs w:val="32"/>
        </w:rPr>
        <w:t>6.同创公司证载土地使用权面积与实际用地面积相差约8.5亩(具体面积以市自然资源局核定为准），</w:t>
      </w:r>
      <w:r>
        <w:rPr>
          <w:rFonts w:hint="eastAsia" w:ascii="仿宋" w:hAnsi="仿宋" w:eastAsia="仿宋" w:cs="仿宋"/>
          <w:color w:val="auto"/>
          <w:sz w:val="32"/>
          <w:szCs w:val="32"/>
          <w:lang w:val="en-US" w:eastAsia="zh-CN"/>
        </w:rPr>
        <w:t>乙方</w:t>
      </w:r>
      <w:r>
        <w:rPr>
          <w:rFonts w:hint="eastAsia" w:ascii="仿宋" w:hAnsi="仿宋" w:eastAsia="仿宋" w:cs="仿宋"/>
          <w:color w:val="auto"/>
          <w:sz w:val="32"/>
          <w:szCs w:val="32"/>
        </w:rPr>
        <w:t>需按110万</w:t>
      </w:r>
      <w:r>
        <w:rPr>
          <w:rFonts w:hint="eastAsia" w:ascii="仿宋" w:hAnsi="仿宋" w:eastAsia="仿宋" w:cs="仿宋"/>
          <w:color w:val="auto"/>
          <w:sz w:val="32"/>
          <w:szCs w:val="32"/>
          <w:lang w:val="en-US" w:eastAsia="zh-CN"/>
        </w:rPr>
        <w:t>元</w:t>
      </w:r>
      <w:r>
        <w:rPr>
          <w:rFonts w:hint="eastAsia" w:ascii="仿宋" w:hAnsi="仿宋" w:eastAsia="仿宋" w:cs="仿宋"/>
          <w:color w:val="auto"/>
          <w:sz w:val="32"/>
          <w:szCs w:val="32"/>
        </w:rPr>
        <w:t>/亩补缴土地出让金完善土地出让手续；</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7.对于同创公司“大商汇项目”业主未办不动产权证的，在具备办证条件下，乙方积极为业主办理不动产权证。为保证办证，乙方自</w:t>
      </w:r>
      <w:r>
        <w:rPr>
          <w:rFonts w:hint="eastAsia" w:ascii="仿宋" w:hAnsi="仿宋" w:eastAsia="仿宋" w:cs="仿宋"/>
          <w:color w:val="auto"/>
          <w:sz w:val="32"/>
          <w:szCs w:val="32"/>
          <w:lang w:val="en-US" w:eastAsia="zh-CN"/>
        </w:rPr>
        <w:t>丰城</w:t>
      </w:r>
      <w:r>
        <w:rPr>
          <w:rFonts w:hint="eastAsia" w:ascii="仿宋" w:hAnsi="仿宋" w:eastAsia="仿宋" w:cs="仿宋"/>
          <w:color w:val="auto"/>
          <w:sz w:val="32"/>
          <w:szCs w:val="32"/>
        </w:rPr>
        <w:t>法院裁定批准重整计划后3个月内支付</w:t>
      </w:r>
      <w:r>
        <w:rPr>
          <w:rFonts w:hint="eastAsia" w:ascii="仿宋" w:hAnsi="仿宋" w:eastAsia="仿宋" w:cs="仿宋"/>
          <w:color w:val="auto"/>
          <w:sz w:val="32"/>
          <w:szCs w:val="32"/>
          <w:lang w:val="en-US" w:eastAsia="zh-CN"/>
        </w:rPr>
        <w:t>办证</w:t>
      </w:r>
      <w:r>
        <w:rPr>
          <w:rFonts w:hint="eastAsia" w:ascii="仿宋" w:hAnsi="仿宋" w:eastAsia="仿宋" w:cs="仿宋"/>
          <w:color w:val="auto"/>
          <w:sz w:val="32"/>
          <w:szCs w:val="32"/>
        </w:rPr>
        <w:t>保证金        亿元；</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8.对于“同创大商汇”项目，制定详细可行的物业管理方案；</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9.对拟开发土地制定可行性经营方案，包括但不限于开发方案、设计方案、项目销售方案；</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10.全面排查、处置安全隐患，改善绿化景观的基础设施；</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11.乙方应制定商业良性运营的重整经营方案：</w:t>
      </w:r>
    </w:p>
    <w:p>
      <w:pPr>
        <w:keepNext w:val="0"/>
        <w:keepLines w:val="0"/>
        <w:pageBreakBefore w:val="0"/>
        <w:kinsoku/>
        <w:wordWrap/>
        <w:overflowPunct/>
        <w:topLinePunct w:val="0"/>
        <w:autoSpaceDE/>
        <w:autoSpaceDN/>
        <w:bidi w:val="0"/>
        <w:adjustRightInd/>
        <w:snapToGrid/>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（1）乙方重整项目商业运营范围为：建材、家具、货运信息、电商、日杂及百货批发等</w:t>
      </w:r>
      <w:r>
        <w:rPr>
          <w:rFonts w:hint="eastAsia" w:ascii="仿宋" w:hAnsi="仿宋" w:eastAsia="仿宋" w:cs="仿宋"/>
          <w:color w:val="auto"/>
          <w:sz w:val="32"/>
          <w:szCs w:val="32"/>
          <w:lang w:eastAsia="zh-CN"/>
        </w:rPr>
        <w:t>；</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val="en-US" w:eastAsia="zh-CN"/>
        </w:rPr>
        <w:t>丰城</w:t>
      </w:r>
      <w:r>
        <w:rPr>
          <w:rFonts w:hint="eastAsia" w:ascii="仿宋" w:hAnsi="仿宋" w:eastAsia="仿宋" w:cs="仿宋"/>
          <w:color w:val="auto"/>
          <w:sz w:val="32"/>
          <w:szCs w:val="32"/>
        </w:rPr>
        <w:t>法院裁定批准重整计划后两个月内组织专业团队进入项目现场实施重整建设；</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（3）对于正负零以上的在建工程，在</w:t>
      </w:r>
      <w:r>
        <w:rPr>
          <w:rFonts w:hint="eastAsia" w:ascii="仿宋" w:hAnsi="仿宋" w:eastAsia="仿宋" w:cs="仿宋"/>
          <w:color w:val="auto"/>
          <w:sz w:val="32"/>
          <w:szCs w:val="32"/>
          <w:lang w:val="en-US" w:eastAsia="zh-CN"/>
        </w:rPr>
        <w:t>丰城</w:t>
      </w:r>
      <w:r>
        <w:rPr>
          <w:rFonts w:hint="eastAsia" w:ascii="仿宋" w:hAnsi="仿宋" w:eastAsia="仿宋" w:cs="仿宋"/>
          <w:color w:val="auto"/>
          <w:sz w:val="32"/>
          <w:szCs w:val="32"/>
        </w:rPr>
        <w:t>法院裁定批准重整计划后十五个月内完成施工并达到竣工验收备案条件；</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（4）对于正负零以下工程，在</w:t>
      </w:r>
      <w:r>
        <w:rPr>
          <w:rFonts w:hint="eastAsia" w:ascii="仿宋" w:hAnsi="仿宋" w:eastAsia="仿宋" w:cs="仿宋"/>
          <w:color w:val="auto"/>
          <w:sz w:val="32"/>
          <w:szCs w:val="32"/>
          <w:lang w:val="en-US" w:eastAsia="zh-CN"/>
        </w:rPr>
        <w:t>丰城</w:t>
      </w:r>
      <w:r>
        <w:rPr>
          <w:rFonts w:hint="eastAsia" w:ascii="仿宋" w:hAnsi="仿宋" w:eastAsia="仿宋" w:cs="仿宋"/>
          <w:color w:val="auto"/>
          <w:sz w:val="32"/>
          <w:szCs w:val="32"/>
        </w:rPr>
        <w:t>法院裁定批准重整计划后二十四个月内完成施工并达到竣工验收备案条件；</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5）对于竣工验收后的商业，在竣工验收后六个月内开业运营的商业面积应达到竣工验收商业部分的20%，在竣工验收后十二个月内开业运营的商业面积应达到竣工验收商业部分的50%，在竣工验收后二十四个月内开业运营的商业面积应达到竣工验收商业部分的80%。</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八</w:t>
      </w:r>
      <w:r>
        <w:rPr>
          <w:rFonts w:hint="eastAsia" w:ascii="仿宋" w:hAnsi="仿宋" w:eastAsia="仿宋" w:cs="仿宋"/>
          <w:color w:val="auto"/>
          <w:sz w:val="32"/>
          <w:szCs w:val="32"/>
        </w:rPr>
        <w:t>、关于重整计划执行</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1.基于乙方投资方案的承诺，乙方接受甲方对重整计划草案的调整，并按</w:t>
      </w:r>
      <w:r>
        <w:rPr>
          <w:rFonts w:hint="eastAsia" w:ascii="仿宋" w:hAnsi="仿宋" w:eastAsia="仿宋" w:cs="仿宋"/>
          <w:color w:val="auto"/>
          <w:sz w:val="32"/>
          <w:szCs w:val="32"/>
          <w:lang w:val="en-US" w:eastAsia="zh-CN"/>
        </w:rPr>
        <w:t>丰城</w:t>
      </w:r>
      <w:r>
        <w:rPr>
          <w:rFonts w:hint="eastAsia" w:ascii="仿宋" w:hAnsi="仿宋" w:eastAsia="仿宋" w:cs="仿宋"/>
          <w:color w:val="auto"/>
          <w:sz w:val="32"/>
          <w:szCs w:val="32"/>
        </w:rPr>
        <w:t>法院裁定批准的重整计划执行。</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2、重整计划的执行主体为同创公司，乙方对重整计划的执行（包括但不限于清偿债权）承担连带保证责任。</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3、重整计划执行完毕前，乙方或乙方的关联公司或个人对获取的同创的商业秘密承担保密义务。</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、违约责任</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1.乙方如未按期支付重整报价中溢价部分  亿元，每日按应付款万分之五计收逾期付款滞纳金，且需承担未付款项30%的金额作为违约金。</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2.对于“同创大商汇”项目业主未办不动产权证的，在具备办证条件下，乙方逾期为业主办理不动产权证的，按未办理产权证数占总产权证数的比例，在    元</w:t>
      </w:r>
      <w:r>
        <w:rPr>
          <w:rFonts w:hint="eastAsia" w:ascii="仿宋" w:hAnsi="仿宋" w:eastAsia="仿宋" w:cs="仿宋"/>
          <w:color w:val="auto"/>
          <w:sz w:val="32"/>
          <w:szCs w:val="32"/>
          <w:lang w:val="en-US" w:eastAsia="zh-CN"/>
        </w:rPr>
        <w:t>相关</w:t>
      </w:r>
      <w:r>
        <w:rPr>
          <w:rFonts w:hint="eastAsia" w:ascii="仿宋" w:hAnsi="仿宋" w:eastAsia="仿宋" w:cs="仿宋"/>
          <w:color w:val="auto"/>
          <w:sz w:val="32"/>
          <w:szCs w:val="32"/>
        </w:rPr>
        <w:t>保证金中扣除相应违约金。</w:t>
      </w:r>
    </w:p>
    <w:p>
      <w:pPr>
        <w:keepNext w:val="0"/>
        <w:keepLines w:val="0"/>
        <w:pageBreakBefore w:val="0"/>
        <w:kinsoku/>
        <w:wordWrap/>
        <w:overflowPunct/>
        <w:topLinePunct w:val="0"/>
        <w:autoSpaceDE/>
        <w:autoSpaceDN/>
        <w:bidi w:val="0"/>
        <w:adjustRightInd/>
        <w:snapToGrid/>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3.若乙方未在本协议第</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条第十一款（3）（4）（</w:t>
      </w:r>
      <w:r>
        <w:rPr>
          <w:rFonts w:ascii="仿宋" w:hAnsi="仿宋" w:eastAsia="仿宋" w:cs="仿宋"/>
          <w:color w:val="auto"/>
          <w:sz w:val="32"/>
          <w:szCs w:val="32"/>
        </w:rPr>
        <w:t>5</w:t>
      </w:r>
      <w:r>
        <w:rPr>
          <w:rFonts w:hint="eastAsia" w:ascii="仿宋" w:hAnsi="仿宋" w:eastAsia="仿宋" w:cs="仿宋"/>
          <w:color w:val="auto"/>
          <w:sz w:val="32"/>
          <w:szCs w:val="32"/>
        </w:rPr>
        <w:t>）项的规定时间内完成相应的工作任务，每个未完成工作任务视为一个违约行为，每个违约行为应支付违约金</w:t>
      </w:r>
      <w:r>
        <w:rPr>
          <w:rFonts w:ascii="仿宋" w:hAnsi="仿宋" w:eastAsia="仿宋" w:cs="仿宋"/>
          <w:color w:val="auto"/>
          <w:sz w:val="32"/>
          <w:szCs w:val="32"/>
        </w:rPr>
        <w:t>200</w:t>
      </w:r>
      <w:r>
        <w:rPr>
          <w:rFonts w:hint="eastAsia" w:ascii="仿宋" w:hAnsi="仿宋" w:eastAsia="仿宋" w:cs="仿宋"/>
          <w:color w:val="auto"/>
          <w:sz w:val="32"/>
          <w:szCs w:val="32"/>
        </w:rPr>
        <w:t xml:space="preserve">万元。 </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4.若因乙方原因致本协议无法履行，8000万元</w:t>
      </w:r>
      <w:r>
        <w:rPr>
          <w:rFonts w:hint="eastAsia" w:ascii="仿宋" w:hAnsi="仿宋" w:eastAsia="仿宋" w:cs="仿宋"/>
          <w:color w:val="auto"/>
          <w:sz w:val="32"/>
          <w:szCs w:val="32"/>
          <w:lang w:val="en-US" w:eastAsia="zh-CN"/>
        </w:rPr>
        <w:t>重整投资</w:t>
      </w:r>
      <w:r>
        <w:rPr>
          <w:rFonts w:hint="eastAsia" w:ascii="仿宋" w:hAnsi="仿宋" w:eastAsia="仿宋" w:cs="仿宋"/>
          <w:color w:val="auto"/>
          <w:sz w:val="32"/>
          <w:szCs w:val="32"/>
        </w:rPr>
        <w:t>保证金不予退还。</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rPr>
        <w:t>、其他</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1.为共同处理除营业事务之外的事情，甲乙两方成立联合办公机构，明确各自主要人员及牵头负责人；</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2.若重整计划草案无法获得法院裁定批准，本协议终止，甲方即时无息返还乙方所支付的全部款项，且无需对乙方的任何投入进行补偿。</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3.本协议未尽事宜，双方应及时协商并对本协议进行必要的修改和补充，对本协议的修改和补充应以书面形式作出。</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4.本协议中债权金额以</w:t>
      </w:r>
      <w:r>
        <w:rPr>
          <w:rFonts w:hint="eastAsia" w:ascii="仿宋" w:hAnsi="仿宋" w:eastAsia="仿宋" w:cs="仿宋"/>
          <w:color w:val="auto"/>
          <w:sz w:val="32"/>
          <w:szCs w:val="32"/>
          <w:lang w:val="en-US" w:eastAsia="zh-CN"/>
        </w:rPr>
        <w:t>丰城</w:t>
      </w:r>
      <w:r>
        <w:rPr>
          <w:rFonts w:hint="eastAsia" w:ascii="仿宋" w:hAnsi="仿宋" w:eastAsia="仿宋" w:cs="仿宋"/>
          <w:color w:val="auto"/>
          <w:sz w:val="32"/>
          <w:szCs w:val="32"/>
        </w:rPr>
        <w:t>法院裁定确认的金额为准。</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5.本协议附件作为本协议的组成部分，未约定的事项，以附件为准，与本协议冲突的，以本协议为准。</w:t>
      </w:r>
    </w:p>
    <w:p>
      <w:pPr>
        <w:keepNext w:val="0"/>
        <w:keepLines w:val="0"/>
        <w:pageBreakBefore w:val="0"/>
        <w:kinsoku/>
        <w:wordWrap/>
        <w:overflowPunct/>
        <w:topLinePunct w:val="0"/>
        <w:autoSpaceDE/>
        <w:autoSpaceDN/>
        <w:bidi w:val="0"/>
        <w:adjustRightInd/>
        <w:snapToGrid/>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6.本协议经双方签字盖章且乙方交纳    亿元后生效。本协议一式伍份，甲乙双方各贰份，报法院壹份，具有同等的法律效力。</w:t>
      </w:r>
    </w:p>
    <w:p>
      <w:pPr>
        <w:keepNext w:val="0"/>
        <w:keepLines w:val="0"/>
        <w:pageBreakBefore w:val="0"/>
        <w:kinsoku/>
        <w:wordWrap/>
        <w:overflowPunct/>
        <w:topLinePunct w:val="0"/>
        <w:autoSpaceDE/>
        <w:autoSpaceDN/>
        <w:bidi w:val="0"/>
        <w:adjustRightInd/>
        <w:snapToGrid/>
        <w:spacing w:before="156" w:after="156"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甲方：丰城同创实业有限公司破产管理人</w:t>
      </w:r>
    </w:p>
    <w:p>
      <w:pPr>
        <w:keepNext w:val="0"/>
        <w:keepLines w:val="0"/>
        <w:pageBreakBefore w:val="0"/>
        <w:kinsoku/>
        <w:wordWrap/>
        <w:overflowPunct/>
        <w:topLinePunct w:val="0"/>
        <w:autoSpaceDE/>
        <w:autoSpaceDN/>
        <w:bidi w:val="0"/>
        <w:adjustRightInd/>
        <w:snapToGrid/>
        <w:spacing w:before="156" w:after="156"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负责人或授权代表：</w:t>
      </w:r>
    </w:p>
    <w:p>
      <w:pPr>
        <w:keepNext w:val="0"/>
        <w:keepLines w:val="0"/>
        <w:pageBreakBefore w:val="0"/>
        <w:kinsoku/>
        <w:wordWrap/>
        <w:overflowPunct/>
        <w:topLinePunct w:val="0"/>
        <w:autoSpaceDE/>
        <w:autoSpaceDN/>
        <w:bidi w:val="0"/>
        <w:adjustRightInd/>
        <w:snapToGrid/>
        <w:spacing w:before="156" w:after="156"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 xml:space="preserve">乙方：        公司 </w:t>
      </w:r>
    </w:p>
    <w:p>
      <w:pPr>
        <w:keepNext w:val="0"/>
        <w:keepLines w:val="0"/>
        <w:pageBreakBefore w:val="0"/>
        <w:kinsoku/>
        <w:wordWrap/>
        <w:overflowPunct/>
        <w:topLinePunct w:val="0"/>
        <w:autoSpaceDE/>
        <w:autoSpaceDN/>
        <w:bidi w:val="0"/>
        <w:adjustRightInd/>
        <w:snapToGrid/>
        <w:spacing w:before="156" w:after="156"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 xml:space="preserve">法定代表人或授权代表：           </w:t>
      </w:r>
    </w:p>
    <w:p>
      <w:pPr>
        <w:keepNext w:val="0"/>
        <w:keepLines w:val="0"/>
        <w:pageBreakBefore w:val="0"/>
        <w:kinsoku/>
        <w:wordWrap/>
        <w:overflowPunct/>
        <w:topLinePunct w:val="0"/>
        <w:autoSpaceDE/>
        <w:autoSpaceDN/>
        <w:bidi w:val="0"/>
        <w:adjustRightInd/>
        <w:snapToGrid/>
        <w:spacing w:before="156" w:after="156" w:line="540" w:lineRule="exact"/>
        <w:jc w:val="both"/>
        <w:rPr>
          <w:rFonts w:hint="eastAsia" w:ascii="仿宋" w:hAnsi="仿宋" w:eastAsia="仿宋" w:cs="仿宋"/>
          <w:color w:val="auto"/>
          <w:sz w:val="32"/>
          <w:szCs w:val="32"/>
        </w:rPr>
      </w:pPr>
    </w:p>
    <w:p>
      <w:pPr>
        <w:keepNext w:val="0"/>
        <w:keepLines w:val="0"/>
        <w:pageBreakBefore w:val="0"/>
        <w:kinsoku/>
        <w:wordWrap/>
        <w:overflowPunct/>
        <w:topLinePunct w:val="0"/>
        <w:autoSpaceDE/>
        <w:autoSpaceDN/>
        <w:bidi w:val="0"/>
        <w:adjustRightInd/>
        <w:snapToGrid/>
        <w:spacing w:before="156" w:after="156" w:line="540" w:lineRule="exact"/>
        <w:ind w:firstLine="640" w:firstLineChars="200"/>
        <w:jc w:val="right"/>
        <w:rPr>
          <w:rFonts w:hint="eastAsia" w:ascii="仿宋" w:hAnsi="仿宋" w:eastAsia="仿宋" w:cs="仿宋"/>
          <w:color w:val="auto"/>
          <w:sz w:val="32"/>
          <w:szCs w:val="32"/>
        </w:rPr>
      </w:pPr>
    </w:p>
    <w:p>
      <w:pPr>
        <w:keepNext w:val="0"/>
        <w:keepLines w:val="0"/>
        <w:pageBreakBefore w:val="0"/>
        <w:kinsoku/>
        <w:wordWrap/>
        <w:overflowPunct/>
        <w:topLinePunct w:val="0"/>
        <w:autoSpaceDE/>
        <w:autoSpaceDN/>
        <w:bidi w:val="0"/>
        <w:adjustRightInd/>
        <w:snapToGrid/>
        <w:spacing w:before="156" w:after="156" w:line="540" w:lineRule="exact"/>
        <w:ind w:firstLine="640" w:firstLineChars="200"/>
        <w:jc w:val="right"/>
        <w:rPr>
          <w:rFonts w:hint="eastAsia" w:ascii="仿宋" w:hAnsi="仿宋" w:eastAsia="仿宋" w:cs="仿宋"/>
          <w:color w:val="auto"/>
          <w:sz w:val="32"/>
          <w:szCs w:val="32"/>
        </w:rPr>
      </w:pPr>
    </w:p>
    <w:p>
      <w:pPr>
        <w:keepNext w:val="0"/>
        <w:keepLines w:val="0"/>
        <w:pageBreakBefore w:val="0"/>
        <w:kinsoku/>
        <w:wordWrap/>
        <w:overflowPunct/>
        <w:topLinePunct w:val="0"/>
        <w:autoSpaceDE/>
        <w:autoSpaceDN/>
        <w:bidi w:val="0"/>
        <w:adjustRightInd/>
        <w:snapToGrid/>
        <w:spacing w:before="156" w:after="156" w:line="540" w:lineRule="exact"/>
        <w:ind w:firstLine="640" w:firstLineChars="200"/>
        <w:jc w:val="right"/>
        <w:rPr>
          <w:rFonts w:ascii="仿宋" w:hAnsi="仿宋" w:eastAsia="仿宋" w:cs="仿宋"/>
          <w:color w:val="auto"/>
          <w:sz w:val="32"/>
          <w:szCs w:val="32"/>
        </w:rPr>
      </w:pPr>
      <w:r>
        <w:rPr>
          <w:rFonts w:hint="eastAsia" w:ascii="仿宋" w:hAnsi="仿宋" w:eastAsia="仿宋" w:cs="仿宋"/>
          <w:color w:val="auto"/>
          <w:sz w:val="32"/>
          <w:szCs w:val="32"/>
        </w:rPr>
        <w:t>签约日期：2021年   月   日</w:t>
      </w:r>
    </w:p>
    <w:p>
      <w:pPr>
        <w:keepNext w:val="0"/>
        <w:keepLines w:val="0"/>
        <w:pageBreakBefore w:val="0"/>
        <w:kinsoku/>
        <w:wordWrap/>
        <w:overflowPunct/>
        <w:topLinePunct w:val="0"/>
        <w:autoSpaceDE/>
        <w:autoSpaceDN/>
        <w:bidi w:val="0"/>
        <w:adjustRightInd/>
        <w:snapToGrid/>
        <w:spacing w:line="540" w:lineRule="exact"/>
        <w:ind w:firstLine="640" w:firstLineChars="200"/>
        <w:jc w:val="left"/>
        <w:rPr>
          <w:rFonts w:hint="eastAsia" w:ascii="黑体" w:hAnsi="黑体" w:eastAsia="黑体" w:cs="黑体"/>
          <w:color w:val="auto"/>
          <w:sz w:val="32"/>
          <w:szCs w:val="32"/>
        </w:rPr>
      </w:pPr>
    </w:p>
    <w:p>
      <w:pPr>
        <w:keepNext w:val="0"/>
        <w:keepLines w:val="0"/>
        <w:pageBreakBefore w:val="0"/>
        <w:kinsoku/>
        <w:wordWrap/>
        <w:overflowPunct/>
        <w:topLinePunct w:val="0"/>
        <w:autoSpaceDE/>
        <w:autoSpaceDN/>
        <w:bidi w:val="0"/>
        <w:adjustRightInd/>
        <w:snapToGrid/>
        <w:spacing w:line="540" w:lineRule="exact"/>
        <w:ind w:firstLine="640" w:firstLineChars="200"/>
        <w:jc w:val="left"/>
        <w:rPr>
          <w:rFonts w:hint="eastAsia" w:ascii="黑体" w:hAnsi="黑体" w:eastAsia="黑体" w:cs="黑体"/>
          <w:color w:val="auto"/>
          <w:sz w:val="32"/>
          <w:szCs w:val="32"/>
        </w:rPr>
      </w:pPr>
    </w:p>
    <w:p>
      <w:pPr>
        <w:keepNext w:val="0"/>
        <w:keepLines w:val="0"/>
        <w:pageBreakBefore w:val="0"/>
        <w:kinsoku/>
        <w:wordWrap/>
        <w:overflowPunct/>
        <w:topLinePunct w:val="0"/>
        <w:autoSpaceDE/>
        <w:autoSpaceDN/>
        <w:bidi w:val="0"/>
        <w:adjustRightInd/>
        <w:snapToGrid/>
        <w:spacing w:line="540" w:lineRule="exact"/>
        <w:ind w:firstLine="640" w:firstLineChars="200"/>
        <w:jc w:val="left"/>
        <w:rPr>
          <w:rFonts w:ascii="黑体" w:hAnsi="黑体" w:eastAsia="黑体" w:cs="黑体"/>
          <w:color w:val="auto"/>
          <w:sz w:val="32"/>
          <w:szCs w:val="32"/>
        </w:rPr>
      </w:pPr>
      <w:r>
        <w:rPr>
          <w:rFonts w:hint="eastAsia" w:ascii="黑体" w:hAnsi="黑体" w:eastAsia="黑体" w:cs="黑体"/>
          <w:color w:val="auto"/>
          <w:sz w:val="32"/>
          <w:szCs w:val="32"/>
        </w:rPr>
        <w:t>特别声明：本《丰城同创实业有限公司重整投资协议书》</w:t>
      </w:r>
      <w:r>
        <w:rPr>
          <w:rFonts w:hint="eastAsia" w:ascii="黑体" w:hAnsi="黑体" w:eastAsia="黑体" w:cs="黑体"/>
          <w:color w:val="auto"/>
          <w:sz w:val="32"/>
          <w:szCs w:val="32"/>
          <w:lang w:val="en-US" w:eastAsia="zh-CN"/>
        </w:rPr>
        <w:t>样本</w:t>
      </w:r>
      <w:bookmarkStart w:id="1" w:name="_GoBack"/>
      <w:bookmarkEnd w:id="1"/>
      <w:r>
        <w:rPr>
          <w:rFonts w:hint="eastAsia" w:ascii="黑体" w:hAnsi="黑体" w:eastAsia="黑体" w:cs="黑体"/>
          <w:color w:val="auto"/>
          <w:sz w:val="32"/>
          <w:szCs w:val="32"/>
        </w:rPr>
        <w:t>作为管理人和意向重整投资人签订正式的《丰城同创实业有限公司重整投资协议书》的基础，具体内容以正式签订的《丰城同创实业有限公司重整投资协议书》为准。</w:t>
      </w:r>
    </w:p>
    <w:p>
      <w:pPr>
        <w:pStyle w:val="2"/>
        <w:keepNext w:val="0"/>
        <w:keepLines w:val="0"/>
        <w:pageBreakBefore w:val="0"/>
        <w:kinsoku/>
        <w:wordWrap/>
        <w:overflowPunct/>
        <w:topLinePunct w:val="0"/>
        <w:autoSpaceDE/>
        <w:autoSpaceDN/>
        <w:bidi w:val="0"/>
        <w:adjustRightInd/>
        <w:snapToGrid/>
        <w:spacing w:line="540" w:lineRule="exact"/>
        <w:ind w:left="420"/>
        <w:rPr>
          <w:rFonts w:eastAsia="仿宋"/>
          <w:color w:val="auto"/>
        </w:rPr>
      </w:pPr>
    </w:p>
    <w:sectPr>
      <w:headerReference r:id="rId3" w:type="default"/>
      <w:footerReference r:id="rId4"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10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4097"/>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4"/>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w:t>
                          </w:r>
                        </w:p>
                      </w:txbxContent>
                    </wps:txbx>
                    <wps:bodyPr wrap="none" lIns="0" tIns="0" rIns="0" bIns="0" upright="1">
                      <a:spAutoFit/>
                    </wps:bodyPr>
                  </wps:wsp>
                </a:graphicData>
              </a:graphic>
            </wp:anchor>
          </w:drawing>
        </mc:Choice>
        <mc:Fallback>
          <w:pict>
            <v:rect id="4097" o:spid="_x0000_s1026" o:spt="1" style="position:absolute;left:0pt;margin-top:0pt;height:144pt;width:144pt;mso-position-horizontal:center;mso-position-horizontal-relative:margin;mso-wrap-style:none;z-index:102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C5dblS0AAAAAUB&#10;AAAPAAAAAAAAAAEAIAAAACIAAABkcnMvZG93bnJldi54bWxQSwECFAAUAAAACACHTuJAfINJvLEB&#10;AACIAwAADgAAAAAAAAABACAAAAAfAQAAZHJzL2Uyb0RvYy54bWxQSwUGAAAAAAYABgBZAQAAQgUA&#10;AAAA&#10;">
              <v:fill on="f" focussize="0,0"/>
              <v:stroke on="f"/>
              <v:imagedata o:title=""/>
              <o:lock v:ext="edit" aspectratio="f"/>
              <v:textbox inset="0mm,0mm,0mm,0mm" style="mso-fit-shape-to-text:t;">
                <w:txbxContent>
                  <w:p>
                    <w:pPr>
                      <w:pStyle w:val="4"/>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w:t>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default" w:eastAsia="宋体"/>
        <w:sz w:val="21"/>
        <w:szCs w:val="21"/>
        <w:lang w:val="en-US" w:eastAsia="zh-CN"/>
      </w:rPr>
    </w:pPr>
    <w:r>
      <w:rPr>
        <w:rFonts w:hint="eastAsia"/>
        <w:sz w:val="21"/>
        <w:szCs w:val="21"/>
        <w:lang w:val="en-US" w:eastAsia="zh-CN"/>
      </w:rPr>
      <w:t>附件2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D3E4FE"/>
    <w:multiLevelType w:val="singleLevel"/>
    <w:tmpl w:val="B0D3E4FE"/>
    <w:lvl w:ilvl="0" w:tentative="0">
      <w:start w:val="6"/>
      <w:numFmt w:val="chineseCounting"/>
      <w:suff w:val="nothing"/>
      <w:lvlText w:val="（%1）"/>
      <w:lvlJc w:val="left"/>
      <w:rPr>
        <w:rFonts w:hint="eastAsia"/>
      </w:rPr>
    </w:lvl>
  </w:abstractNum>
  <w:abstractNum w:abstractNumId="1">
    <w:nsid w:val="1BDD2978"/>
    <w:multiLevelType w:val="singleLevel"/>
    <w:tmpl w:val="1BDD2978"/>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6D6D"/>
    <w:rsid w:val="000714B9"/>
    <w:rsid w:val="000F53ED"/>
    <w:rsid w:val="001D0C50"/>
    <w:rsid w:val="002C27B8"/>
    <w:rsid w:val="004A67D8"/>
    <w:rsid w:val="004D3892"/>
    <w:rsid w:val="00511290"/>
    <w:rsid w:val="00553304"/>
    <w:rsid w:val="005D72BC"/>
    <w:rsid w:val="00646D6D"/>
    <w:rsid w:val="00655BAF"/>
    <w:rsid w:val="007D0A6B"/>
    <w:rsid w:val="008D674B"/>
    <w:rsid w:val="0090247A"/>
    <w:rsid w:val="00A40A4B"/>
    <w:rsid w:val="00B90B23"/>
    <w:rsid w:val="00BF1C91"/>
    <w:rsid w:val="00C76F05"/>
    <w:rsid w:val="00D8430D"/>
    <w:rsid w:val="00FA0699"/>
    <w:rsid w:val="00FA580B"/>
    <w:rsid w:val="00FB2890"/>
    <w:rsid w:val="00FF3330"/>
    <w:rsid w:val="03784D92"/>
    <w:rsid w:val="05E62C2F"/>
    <w:rsid w:val="068D5BE0"/>
    <w:rsid w:val="0860713A"/>
    <w:rsid w:val="0AC903D9"/>
    <w:rsid w:val="0F9C020A"/>
    <w:rsid w:val="12033A06"/>
    <w:rsid w:val="135C0447"/>
    <w:rsid w:val="186E438D"/>
    <w:rsid w:val="195D7C99"/>
    <w:rsid w:val="1AA134F1"/>
    <w:rsid w:val="1ADB6A59"/>
    <w:rsid w:val="1BA55FAE"/>
    <w:rsid w:val="1C2F64C7"/>
    <w:rsid w:val="2119126B"/>
    <w:rsid w:val="216A67B2"/>
    <w:rsid w:val="217E4732"/>
    <w:rsid w:val="220621DC"/>
    <w:rsid w:val="22223990"/>
    <w:rsid w:val="22AD377B"/>
    <w:rsid w:val="23CD1D0D"/>
    <w:rsid w:val="23F37097"/>
    <w:rsid w:val="254B7121"/>
    <w:rsid w:val="2A252B9C"/>
    <w:rsid w:val="2B25165E"/>
    <w:rsid w:val="2BB52E0E"/>
    <w:rsid w:val="2EDE4412"/>
    <w:rsid w:val="30E84C78"/>
    <w:rsid w:val="34623F05"/>
    <w:rsid w:val="36835351"/>
    <w:rsid w:val="36B90AEA"/>
    <w:rsid w:val="36C75026"/>
    <w:rsid w:val="38A60FAA"/>
    <w:rsid w:val="39160C80"/>
    <w:rsid w:val="397412A6"/>
    <w:rsid w:val="3AE019C0"/>
    <w:rsid w:val="3B52194F"/>
    <w:rsid w:val="3F2B1DB3"/>
    <w:rsid w:val="426F7417"/>
    <w:rsid w:val="45D26F8F"/>
    <w:rsid w:val="467577C7"/>
    <w:rsid w:val="474900BE"/>
    <w:rsid w:val="481F658B"/>
    <w:rsid w:val="48AA2AE2"/>
    <w:rsid w:val="48F85609"/>
    <w:rsid w:val="492C175C"/>
    <w:rsid w:val="4C340CEF"/>
    <w:rsid w:val="51FE2E4E"/>
    <w:rsid w:val="53E04452"/>
    <w:rsid w:val="552233FC"/>
    <w:rsid w:val="55D47F31"/>
    <w:rsid w:val="594A069F"/>
    <w:rsid w:val="5C216133"/>
    <w:rsid w:val="62474B96"/>
    <w:rsid w:val="63D51D5E"/>
    <w:rsid w:val="665D32F1"/>
    <w:rsid w:val="6ACA1626"/>
    <w:rsid w:val="6D4D1A5E"/>
    <w:rsid w:val="6DBE6DD2"/>
    <w:rsid w:val="6FAA227B"/>
    <w:rsid w:val="73901E40"/>
    <w:rsid w:val="74BA2A92"/>
    <w:rsid w:val="7A1D0543"/>
    <w:rsid w:val="7AF3347F"/>
    <w:rsid w:val="7C042D22"/>
    <w:rsid w:val="7E954F26"/>
    <w:rsid w:val="7ECC7B68"/>
    <w:rsid w:val="7F8B1F7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正文首行缩进 21"/>
    <w:basedOn w:val="1"/>
    <w:qFormat/>
    <w:uiPriority w:val="0"/>
    <w:pPr>
      <w:ind w:left="200" w:leftChars="200" w:firstLine="210"/>
    </w:pPr>
    <w:rPr>
      <w:rFonts w:ascii="Times New Roman" w:hAnsi="Times New Roman" w:cs="Times New Roman"/>
    </w:r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annotation reference"/>
    <w:basedOn w:val="7"/>
    <w:qFormat/>
    <w:uiPriority w:val="0"/>
    <w:rPr>
      <w:sz w:val="21"/>
      <w:szCs w:val="21"/>
    </w:rPr>
  </w:style>
  <w:style w:type="paragraph" w:styleId="9">
    <w:name w:val="List Paragraph"/>
    <w:basedOn w:val="1"/>
    <w:qFormat/>
    <w:uiPriority w:val="99"/>
    <w:pPr>
      <w:ind w:firstLine="420" w:firstLineChars="200"/>
    </w:pPr>
  </w:style>
  <w:style w:type="paragraph" w:customStyle="1" w:styleId="10">
    <w:name w:val="_Style 2"/>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ADE0C41-5783-416F-9D49-2BBBA00495C7}">
  <ds:schemaRefs/>
</ds:datastoreItem>
</file>

<file path=docProps/app.xml><?xml version="1.0" encoding="utf-8"?>
<Properties xmlns="http://schemas.openxmlformats.org/officeDocument/2006/extended-properties" xmlns:vt="http://schemas.openxmlformats.org/officeDocument/2006/docPropsVTypes">
  <Template>Normal.dotm</Template>
  <Company>HP</Company>
  <Pages>10</Pages>
  <Words>642</Words>
  <Characters>3662</Characters>
  <Lines>30</Lines>
  <Paragraphs>8</Paragraphs>
  <TotalTime>3</TotalTime>
  <ScaleCrop>false</ScaleCrop>
  <LinksUpToDate>false</LinksUpToDate>
  <CharactersWithSpaces>4296</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2019-11-19T13:40:00Z</dcterms:created>
  <dc:creator>admin</dc:creator>
  <cp:lastModifiedBy>Sound.</cp:lastModifiedBy>
  <cp:lastPrinted>2019-11-21T10:38:00Z</cp:lastPrinted>
  <dcterms:modified xsi:type="dcterms:W3CDTF">2021-02-24T10:36:31Z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