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N/>
        <w:bidi w:val="0"/>
        <w:adjustRightInd/>
        <w:snapToGrid/>
        <w:spacing w:line="540" w:lineRule="exact"/>
        <w:jc w:val="center"/>
        <w:textAlignment w:val="auto"/>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丰城同创实业有限公司</w:t>
      </w:r>
    </w:p>
    <w:p>
      <w:pPr>
        <w:keepNext w:val="0"/>
        <w:keepLines w:val="0"/>
        <w:pageBreakBefore w:val="0"/>
        <w:widowControl w:val="0"/>
        <w:kinsoku/>
        <w:wordWrap/>
        <w:overflowPunct/>
        <w:topLinePunct w:val="0"/>
        <w:autoSpaceDN/>
        <w:bidi w:val="0"/>
        <w:adjustRightInd/>
        <w:snapToGrid/>
        <w:spacing w:line="54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重整投资人评选方案</w:t>
      </w:r>
    </w:p>
    <w:p>
      <w:pPr>
        <w:keepNext w:val="0"/>
        <w:keepLines w:val="0"/>
        <w:pageBreakBefore w:val="0"/>
        <w:widowControl w:val="0"/>
        <w:kinsoku/>
        <w:wordWrap/>
        <w:overflowPunct/>
        <w:topLinePunct w:val="0"/>
        <w:autoSpaceDN/>
        <w:bidi w:val="0"/>
        <w:adjustRightInd/>
        <w:snapToGrid/>
        <w:spacing w:line="540" w:lineRule="exact"/>
        <w:ind w:firstLine="640"/>
        <w:textAlignment w:val="auto"/>
        <w:rPr>
          <w:rFonts w:ascii="仿宋" w:hAnsi="仿宋" w:eastAsia="仿宋" w:cs="仿宋"/>
          <w:sz w:val="32"/>
          <w:szCs w:val="32"/>
        </w:rPr>
      </w:pPr>
      <w:r>
        <w:rPr>
          <w:rFonts w:hint="eastAsia" w:ascii="仿宋" w:hAnsi="仿宋" w:eastAsia="仿宋" w:cs="仿宋"/>
          <w:sz w:val="32"/>
          <w:szCs w:val="32"/>
        </w:rPr>
        <w:t>为维护各债权人的合法权益及社会稳定，促使丰城同创实业有限公司（下称同创公司或债务人）重整案顺利进行，根据利益平衡之原则，特制定本评选方案。</w:t>
      </w:r>
    </w:p>
    <w:p>
      <w:pPr>
        <w:keepNext w:val="0"/>
        <w:keepLines w:val="0"/>
        <w:pageBreakBefore w:val="0"/>
        <w:widowControl w:val="0"/>
        <w:numPr>
          <w:ilvl w:val="0"/>
          <w:numId w:val="1"/>
        </w:numPr>
        <w:kinsoku/>
        <w:wordWrap/>
        <w:overflowPunct/>
        <w:topLinePunct w:val="0"/>
        <w:autoSpaceDN/>
        <w:bidi w:val="0"/>
        <w:adjustRightInd/>
        <w:snapToGrid/>
        <w:spacing w:line="540" w:lineRule="exact"/>
        <w:ind w:firstLine="643" w:firstLineChars="200"/>
        <w:textAlignment w:val="auto"/>
        <w:rPr>
          <w:rFonts w:ascii="仿宋" w:hAnsi="仿宋" w:eastAsia="仿宋" w:cs="仿宋"/>
          <w:sz w:val="32"/>
          <w:szCs w:val="32"/>
        </w:rPr>
      </w:pPr>
      <w:r>
        <w:rPr>
          <w:rFonts w:hint="eastAsia" w:ascii="仿宋" w:hAnsi="仿宋" w:eastAsia="仿宋" w:cs="仿宋"/>
          <w:b/>
          <w:bCs/>
          <w:sz w:val="32"/>
          <w:szCs w:val="32"/>
        </w:rPr>
        <w:t>组建评审委员会</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为切实做好同创公司重整招募投资人工作，经管理人提议，报丰城市人民法院同意，拟成立招募投资人评审委员会，评审委员会委员在重整投资方案提交截止日（2021年4月</w:t>
      </w:r>
      <w:r>
        <w:rPr>
          <w:rFonts w:hint="eastAsia" w:ascii="仿宋" w:hAnsi="仿宋" w:eastAsia="仿宋" w:cs="仿宋"/>
          <w:sz w:val="32"/>
          <w:szCs w:val="32"/>
          <w:lang w:val="en-US" w:eastAsia="zh-CN"/>
        </w:rPr>
        <w:t>23</w:t>
      </w:r>
      <w:r>
        <w:rPr>
          <w:rFonts w:hint="eastAsia" w:ascii="仿宋" w:hAnsi="仿宋" w:eastAsia="仿宋" w:cs="仿宋"/>
          <w:sz w:val="32"/>
          <w:szCs w:val="32"/>
        </w:rPr>
        <w:t>日）后确定</w:t>
      </w:r>
      <w:r>
        <w:rPr>
          <w:rFonts w:ascii="仿宋" w:hAnsi="仿宋" w:eastAsia="仿宋" w:cs="仿宋"/>
          <w:sz w:val="32"/>
          <w:szCs w:val="32"/>
        </w:rPr>
        <w:t>。</w:t>
      </w:r>
    </w:p>
    <w:p>
      <w:pPr>
        <w:keepNext w:val="0"/>
        <w:keepLines w:val="0"/>
        <w:pageBreakBefore w:val="0"/>
        <w:widowControl w:val="0"/>
        <w:numPr>
          <w:ilvl w:val="0"/>
          <w:numId w:val="1"/>
        </w:numPr>
        <w:kinsoku/>
        <w:wordWrap/>
        <w:overflowPunct/>
        <w:topLinePunct w:val="0"/>
        <w:autoSpaceDN/>
        <w:bidi w:val="0"/>
        <w:adjustRightInd/>
        <w:snapToGrid/>
        <w:spacing w:line="54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评选原则</w:t>
      </w:r>
    </w:p>
    <w:p>
      <w:pPr>
        <w:keepNext w:val="0"/>
        <w:keepLines w:val="0"/>
        <w:pageBreakBefore w:val="0"/>
        <w:widowControl w:val="0"/>
        <w:kinsoku/>
        <w:wordWrap/>
        <w:overflowPunct/>
        <w:topLinePunct w:val="0"/>
        <w:autoSpaceDN/>
        <w:bidi w:val="0"/>
        <w:adjustRightInd/>
        <w:snapToGrid/>
        <w:spacing w:line="540" w:lineRule="exact"/>
        <w:ind w:firstLine="640"/>
        <w:textAlignment w:val="auto"/>
        <w:rPr>
          <w:rFonts w:ascii="仿宋" w:hAnsi="仿宋" w:eastAsia="仿宋" w:cs="仿宋"/>
          <w:sz w:val="32"/>
          <w:szCs w:val="32"/>
        </w:rPr>
      </w:pPr>
      <w:r>
        <w:rPr>
          <w:rFonts w:hint="eastAsia" w:ascii="仿宋" w:hAnsi="仿宋" w:eastAsia="仿宋" w:cs="仿宋"/>
          <w:sz w:val="32"/>
          <w:szCs w:val="32"/>
        </w:rPr>
        <w:t>1.确保商业良性运营</w:t>
      </w:r>
    </w:p>
    <w:p>
      <w:pPr>
        <w:keepNext w:val="0"/>
        <w:keepLines w:val="0"/>
        <w:pageBreakBefore w:val="0"/>
        <w:widowControl w:val="0"/>
        <w:kinsoku/>
        <w:wordWrap/>
        <w:overflowPunct/>
        <w:topLinePunct w:val="0"/>
        <w:autoSpaceDN/>
        <w:bidi w:val="0"/>
        <w:adjustRightInd/>
        <w:snapToGrid/>
        <w:spacing w:line="540" w:lineRule="exact"/>
        <w:ind w:firstLine="640"/>
        <w:textAlignment w:val="auto"/>
        <w:rPr>
          <w:rFonts w:ascii="仿宋" w:hAnsi="仿宋" w:eastAsia="仿宋" w:cs="仿宋"/>
          <w:sz w:val="32"/>
          <w:szCs w:val="32"/>
        </w:rPr>
      </w:pPr>
      <w:r>
        <w:rPr>
          <w:rFonts w:hint="eastAsia" w:ascii="仿宋" w:hAnsi="仿宋" w:eastAsia="仿宋" w:cs="仿宋"/>
          <w:sz w:val="32"/>
          <w:szCs w:val="32"/>
        </w:rPr>
        <w:t>投资人应当承诺对同创项目市场区制定切实可行的运营方案，对A/B/C区域商业营销应当和市场区营销方案相互促进，力求达到市政府对于同创项目招商引资的初衷。</w:t>
      </w:r>
    </w:p>
    <w:p>
      <w:pPr>
        <w:keepNext w:val="0"/>
        <w:keepLines w:val="0"/>
        <w:pageBreakBefore w:val="0"/>
        <w:widowControl w:val="0"/>
        <w:kinsoku/>
        <w:wordWrap/>
        <w:overflowPunct/>
        <w:topLinePunct w:val="0"/>
        <w:autoSpaceDN/>
        <w:bidi w:val="0"/>
        <w:adjustRightInd/>
        <w:snapToGrid/>
        <w:spacing w:line="540" w:lineRule="exact"/>
        <w:ind w:firstLine="640"/>
        <w:textAlignment w:val="auto"/>
        <w:rPr>
          <w:rFonts w:ascii="仿宋" w:hAnsi="仿宋" w:eastAsia="仿宋" w:cs="仿宋"/>
          <w:sz w:val="32"/>
          <w:szCs w:val="32"/>
        </w:rPr>
      </w:pPr>
      <w:r>
        <w:rPr>
          <w:rFonts w:hint="eastAsia" w:ascii="仿宋" w:hAnsi="仿宋" w:eastAsia="仿宋" w:cs="仿宋"/>
          <w:sz w:val="32"/>
          <w:szCs w:val="32"/>
        </w:rPr>
        <w:t>2.维护社会稳定原则</w:t>
      </w:r>
    </w:p>
    <w:p>
      <w:pPr>
        <w:keepNext w:val="0"/>
        <w:keepLines w:val="0"/>
        <w:pageBreakBefore w:val="0"/>
        <w:widowControl w:val="0"/>
        <w:kinsoku/>
        <w:wordWrap/>
        <w:overflowPunct/>
        <w:topLinePunct w:val="0"/>
        <w:autoSpaceDN/>
        <w:bidi w:val="0"/>
        <w:adjustRightInd/>
        <w:snapToGrid/>
        <w:spacing w:line="540" w:lineRule="exact"/>
        <w:ind w:firstLine="640"/>
        <w:textAlignment w:val="auto"/>
        <w:rPr>
          <w:rFonts w:ascii="仿宋" w:hAnsi="仿宋" w:eastAsia="仿宋" w:cs="仿宋"/>
          <w:sz w:val="32"/>
          <w:szCs w:val="32"/>
        </w:rPr>
      </w:pPr>
      <w:r>
        <w:rPr>
          <w:rFonts w:hint="eastAsia" w:ascii="仿宋" w:hAnsi="仿宋" w:eastAsia="仿宋" w:cs="仿宋"/>
          <w:sz w:val="32"/>
          <w:szCs w:val="32"/>
        </w:rPr>
        <w:t>投资人应当承诺对于同创公司未办不动产权证的，在具备办证情形时（包括已完成相应抵押、查封的解除，工程的竣工验收等），及时给相应业主办理不动产权证书等。投资人应当有能力处理</w:t>
      </w:r>
      <w:r>
        <w:rPr>
          <w:rFonts w:ascii="仿宋" w:hAnsi="仿宋" w:eastAsia="仿宋" w:cs="仿宋"/>
          <w:sz w:val="32"/>
          <w:szCs w:val="32"/>
        </w:rPr>
        <w:t>物业管理问题，</w:t>
      </w:r>
      <w:r>
        <w:rPr>
          <w:rFonts w:hint="eastAsia" w:ascii="仿宋" w:hAnsi="仿宋" w:eastAsia="仿宋" w:cs="仿宋"/>
          <w:sz w:val="32"/>
          <w:szCs w:val="32"/>
        </w:rPr>
        <w:t>妥善化解业主</w:t>
      </w:r>
      <w:r>
        <w:rPr>
          <w:rFonts w:ascii="仿宋" w:hAnsi="仿宋" w:eastAsia="仿宋" w:cs="仿宋"/>
          <w:sz w:val="32"/>
          <w:szCs w:val="32"/>
        </w:rPr>
        <w:t>与开发公司及物业公司</w:t>
      </w:r>
      <w:r>
        <w:rPr>
          <w:rFonts w:hint="eastAsia" w:ascii="仿宋" w:hAnsi="仿宋" w:eastAsia="仿宋" w:cs="仿宋"/>
          <w:sz w:val="32"/>
          <w:szCs w:val="32"/>
        </w:rPr>
        <w:t>等矛盾纠纷，力保不出现上访、信访、闹访等群体事件。</w:t>
      </w:r>
    </w:p>
    <w:p>
      <w:pPr>
        <w:keepNext w:val="0"/>
        <w:keepLines w:val="0"/>
        <w:pageBreakBefore w:val="0"/>
        <w:widowControl w:val="0"/>
        <w:kinsoku/>
        <w:wordWrap/>
        <w:overflowPunct/>
        <w:topLinePunct w:val="0"/>
        <w:autoSpaceDN/>
        <w:bidi w:val="0"/>
        <w:adjustRightInd/>
        <w:snapToGrid/>
        <w:spacing w:line="540" w:lineRule="exact"/>
        <w:ind w:firstLine="640"/>
        <w:textAlignment w:val="auto"/>
        <w:rPr>
          <w:rFonts w:ascii="仿宋" w:hAnsi="仿宋" w:eastAsia="仿宋" w:cs="仿宋"/>
          <w:sz w:val="32"/>
          <w:szCs w:val="32"/>
        </w:rPr>
      </w:pPr>
      <w:r>
        <w:rPr>
          <w:rFonts w:hint="eastAsia" w:ascii="仿宋" w:hAnsi="仿宋" w:eastAsia="仿宋" w:cs="仿宋"/>
          <w:sz w:val="32"/>
          <w:szCs w:val="32"/>
        </w:rPr>
        <w:t>3.化解债务原则</w:t>
      </w:r>
    </w:p>
    <w:p>
      <w:pPr>
        <w:keepNext w:val="0"/>
        <w:keepLines w:val="0"/>
        <w:pageBreakBefore w:val="0"/>
        <w:widowControl w:val="0"/>
        <w:kinsoku/>
        <w:wordWrap/>
        <w:overflowPunct/>
        <w:topLinePunct w:val="0"/>
        <w:autoSpaceDN/>
        <w:bidi w:val="0"/>
        <w:adjustRightInd/>
        <w:snapToGrid/>
        <w:spacing w:line="540" w:lineRule="exact"/>
        <w:ind w:firstLine="640"/>
        <w:textAlignment w:val="auto"/>
        <w:rPr>
          <w:rFonts w:ascii="仿宋" w:hAnsi="仿宋" w:eastAsia="仿宋" w:cs="仿宋"/>
          <w:sz w:val="32"/>
          <w:szCs w:val="32"/>
        </w:rPr>
      </w:pPr>
      <w:r>
        <w:rPr>
          <w:rFonts w:hint="eastAsia" w:ascii="仿宋" w:hAnsi="仿宋" w:eastAsia="仿宋" w:cs="仿宋"/>
          <w:sz w:val="32"/>
          <w:szCs w:val="32"/>
        </w:rPr>
        <w:t>投资人提交的重整投资方案能够有效化解“招募公告”所涉债务，提出的债务清偿方案应当切实可行</w:t>
      </w:r>
      <w:r>
        <w:rPr>
          <w:rFonts w:hint="eastAsia" w:ascii="仿宋" w:hAnsi="仿宋" w:eastAsia="仿宋" w:cs="仿宋"/>
          <w:b/>
          <w:bCs/>
          <w:sz w:val="32"/>
          <w:szCs w:val="32"/>
        </w:rPr>
        <w:t>，</w:t>
      </w:r>
      <w:r>
        <w:rPr>
          <w:rFonts w:hint="eastAsia" w:ascii="仿宋" w:hAnsi="仿宋" w:eastAsia="仿宋" w:cs="仿宋"/>
          <w:sz w:val="32"/>
          <w:szCs w:val="32"/>
        </w:rPr>
        <w:t>投入的偿债资金有可</w:t>
      </w:r>
      <w:r>
        <w:rPr>
          <w:rFonts w:hint="eastAsia" w:ascii="仿宋" w:hAnsi="仿宋" w:eastAsia="仿宋" w:cs="仿宋"/>
          <w:sz w:val="32"/>
          <w:szCs w:val="32"/>
          <w:lang w:val="en-US" w:eastAsia="zh-CN"/>
        </w:rPr>
        <w:t>靠</w:t>
      </w:r>
      <w:r>
        <w:rPr>
          <w:rFonts w:hint="eastAsia" w:ascii="仿宋" w:hAnsi="仿宋" w:eastAsia="仿宋" w:cs="仿宋"/>
          <w:sz w:val="32"/>
          <w:szCs w:val="32"/>
        </w:rPr>
        <w:t>来源和保障，支付时间和方式有明确安排、有履行重整计划担保措施等。</w:t>
      </w:r>
    </w:p>
    <w:p>
      <w:pPr>
        <w:keepNext w:val="0"/>
        <w:keepLines w:val="0"/>
        <w:pageBreakBefore w:val="0"/>
        <w:widowControl w:val="0"/>
        <w:kinsoku/>
        <w:wordWrap/>
        <w:overflowPunct/>
        <w:topLinePunct w:val="0"/>
        <w:autoSpaceDN/>
        <w:bidi w:val="0"/>
        <w:adjustRightInd/>
        <w:snapToGrid/>
        <w:spacing w:line="540" w:lineRule="exact"/>
        <w:ind w:firstLine="640"/>
        <w:textAlignment w:val="auto"/>
        <w:rPr>
          <w:rFonts w:ascii="仿宋" w:hAnsi="仿宋" w:eastAsia="仿宋" w:cs="仿宋"/>
          <w:b/>
          <w:bCs/>
          <w:sz w:val="32"/>
          <w:szCs w:val="32"/>
        </w:rPr>
      </w:pPr>
      <w:r>
        <w:rPr>
          <w:rFonts w:hint="eastAsia" w:ascii="仿宋" w:hAnsi="仿宋" w:eastAsia="仿宋" w:cs="仿宋"/>
          <w:b/>
          <w:bCs/>
          <w:sz w:val="32"/>
          <w:szCs w:val="32"/>
        </w:rPr>
        <w:t>特别说明：</w:t>
      </w:r>
    </w:p>
    <w:p>
      <w:pPr>
        <w:keepNext w:val="0"/>
        <w:keepLines w:val="0"/>
        <w:pageBreakBefore w:val="0"/>
        <w:widowControl w:val="0"/>
        <w:kinsoku/>
        <w:wordWrap/>
        <w:overflowPunct/>
        <w:topLinePunct w:val="0"/>
        <w:autoSpaceDN/>
        <w:bidi w:val="0"/>
        <w:adjustRightInd/>
        <w:snapToGrid/>
        <w:spacing w:line="540" w:lineRule="exact"/>
        <w:ind w:firstLine="640"/>
        <w:textAlignment w:val="auto"/>
        <w:rPr>
          <w:rFonts w:ascii="仿宋" w:hAnsi="仿宋" w:eastAsia="仿宋" w:cs="仿宋"/>
          <w:b/>
          <w:bCs/>
          <w:sz w:val="32"/>
          <w:szCs w:val="32"/>
        </w:rPr>
      </w:pPr>
      <w:r>
        <w:rPr>
          <w:rFonts w:hint="eastAsia" w:ascii="仿宋" w:hAnsi="仿宋" w:eastAsia="仿宋" w:cs="仿宋"/>
          <w:b/>
          <w:bCs/>
          <w:sz w:val="32"/>
          <w:szCs w:val="32"/>
        </w:rPr>
        <w:t>（</w:t>
      </w:r>
      <w:r>
        <w:rPr>
          <w:rFonts w:ascii="仿宋" w:hAnsi="仿宋" w:eastAsia="仿宋" w:cs="仿宋"/>
          <w:b/>
          <w:bCs/>
          <w:sz w:val="32"/>
          <w:szCs w:val="32"/>
        </w:rPr>
        <w:t>1</w:t>
      </w:r>
      <w:r>
        <w:rPr>
          <w:rFonts w:hint="eastAsia" w:ascii="仿宋" w:hAnsi="仿宋" w:eastAsia="仿宋" w:cs="仿宋"/>
          <w:b/>
          <w:bCs/>
          <w:sz w:val="32"/>
          <w:szCs w:val="32"/>
        </w:rPr>
        <w:t>）重整投资方案中各投资人对偿债资金报价不得低于X亿元。</w:t>
      </w:r>
    </w:p>
    <w:p>
      <w:pPr>
        <w:keepNext w:val="0"/>
        <w:keepLines w:val="0"/>
        <w:pageBreakBefore w:val="0"/>
        <w:widowControl w:val="0"/>
        <w:kinsoku/>
        <w:wordWrap/>
        <w:overflowPunct/>
        <w:topLinePunct w:val="0"/>
        <w:autoSpaceDN/>
        <w:bidi w:val="0"/>
        <w:adjustRightInd/>
        <w:snapToGrid/>
        <w:spacing w:line="540" w:lineRule="exact"/>
        <w:ind w:firstLine="640"/>
        <w:textAlignment w:val="auto"/>
        <w:rPr>
          <w:rFonts w:ascii="仿宋" w:hAnsi="仿宋" w:eastAsia="仿宋" w:cs="仿宋"/>
          <w:b/>
          <w:bCs/>
          <w:sz w:val="32"/>
          <w:szCs w:val="32"/>
        </w:rPr>
      </w:pPr>
      <w:r>
        <w:rPr>
          <w:rFonts w:hint="eastAsia" w:ascii="仿宋" w:hAnsi="仿宋" w:eastAsia="仿宋" w:cs="仿宋"/>
          <w:b/>
          <w:bCs/>
          <w:sz w:val="32"/>
          <w:szCs w:val="32"/>
        </w:rPr>
        <w:t>（</w:t>
      </w:r>
      <w:r>
        <w:rPr>
          <w:rFonts w:ascii="仿宋" w:hAnsi="仿宋" w:eastAsia="仿宋" w:cs="仿宋"/>
          <w:b/>
          <w:bCs/>
          <w:sz w:val="32"/>
          <w:szCs w:val="32"/>
        </w:rPr>
        <w:t>2</w:t>
      </w:r>
      <w:r>
        <w:rPr>
          <w:rFonts w:hint="eastAsia" w:ascii="仿宋" w:hAnsi="仿宋" w:eastAsia="仿宋" w:cs="仿宋"/>
          <w:b/>
          <w:bCs/>
          <w:sz w:val="32"/>
          <w:szCs w:val="32"/>
        </w:rPr>
        <w:t>）</w:t>
      </w:r>
      <w:r>
        <w:rPr>
          <w:rFonts w:ascii="仿宋" w:hAnsi="仿宋" w:eastAsia="仿宋" w:cs="仿宋"/>
          <w:b/>
          <w:bCs/>
          <w:sz w:val="32"/>
          <w:szCs w:val="32"/>
        </w:rPr>
        <w:t>投资人对于偿债资金报价高于</w:t>
      </w:r>
      <w:r>
        <w:rPr>
          <w:rFonts w:hint="eastAsia" w:ascii="仿宋" w:hAnsi="仿宋" w:eastAsia="仿宋" w:cs="仿宋"/>
          <w:b/>
          <w:bCs/>
          <w:sz w:val="32"/>
          <w:szCs w:val="32"/>
        </w:rPr>
        <w:t>X</w:t>
      </w:r>
      <w:r>
        <w:rPr>
          <w:rFonts w:ascii="仿宋" w:hAnsi="仿宋" w:eastAsia="仿宋" w:cs="仿宋"/>
          <w:b/>
          <w:bCs/>
          <w:sz w:val="32"/>
          <w:szCs w:val="32"/>
        </w:rPr>
        <w:t>亿元部分，不得在投资方案中径行承诺支付给具体哪个或哪些或哪类债权人。</w:t>
      </w:r>
    </w:p>
    <w:p>
      <w:pPr>
        <w:keepNext w:val="0"/>
        <w:keepLines w:val="0"/>
        <w:pageBreakBefore w:val="0"/>
        <w:widowControl w:val="0"/>
        <w:kinsoku/>
        <w:wordWrap/>
        <w:overflowPunct/>
        <w:topLinePunct w:val="0"/>
        <w:autoSpaceDN/>
        <w:bidi w:val="0"/>
        <w:adjustRightInd/>
        <w:snapToGrid/>
        <w:spacing w:line="540" w:lineRule="exact"/>
        <w:ind w:firstLine="640"/>
        <w:textAlignment w:val="auto"/>
        <w:rPr>
          <w:rFonts w:ascii="仿宋" w:hAnsi="仿宋" w:eastAsia="仿宋" w:cs="仿宋"/>
          <w:b/>
          <w:bCs/>
          <w:sz w:val="32"/>
          <w:szCs w:val="32"/>
        </w:rPr>
      </w:pPr>
      <w:r>
        <w:rPr>
          <w:rFonts w:hint="eastAsia" w:ascii="仿宋" w:hAnsi="仿宋" w:eastAsia="仿宋" w:cs="仿宋"/>
          <w:b/>
          <w:bCs/>
          <w:sz w:val="32"/>
          <w:szCs w:val="32"/>
        </w:rPr>
        <w:t>（3）管理人在核定的偿债资金底价X亿元以上，会设定保留价，各投资人偿债资金报价均低于保留价的，经法院同意后，宣布本次招募活动失败，重新发布投资人招募公告。</w:t>
      </w:r>
    </w:p>
    <w:p>
      <w:pPr>
        <w:keepNext w:val="0"/>
        <w:keepLines w:val="0"/>
        <w:pageBreakBefore w:val="0"/>
        <w:widowControl w:val="0"/>
        <w:kinsoku/>
        <w:wordWrap/>
        <w:overflowPunct/>
        <w:topLinePunct w:val="0"/>
        <w:autoSpaceDN/>
        <w:bidi w:val="0"/>
        <w:adjustRightInd/>
        <w:snapToGrid/>
        <w:spacing w:line="540" w:lineRule="exact"/>
        <w:ind w:firstLine="560"/>
        <w:textAlignment w:val="auto"/>
        <w:rPr>
          <w:rFonts w:ascii="仿宋" w:hAnsi="仿宋" w:eastAsia="仿宋" w:cs="仿宋"/>
          <w:sz w:val="32"/>
          <w:szCs w:val="32"/>
        </w:rPr>
      </w:pPr>
      <w:r>
        <w:rPr>
          <w:rFonts w:hint="eastAsia" w:ascii="仿宋" w:hAnsi="仿宋" w:eastAsia="仿宋" w:cs="仿宋"/>
          <w:sz w:val="32"/>
          <w:szCs w:val="32"/>
        </w:rPr>
        <w:t>4.投资主体适格原则</w:t>
      </w:r>
    </w:p>
    <w:p>
      <w:pPr>
        <w:keepNext w:val="0"/>
        <w:keepLines w:val="0"/>
        <w:pageBreakBefore w:val="0"/>
        <w:widowControl w:val="0"/>
        <w:kinsoku/>
        <w:wordWrap/>
        <w:overflowPunct/>
        <w:topLinePunct w:val="0"/>
        <w:autoSpaceDN/>
        <w:bidi w:val="0"/>
        <w:adjustRightInd/>
        <w:snapToGrid/>
        <w:spacing w:line="540" w:lineRule="exact"/>
        <w:ind w:firstLine="560"/>
        <w:textAlignment w:val="auto"/>
        <w:rPr>
          <w:rFonts w:ascii="仿宋" w:hAnsi="仿宋" w:eastAsia="仿宋" w:cs="仿宋"/>
          <w:b/>
          <w:bCs/>
          <w:sz w:val="32"/>
          <w:szCs w:val="32"/>
        </w:rPr>
      </w:pPr>
      <w:r>
        <w:rPr>
          <w:rFonts w:hint="eastAsia" w:ascii="仿宋" w:hAnsi="仿宋" w:eastAsia="仿宋" w:cs="仿宋"/>
          <w:sz w:val="32"/>
          <w:szCs w:val="32"/>
        </w:rPr>
        <w:t>报名投资人具备民事主体资格；报名投资人及其法定代表人、控股股东具有良好的信用记录和较高的社会责任感，未被列入失信人员名单，作为被执行人无壹仟万元以上重大债务案件（或重整投资人无其他重大债务诉讼案件）。</w:t>
      </w:r>
    </w:p>
    <w:p>
      <w:pPr>
        <w:keepNext w:val="0"/>
        <w:keepLines w:val="0"/>
        <w:pageBreakBefore w:val="0"/>
        <w:widowControl w:val="0"/>
        <w:numPr>
          <w:ilvl w:val="0"/>
          <w:numId w:val="1"/>
        </w:numPr>
        <w:kinsoku/>
        <w:wordWrap/>
        <w:overflowPunct/>
        <w:topLinePunct w:val="0"/>
        <w:autoSpaceDN/>
        <w:bidi w:val="0"/>
        <w:adjustRightInd/>
        <w:snapToGrid/>
        <w:spacing w:line="54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评选办法</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本办法采用</w:t>
      </w:r>
      <w:r>
        <w:rPr>
          <w:rFonts w:ascii="仿宋" w:hAnsi="仿宋" w:eastAsia="仿宋" w:cs="仿宋"/>
          <w:sz w:val="32"/>
          <w:szCs w:val="32"/>
        </w:rPr>
        <w:t>100分</w:t>
      </w:r>
      <w:r>
        <w:rPr>
          <w:rFonts w:hint="eastAsia" w:ascii="仿宋" w:hAnsi="仿宋" w:eastAsia="仿宋" w:cs="仿宋"/>
          <w:sz w:val="32"/>
          <w:szCs w:val="32"/>
        </w:rPr>
        <w:t>评分制</w:t>
      </w:r>
      <w:r>
        <w:rPr>
          <w:rFonts w:ascii="仿宋" w:hAnsi="仿宋" w:eastAsia="仿宋" w:cs="仿宋"/>
          <w:sz w:val="32"/>
          <w:szCs w:val="32"/>
        </w:rPr>
        <w:t>，</w:t>
      </w:r>
      <w:r>
        <w:rPr>
          <w:rFonts w:hint="eastAsia" w:ascii="仿宋" w:hAnsi="仿宋" w:eastAsia="仿宋" w:cs="仿宋"/>
          <w:sz w:val="32"/>
          <w:szCs w:val="32"/>
        </w:rPr>
        <w:t>评分标准见附件。</w:t>
      </w:r>
      <w:r>
        <w:rPr>
          <w:rFonts w:ascii="仿宋" w:hAnsi="仿宋" w:eastAsia="仿宋" w:cs="仿宋"/>
          <w:sz w:val="32"/>
          <w:szCs w:val="32"/>
        </w:rPr>
        <w:t>排除各投资人报价均低于设定保留价的情形，</w:t>
      </w:r>
      <w:r>
        <w:rPr>
          <w:rFonts w:hint="eastAsia" w:ascii="仿宋" w:hAnsi="仿宋" w:eastAsia="仿宋" w:cs="仿宋"/>
          <w:sz w:val="32"/>
          <w:szCs w:val="32"/>
        </w:rPr>
        <w:t>根据各投资人的</w:t>
      </w:r>
      <w:r>
        <w:rPr>
          <w:rFonts w:ascii="仿宋" w:hAnsi="仿宋" w:eastAsia="仿宋" w:cs="仿宋"/>
          <w:sz w:val="32"/>
          <w:szCs w:val="32"/>
        </w:rPr>
        <w:t>最终</w:t>
      </w:r>
      <w:r>
        <w:rPr>
          <w:rFonts w:hint="eastAsia" w:ascii="仿宋" w:hAnsi="仿宋" w:eastAsia="仿宋" w:cs="仿宋"/>
          <w:sz w:val="32"/>
          <w:szCs w:val="32"/>
        </w:rPr>
        <w:t>得分确定投资人排序，得分最高者为1号，其他依次为2、3、4...n号。</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1.评选时间：2021年？月？日上午7时开始</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2.评选地点：</w:t>
      </w:r>
      <w:r>
        <w:rPr>
          <w:rFonts w:ascii="仿宋" w:hAnsi="仿宋" w:eastAsia="仿宋" w:cs="仿宋"/>
          <w:sz w:val="32"/>
          <w:szCs w:val="32"/>
        </w:rPr>
        <w:t>待定</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3.评选参会人员：政府代表、</w:t>
      </w:r>
      <w:r>
        <w:rPr>
          <w:rFonts w:ascii="仿宋" w:hAnsi="仿宋" w:eastAsia="仿宋" w:cs="仿宋"/>
          <w:sz w:val="32"/>
          <w:szCs w:val="32"/>
        </w:rPr>
        <w:t>破产重整案合议庭成员、</w:t>
      </w:r>
      <w:r>
        <w:rPr>
          <w:rFonts w:hint="eastAsia" w:ascii="仿宋" w:hAnsi="仿宋" w:eastAsia="仿宋" w:cs="仿宋"/>
          <w:sz w:val="32"/>
          <w:szCs w:val="32"/>
        </w:rPr>
        <w:t>破产管理人项目总负责人及工作人员、评审委员会全体委员、债务人代表、报名投资人法人或授权代理人及团队成员（每家不超过四人）。评选活动由合议庭主持。</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4.评选流程</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（1）由管理人</w:t>
      </w:r>
      <w:r>
        <w:rPr>
          <w:rFonts w:ascii="仿宋" w:hAnsi="仿宋" w:eastAsia="仿宋" w:cs="仿宋"/>
          <w:sz w:val="32"/>
          <w:szCs w:val="32"/>
        </w:rPr>
        <w:t>代表</w:t>
      </w:r>
      <w:r>
        <w:rPr>
          <w:rFonts w:hint="eastAsia" w:ascii="仿宋" w:hAnsi="仿宋" w:eastAsia="仿宋" w:cs="仿宋"/>
          <w:sz w:val="32"/>
          <w:szCs w:val="32"/>
        </w:rPr>
        <w:t>向评审委员会委员解读《重整投资人评选方案》及评分标准。</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（2）由各投资人派出1人抽签确定讲解顺序，不派人参加评选活动的视为自动放弃</w:t>
      </w:r>
      <w:r>
        <w:rPr>
          <w:rFonts w:ascii="仿宋" w:hAnsi="仿宋" w:eastAsia="仿宋" w:cs="仿宋"/>
          <w:sz w:val="32"/>
          <w:szCs w:val="32"/>
        </w:rPr>
        <w:t>现场展示其投资方案。</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（3）合议庭将收到的重整投资方案统一拆封，同时</w:t>
      </w:r>
      <w:r>
        <w:rPr>
          <w:rFonts w:ascii="仿宋" w:hAnsi="仿宋" w:eastAsia="仿宋" w:cs="仿宋"/>
          <w:sz w:val="32"/>
          <w:szCs w:val="32"/>
        </w:rPr>
        <w:t>当场</w:t>
      </w:r>
      <w:r>
        <w:rPr>
          <w:rFonts w:hint="eastAsia" w:ascii="仿宋" w:hAnsi="仿宋" w:eastAsia="仿宋" w:cs="仿宋"/>
          <w:sz w:val="32"/>
          <w:szCs w:val="32"/>
        </w:rPr>
        <w:t>拆封并公示保留价。管理人将评选方案</w:t>
      </w:r>
      <w:r>
        <w:rPr>
          <w:rFonts w:ascii="仿宋" w:hAnsi="仿宋" w:eastAsia="仿宋" w:cs="仿宋"/>
          <w:sz w:val="32"/>
          <w:szCs w:val="32"/>
        </w:rPr>
        <w:t>及</w:t>
      </w:r>
      <w:r>
        <w:rPr>
          <w:rFonts w:hint="eastAsia" w:ascii="仿宋" w:hAnsi="仿宋" w:eastAsia="仿宋" w:cs="仿宋"/>
          <w:sz w:val="32"/>
          <w:szCs w:val="32"/>
        </w:rPr>
        <w:t>评分标准、评分表分发给评审委员会各委员，呈送合议庭一份备案。</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（4）评审委员会主任查阅各投资人偿债资金报价，如均低于保留价，破产管理人项目总负责人提请合议庭宣布本次招募活动失败，终止评选活动。</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（5）</w:t>
      </w:r>
      <w:r>
        <w:rPr>
          <w:rFonts w:ascii="仿宋" w:hAnsi="仿宋" w:eastAsia="仿宋" w:cs="仿宋"/>
          <w:sz w:val="32"/>
          <w:szCs w:val="32"/>
        </w:rPr>
        <w:t>排除各投资人</w:t>
      </w:r>
      <w:r>
        <w:rPr>
          <w:rFonts w:hint="eastAsia" w:ascii="仿宋" w:hAnsi="仿宋" w:eastAsia="仿宋" w:cs="仿宋"/>
          <w:sz w:val="32"/>
          <w:szCs w:val="32"/>
        </w:rPr>
        <w:t>偿债资金</w:t>
      </w:r>
      <w:r>
        <w:rPr>
          <w:rFonts w:ascii="仿宋" w:hAnsi="仿宋" w:eastAsia="仿宋" w:cs="仿宋"/>
          <w:sz w:val="32"/>
          <w:szCs w:val="32"/>
        </w:rPr>
        <w:t>报价均低于设定保留价的情形</w:t>
      </w:r>
      <w:r>
        <w:rPr>
          <w:rFonts w:hint="eastAsia" w:ascii="仿宋" w:hAnsi="仿宋" w:eastAsia="仿宋" w:cs="仿宋"/>
          <w:sz w:val="32"/>
          <w:szCs w:val="32"/>
        </w:rPr>
        <w:t>，由各投资人按抽签顺序</w:t>
      </w:r>
      <w:r>
        <w:rPr>
          <w:rFonts w:ascii="仿宋" w:hAnsi="仿宋" w:eastAsia="仿宋" w:cs="仿宋"/>
          <w:sz w:val="32"/>
          <w:szCs w:val="32"/>
        </w:rPr>
        <w:t>讲解</w:t>
      </w:r>
      <w:r>
        <w:rPr>
          <w:rFonts w:hint="eastAsia" w:ascii="仿宋" w:hAnsi="仿宋" w:eastAsia="仿宋" w:cs="仿宋"/>
          <w:sz w:val="32"/>
          <w:szCs w:val="32"/>
        </w:rPr>
        <w:t>投资方案，每家不超过20分钟。</w:t>
      </w:r>
      <w:r>
        <w:rPr>
          <w:rFonts w:ascii="仿宋" w:hAnsi="仿宋" w:eastAsia="仿宋" w:cs="仿宋"/>
          <w:sz w:val="32"/>
          <w:szCs w:val="32"/>
        </w:rPr>
        <w:t>投资人可制</w:t>
      </w:r>
      <w:r>
        <w:rPr>
          <w:rFonts w:hint="eastAsia" w:ascii="仿宋" w:hAnsi="仿宋" w:eastAsia="仿宋" w:cs="仿宋"/>
          <w:sz w:val="32"/>
          <w:szCs w:val="32"/>
        </w:rPr>
        <w:t>作</w:t>
      </w:r>
      <w:r>
        <w:rPr>
          <w:rFonts w:ascii="仿宋" w:hAnsi="仿宋" w:eastAsia="仿宋" w:cs="仿宋"/>
          <w:sz w:val="32"/>
          <w:szCs w:val="32"/>
        </w:rPr>
        <w:t>PPT展示。</w:t>
      </w:r>
      <w:r>
        <w:rPr>
          <w:rFonts w:hint="eastAsia" w:ascii="仿宋" w:hAnsi="仿宋" w:eastAsia="仿宋" w:cs="仿宋"/>
          <w:sz w:val="32"/>
          <w:szCs w:val="32"/>
        </w:rPr>
        <w:t>报名投资人完成投资方案讲解后全部暂时退场。</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（6）由管理人</w:t>
      </w:r>
      <w:r>
        <w:rPr>
          <w:rFonts w:ascii="仿宋" w:hAnsi="仿宋" w:eastAsia="仿宋" w:cs="仿宋"/>
          <w:sz w:val="32"/>
          <w:szCs w:val="32"/>
        </w:rPr>
        <w:t>代表</w:t>
      </w:r>
      <w:r>
        <w:rPr>
          <w:rFonts w:hint="eastAsia" w:ascii="仿宋" w:hAnsi="仿宋" w:eastAsia="仿宋" w:cs="仿宋"/>
          <w:sz w:val="32"/>
          <w:szCs w:val="32"/>
        </w:rPr>
        <w:t>回答评审委员会委员相关问题。</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（7）评审委员会委员根据评选方案、评分标准对各重整投资方案进行独立评分并填写评分表，评分期间不得互相沟通。</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（8）评审委员会委员完成评分后，管理人工作人</w:t>
      </w:r>
      <w:r>
        <w:rPr>
          <w:rFonts w:ascii="仿宋" w:hAnsi="仿宋" w:eastAsia="仿宋" w:cs="仿宋"/>
          <w:sz w:val="32"/>
          <w:szCs w:val="32"/>
        </w:rPr>
        <w:t>员</w:t>
      </w:r>
      <w:r>
        <w:rPr>
          <w:rFonts w:hint="eastAsia" w:ascii="仿宋" w:hAnsi="仿宋" w:eastAsia="仿宋" w:cs="仿宋"/>
          <w:sz w:val="32"/>
          <w:szCs w:val="32"/>
        </w:rPr>
        <w:t>收集已签名的评分表</w:t>
      </w:r>
      <w:r>
        <w:rPr>
          <w:rFonts w:ascii="仿宋" w:hAnsi="仿宋" w:eastAsia="仿宋" w:cs="仿宋"/>
          <w:sz w:val="32"/>
          <w:szCs w:val="32"/>
        </w:rPr>
        <w:t>，通知报名投资人参会人员入场。</w:t>
      </w:r>
      <w:r>
        <w:rPr>
          <w:rFonts w:hint="eastAsia" w:ascii="仿宋" w:hAnsi="仿宋" w:eastAsia="仿宋" w:cs="仿宋"/>
          <w:sz w:val="32"/>
          <w:szCs w:val="32"/>
        </w:rPr>
        <w:t>工作人员统计</w:t>
      </w:r>
      <w:r>
        <w:rPr>
          <w:rFonts w:ascii="仿宋" w:hAnsi="仿宋" w:eastAsia="仿宋" w:cs="仿宋"/>
          <w:sz w:val="32"/>
          <w:szCs w:val="32"/>
        </w:rPr>
        <w:t>分数</w:t>
      </w:r>
      <w:r>
        <w:rPr>
          <w:rFonts w:hint="eastAsia" w:ascii="仿宋" w:hAnsi="仿宋" w:eastAsia="仿宋" w:cs="仿宋"/>
          <w:sz w:val="32"/>
          <w:szCs w:val="32"/>
        </w:rPr>
        <w:t>，计算最终得分，填写“投资人得分统计表”。</w:t>
      </w:r>
      <w:r>
        <w:rPr>
          <w:rFonts w:ascii="仿宋" w:hAnsi="仿宋" w:eastAsia="仿宋" w:cs="仿宋"/>
          <w:sz w:val="32"/>
          <w:szCs w:val="32"/>
        </w:rPr>
        <w:t>评审委员会主任核实后</w:t>
      </w:r>
      <w:r>
        <w:rPr>
          <w:rFonts w:hint="eastAsia" w:ascii="仿宋" w:hAnsi="仿宋" w:eastAsia="仿宋" w:cs="仿宋"/>
          <w:sz w:val="32"/>
          <w:szCs w:val="32"/>
        </w:rPr>
        <w:t>呈交合议庭</w:t>
      </w:r>
      <w:r>
        <w:rPr>
          <w:rFonts w:ascii="仿宋" w:hAnsi="仿宋" w:eastAsia="仿宋" w:cs="仿宋"/>
          <w:sz w:val="32"/>
          <w:szCs w:val="32"/>
        </w:rPr>
        <w:t>，同时</w:t>
      </w:r>
      <w:r>
        <w:rPr>
          <w:rFonts w:hint="eastAsia" w:ascii="仿宋" w:hAnsi="仿宋" w:eastAsia="仿宋" w:cs="仿宋"/>
          <w:sz w:val="32"/>
          <w:szCs w:val="32"/>
        </w:rPr>
        <w:t>呈</w:t>
      </w:r>
      <w:r>
        <w:rPr>
          <w:rFonts w:ascii="仿宋" w:hAnsi="仿宋" w:eastAsia="仿宋" w:cs="仿宋"/>
          <w:sz w:val="32"/>
          <w:szCs w:val="32"/>
        </w:rPr>
        <w:t>交各评委的“评分表”。</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（9）合议庭根</w:t>
      </w:r>
      <w:r>
        <w:rPr>
          <w:rFonts w:ascii="仿宋" w:hAnsi="仿宋" w:eastAsia="仿宋" w:cs="仿宋"/>
          <w:sz w:val="32"/>
          <w:szCs w:val="32"/>
        </w:rPr>
        <w:t>据</w:t>
      </w:r>
      <w:r>
        <w:rPr>
          <w:rFonts w:hint="eastAsia" w:ascii="仿宋" w:hAnsi="仿宋" w:eastAsia="仿宋" w:cs="仿宋"/>
          <w:sz w:val="32"/>
          <w:szCs w:val="32"/>
        </w:rPr>
        <w:t>“投资人得</w:t>
      </w:r>
      <w:r>
        <w:rPr>
          <w:rFonts w:ascii="仿宋" w:hAnsi="仿宋" w:eastAsia="仿宋" w:cs="仿宋"/>
          <w:sz w:val="32"/>
          <w:szCs w:val="32"/>
        </w:rPr>
        <w:t>分统计表”</w:t>
      </w:r>
      <w:r>
        <w:rPr>
          <w:rFonts w:hint="eastAsia" w:ascii="仿宋" w:hAnsi="仿宋" w:eastAsia="仿宋" w:cs="仿宋"/>
          <w:sz w:val="32"/>
          <w:szCs w:val="32"/>
        </w:rPr>
        <w:t>宣布投资人得分及排序。</w:t>
      </w:r>
    </w:p>
    <w:p>
      <w:pPr>
        <w:keepNext w:val="0"/>
        <w:keepLines w:val="0"/>
        <w:pageBreakBefore w:val="0"/>
        <w:widowControl w:val="0"/>
        <w:numPr>
          <w:ilvl w:val="0"/>
          <w:numId w:val="1"/>
        </w:numPr>
        <w:kinsoku/>
        <w:wordWrap/>
        <w:overflowPunct/>
        <w:topLinePunct w:val="0"/>
        <w:autoSpaceDN/>
        <w:bidi w:val="0"/>
        <w:adjustRightInd/>
        <w:snapToGrid/>
        <w:spacing w:line="54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重整投资人确定办法</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cs="仿宋"/>
          <w:sz w:val="32"/>
          <w:szCs w:val="32"/>
        </w:rPr>
      </w:pPr>
      <w:r>
        <w:rPr>
          <w:rFonts w:hint="eastAsia" w:ascii="仿宋" w:hAnsi="仿宋" w:eastAsia="仿宋" w:cs="仿宋"/>
          <w:sz w:val="32"/>
          <w:szCs w:val="32"/>
        </w:rPr>
        <w:t>管理人根据投资人第一至n的排序，与顺序对应投资人</w:t>
      </w:r>
      <w:r>
        <w:rPr>
          <w:rFonts w:ascii="仿宋" w:hAnsi="仿宋" w:eastAsia="仿宋" w:cs="仿宋"/>
          <w:sz w:val="32"/>
          <w:szCs w:val="32"/>
        </w:rPr>
        <w:t>从20</w:t>
      </w:r>
      <w:r>
        <w:rPr>
          <w:rFonts w:hint="eastAsia" w:ascii="仿宋" w:hAnsi="仿宋" w:eastAsia="仿宋" w:cs="仿宋"/>
          <w:sz w:val="32"/>
          <w:szCs w:val="32"/>
        </w:rPr>
        <w:t>21</w:t>
      </w:r>
      <w:r>
        <w:rPr>
          <w:rFonts w:ascii="仿宋" w:hAnsi="仿宋" w:eastAsia="仿宋" w:cs="仿宋"/>
          <w:sz w:val="32"/>
          <w:szCs w:val="32"/>
        </w:rPr>
        <w:t>年</w:t>
      </w:r>
      <w:r>
        <w:rPr>
          <w:rFonts w:hint="eastAsia" w:ascii="仿宋" w:hAnsi="仿宋" w:eastAsia="仿宋" w:cs="仿宋"/>
          <w:sz w:val="32"/>
          <w:szCs w:val="32"/>
        </w:rPr>
        <w:t>？</w:t>
      </w:r>
      <w:r>
        <w:rPr>
          <w:rFonts w:ascii="仿宋" w:hAnsi="仿宋" w:eastAsia="仿宋" w:cs="仿宋"/>
          <w:sz w:val="32"/>
          <w:szCs w:val="32"/>
        </w:rPr>
        <w:t>月</w:t>
      </w:r>
      <w:r>
        <w:rPr>
          <w:rFonts w:hint="eastAsia" w:ascii="仿宋" w:hAnsi="仿宋" w:eastAsia="仿宋" w:cs="仿宋"/>
          <w:sz w:val="32"/>
          <w:szCs w:val="32"/>
        </w:rPr>
        <w:t>？</w:t>
      </w:r>
      <w:r>
        <w:rPr>
          <w:rFonts w:ascii="仿宋" w:hAnsi="仿宋" w:eastAsia="仿宋" w:cs="仿宋"/>
          <w:sz w:val="32"/>
          <w:szCs w:val="32"/>
        </w:rPr>
        <w:t>日起至</w:t>
      </w:r>
      <w:r>
        <w:rPr>
          <w:rFonts w:hint="eastAsia" w:ascii="仿宋" w:hAnsi="仿宋" w:eastAsia="仿宋" w:cs="仿宋"/>
          <w:sz w:val="32"/>
          <w:szCs w:val="32"/>
        </w:rPr>
        <w:t>2021</w:t>
      </w:r>
      <w:r>
        <w:rPr>
          <w:rFonts w:ascii="仿宋" w:hAnsi="仿宋" w:eastAsia="仿宋" w:cs="仿宋"/>
          <w:sz w:val="32"/>
          <w:szCs w:val="32"/>
        </w:rPr>
        <w:t>年</w:t>
      </w:r>
      <w:r>
        <w:rPr>
          <w:rFonts w:hint="eastAsia" w:ascii="仿宋" w:hAnsi="仿宋" w:eastAsia="仿宋" w:cs="仿宋"/>
          <w:sz w:val="32"/>
          <w:szCs w:val="32"/>
        </w:rPr>
        <w:t>？</w:t>
      </w:r>
      <w:r>
        <w:rPr>
          <w:rFonts w:ascii="仿宋" w:hAnsi="仿宋" w:eastAsia="仿宋" w:cs="仿宋"/>
          <w:sz w:val="32"/>
          <w:szCs w:val="32"/>
        </w:rPr>
        <w:t>月</w:t>
      </w:r>
      <w:r>
        <w:rPr>
          <w:rFonts w:hint="eastAsia" w:ascii="仿宋" w:hAnsi="仿宋" w:eastAsia="仿宋" w:cs="仿宋"/>
          <w:sz w:val="32"/>
          <w:szCs w:val="32"/>
        </w:rPr>
        <w:t>？</w:t>
      </w:r>
      <w:r>
        <w:rPr>
          <w:rFonts w:ascii="仿宋" w:hAnsi="仿宋" w:eastAsia="仿宋" w:cs="仿宋"/>
          <w:sz w:val="32"/>
          <w:szCs w:val="32"/>
        </w:rPr>
        <w:t>日止，</w:t>
      </w:r>
      <w:r>
        <w:rPr>
          <w:rFonts w:hint="eastAsia" w:ascii="仿宋" w:hAnsi="仿宋" w:eastAsia="仿宋" w:cs="仿宋"/>
          <w:sz w:val="32"/>
          <w:szCs w:val="32"/>
        </w:rPr>
        <w:t>在其递交的“重整投资方案”的基础上洽谈，双方应在2</w:t>
      </w:r>
      <w:r>
        <w:rPr>
          <w:rFonts w:ascii="仿宋" w:hAnsi="仿宋" w:eastAsia="仿宋" w:cs="仿宋"/>
          <w:sz w:val="32"/>
          <w:szCs w:val="32"/>
        </w:rPr>
        <w:t>天内签订</w:t>
      </w:r>
      <w:r>
        <w:rPr>
          <w:rFonts w:hint="eastAsia" w:ascii="仿宋" w:hAnsi="仿宋" w:eastAsia="仿宋" w:cs="仿宋"/>
          <w:sz w:val="32"/>
          <w:szCs w:val="32"/>
        </w:rPr>
        <w:t>“重整投资协议”</w:t>
      </w:r>
      <w:r>
        <w:rPr>
          <w:rFonts w:ascii="仿宋" w:hAnsi="仿宋" w:eastAsia="仿宋" w:cs="仿宋"/>
          <w:sz w:val="32"/>
          <w:szCs w:val="32"/>
        </w:rPr>
        <w:t>，协议</w:t>
      </w:r>
      <w:r>
        <w:rPr>
          <w:rFonts w:hint="eastAsia" w:ascii="仿宋" w:hAnsi="仿宋" w:eastAsia="仿宋" w:cs="仿宋"/>
          <w:sz w:val="32"/>
          <w:szCs w:val="32"/>
          <w:lang w:val="en-US" w:eastAsia="zh-CN"/>
        </w:rPr>
        <w:t>签订</w:t>
      </w:r>
      <w:r>
        <w:rPr>
          <w:rFonts w:ascii="仿宋" w:hAnsi="仿宋" w:eastAsia="仿宋" w:cs="仿宋"/>
          <w:sz w:val="32"/>
          <w:szCs w:val="32"/>
        </w:rPr>
        <w:t>后</w:t>
      </w:r>
      <w:r>
        <w:rPr>
          <w:rFonts w:hint="eastAsia" w:ascii="仿宋" w:hAnsi="仿宋" w:eastAsia="仿宋" w:cs="仿宋"/>
          <w:sz w:val="32"/>
          <w:szCs w:val="32"/>
        </w:rPr>
        <w:t>4日</w:t>
      </w:r>
      <w:r>
        <w:rPr>
          <w:rFonts w:ascii="仿宋" w:hAnsi="仿宋" w:eastAsia="仿宋" w:cs="仿宋"/>
          <w:sz w:val="32"/>
          <w:szCs w:val="32"/>
        </w:rPr>
        <w:t>内，投资人缴纳</w:t>
      </w:r>
      <w:r>
        <w:rPr>
          <w:rFonts w:hint="eastAsia" w:ascii="仿宋" w:hAnsi="仿宋" w:eastAsia="仿宋" w:cs="仿宋"/>
          <w:sz w:val="32"/>
          <w:szCs w:val="32"/>
          <w:lang w:val="en-US" w:eastAsia="zh-CN"/>
        </w:rPr>
        <w:t>的捌仟万元</w:t>
      </w:r>
      <w:r>
        <w:rPr>
          <w:rFonts w:hint="eastAsia" w:ascii="仿宋" w:hAnsi="仿宋" w:eastAsia="仿宋" w:cs="仿宋"/>
          <w:sz w:val="32"/>
          <w:szCs w:val="32"/>
        </w:rPr>
        <w:t>重整投资</w:t>
      </w:r>
      <w:r>
        <w:rPr>
          <w:rFonts w:ascii="仿宋" w:hAnsi="仿宋" w:eastAsia="仿宋" w:cs="仿宋"/>
          <w:sz w:val="32"/>
          <w:szCs w:val="32"/>
        </w:rPr>
        <w:t>保证金及投资方案中承诺的</w:t>
      </w:r>
      <w:r>
        <w:rPr>
          <w:rFonts w:hint="eastAsia" w:ascii="仿宋" w:hAnsi="仿宋" w:eastAsia="仿宋" w:cs="仿宋"/>
          <w:sz w:val="32"/>
          <w:szCs w:val="32"/>
        </w:rPr>
        <w:t>偿债资金到账后（节假日顺延）</w:t>
      </w:r>
      <w:r>
        <w:rPr>
          <w:rFonts w:ascii="仿宋" w:hAnsi="仿宋" w:eastAsia="仿宋" w:cs="仿宋"/>
          <w:sz w:val="32"/>
          <w:szCs w:val="32"/>
        </w:rPr>
        <w:t>协议生效，</w:t>
      </w:r>
      <w:r>
        <w:rPr>
          <w:rFonts w:hint="eastAsia" w:ascii="仿宋" w:hAnsi="仿宋" w:eastAsia="仿宋" w:cs="仿宋"/>
          <w:sz w:val="32"/>
          <w:szCs w:val="32"/>
        </w:rPr>
        <w:t>管理人</w:t>
      </w:r>
      <w:r>
        <w:rPr>
          <w:rFonts w:ascii="仿宋" w:hAnsi="仿宋" w:eastAsia="仿宋" w:cs="仿宋"/>
          <w:sz w:val="32"/>
          <w:szCs w:val="32"/>
        </w:rPr>
        <w:t>制作重整计划草案报债权人会议表决通过或申请丰城市人民法院裁定批准</w:t>
      </w:r>
      <w:r>
        <w:rPr>
          <w:rFonts w:hint="eastAsia" w:ascii="仿宋" w:hAnsi="仿宋" w:eastAsia="仿宋" w:cs="仿宋"/>
          <w:sz w:val="32"/>
          <w:szCs w:val="32"/>
        </w:rPr>
        <w:t>，从而确定该投资协议签订人为同创公司重整投资人。</w:t>
      </w:r>
      <w:r>
        <w:rPr>
          <w:rFonts w:ascii="仿宋" w:hAnsi="仿宋" w:eastAsia="仿宋" w:cs="仿宋"/>
          <w:sz w:val="32"/>
          <w:szCs w:val="32"/>
        </w:rPr>
        <w:t>若双方</w:t>
      </w:r>
      <w:r>
        <w:rPr>
          <w:rFonts w:hint="eastAsia" w:ascii="仿宋" w:hAnsi="仿宋" w:eastAsia="仿宋" w:cs="仿宋"/>
          <w:sz w:val="32"/>
          <w:szCs w:val="32"/>
        </w:rPr>
        <w:t>未能</w:t>
      </w:r>
      <w:r>
        <w:rPr>
          <w:rFonts w:ascii="仿宋" w:hAnsi="仿宋" w:eastAsia="仿宋" w:cs="仿宋"/>
          <w:sz w:val="32"/>
          <w:szCs w:val="32"/>
        </w:rPr>
        <w:t>在洽谈开始后</w:t>
      </w:r>
      <w:r>
        <w:rPr>
          <w:rFonts w:hint="eastAsia" w:ascii="仿宋" w:hAnsi="仿宋" w:eastAsia="仿宋" w:cs="仿宋"/>
          <w:sz w:val="32"/>
          <w:szCs w:val="32"/>
        </w:rPr>
        <w:t>6</w:t>
      </w:r>
      <w:r>
        <w:rPr>
          <w:rFonts w:ascii="仿宋" w:hAnsi="仿宋" w:eastAsia="仿宋" w:cs="仿宋"/>
          <w:sz w:val="32"/>
          <w:szCs w:val="32"/>
        </w:rPr>
        <w:t>内形成生效投资协议</w:t>
      </w:r>
      <w:r>
        <w:rPr>
          <w:rFonts w:hint="eastAsia" w:ascii="仿宋" w:hAnsi="仿宋" w:eastAsia="仿宋" w:cs="仿宋"/>
          <w:sz w:val="32"/>
          <w:szCs w:val="32"/>
        </w:rPr>
        <w:t>，则按排位顺序依次进行洽谈，</w:t>
      </w:r>
      <w:r>
        <w:rPr>
          <w:rFonts w:ascii="仿宋" w:hAnsi="仿宋" w:eastAsia="仿宋" w:cs="仿宋"/>
          <w:sz w:val="32"/>
          <w:szCs w:val="32"/>
        </w:rPr>
        <w:t>直至形成生效投资协议。每个序号投资人的洽谈，都是在前面序号投资人洽谈期间终止后隔天开始，</w:t>
      </w:r>
      <w:r>
        <w:rPr>
          <w:rFonts w:hint="eastAsia" w:ascii="仿宋" w:hAnsi="仿宋" w:eastAsia="仿宋" w:cs="仿宋"/>
          <w:sz w:val="32"/>
          <w:szCs w:val="32"/>
        </w:rPr>
        <w:t>6</w:t>
      </w:r>
      <w:r>
        <w:rPr>
          <w:rFonts w:ascii="仿宋" w:hAnsi="仿宋" w:eastAsia="仿宋" w:cs="仿宋"/>
          <w:sz w:val="32"/>
          <w:szCs w:val="32"/>
        </w:rPr>
        <w:t>天内结束。</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ascii="仿宋" w:hAnsi="仿宋" w:eastAsia="仿宋" w:cs="仿宋"/>
          <w:sz w:val="32"/>
          <w:szCs w:val="32"/>
        </w:rPr>
        <w:t>上述期间节假日、</w:t>
      </w:r>
      <w:r>
        <w:rPr>
          <w:rFonts w:hint="eastAsia" w:ascii="仿宋" w:hAnsi="仿宋" w:eastAsia="仿宋" w:cs="仿宋"/>
          <w:sz w:val="32"/>
          <w:szCs w:val="32"/>
        </w:rPr>
        <w:t>双</w:t>
      </w:r>
      <w:r>
        <w:rPr>
          <w:rFonts w:ascii="仿宋" w:hAnsi="仿宋" w:eastAsia="仿宋" w:cs="仿宋"/>
          <w:sz w:val="32"/>
          <w:szCs w:val="32"/>
        </w:rPr>
        <w:t>休日照常进行，每天工作时间为9</w:t>
      </w:r>
      <w:r>
        <w:rPr>
          <w:rFonts w:hint="eastAsia" w:ascii="仿宋" w:hAnsi="仿宋" w:eastAsia="仿宋" w:cs="仿宋"/>
          <w:sz w:val="32"/>
          <w:szCs w:val="32"/>
        </w:rPr>
        <w:t>：</w:t>
      </w:r>
      <w:r>
        <w:rPr>
          <w:rFonts w:ascii="仿宋" w:hAnsi="仿宋" w:eastAsia="仿宋" w:cs="仿宋"/>
          <w:sz w:val="32"/>
          <w:szCs w:val="32"/>
        </w:rPr>
        <w:t>00</w:t>
      </w:r>
      <w:r>
        <w:rPr>
          <w:rFonts w:hint="eastAsia" w:ascii="仿宋" w:hAnsi="仿宋" w:eastAsia="仿宋" w:cs="仿宋"/>
          <w:sz w:val="32"/>
          <w:szCs w:val="32"/>
        </w:rPr>
        <w:t>-</w:t>
      </w:r>
      <w:r>
        <w:rPr>
          <w:rFonts w:ascii="仿宋" w:hAnsi="仿宋" w:eastAsia="仿宋" w:cs="仿宋"/>
          <w:sz w:val="32"/>
          <w:szCs w:val="32"/>
        </w:rPr>
        <w:t>12</w:t>
      </w:r>
      <w:r>
        <w:rPr>
          <w:rFonts w:hint="eastAsia" w:ascii="仿宋" w:hAnsi="仿宋" w:eastAsia="仿宋" w:cs="仿宋"/>
          <w:sz w:val="32"/>
          <w:szCs w:val="32"/>
        </w:rPr>
        <w:t>：</w:t>
      </w:r>
      <w:r>
        <w:rPr>
          <w:rFonts w:ascii="仿宋" w:hAnsi="仿宋" w:eastAsia="仿宋" w:cs="仿宋"/>
          <w:sz w:val="32"/>
          <w:szCs w:val="32"/>
        </w:rPr>
        <w:t>00，15</w:t>
      </w:r>
      <w:r>
        <w:rPr>
          <w:rFonts w:hint="eastAsia" w:ascii="仿宋" w:hAnsi="仿宋" w:eastAsia="仿宋" w:cs="仿宋"/>
          <w:sz w:val="32"/>
          <w:szCs w:val="32"/>
        </w:rPr>
        <w:t>：</w:t>
      </w:r>
      <w:r>
        <w:rPr>
          <w:rFonts w:ascii="仿宋" w:hAnsi="仿宋" w:eastAsia="仿宋" w:cs="仿宋"/>
          <w:sz w:val="32"/>
          <w:szCs w:val="32"/>
        </w:rPr>
        <w:t>00</w:t>
      </w:r>
      <w:r>
        <w:rPr>
          <w:rFonts w:hint="eastAsia" w:ascii="仿宋" w:hAnsi="仿宋" w:eastAsia="仿宋" w:cs="仿宋"/>
          <w:sz w:val="32"/>
          <w:szCs w:val="32"/>
        </w:rPr>
        <w:t>-</w:t>
      </w:r>
      <w:r>
        <w:rPr>
          <w:rFonts w:ascii="仿宋" w:hAnsi="仿宋" w:eastAsia="仿宋" w:cs="仿宋"/>
          <w:sz w:val="32"/>
          <w:szCs w:val="32"/>
        </w:rPr>
        <w:t>18</w:t>
      </w:r>
      <w:r>
        <w:rPr>
          <w:rFonts w:hint="eastAsia" w:ascii="仿宋" w:hAnsi="仿宋" w:eastAsia="仿宋" w:cs="仿宋"/>
          <w:sz w:val="32"/>
          <w:szCs w:val="32"/>
        </w:rPr>
        <w:t>：</w:t>
      </w:r>
      <w:r>
        <w:rPr>
          <w:rFonts w:ascii="仿宋" w:hAnsi="仿宋" w:eastAsia="仿宋" w:cs="仿宋"/>
          <w:sz w:val="32"/>
          <w:szCs w:val="32"/>
        </w:rPr>
        <w:t>00</w:t>
      </w:r>
      <w:r>
        <w:rPr>
          <w:rFonts w:hint="eastAsia" w:ascii="仿宋" w:hAnsi="仿宋" w:eastAsia="仿宋" w:cs="仿宋"/>
          <w:sz w:val="32"/>
          <w:szCs w:val="32"/>
        </w:rPr>
        <w:t>（第6天工作截止时间为16:00）</w:t>
      </w:r>
      <w:r>
        <w:rPr>
          <w:rFonts w:ascii="仿宋" w:hAnsi="仿宋" w:eastAsia="仿宋" w:cs="仿宋"/>
          <w:sz w:val="32"/>
          <w:szCs w:val="32"/>
        </w:rPr>
        <w:t>；洽谈地点：江西浩剑律师事务所二楼会议室；洽谈人员各方每次不超过四人。</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五、本</w:t>
      </w:r>
      <w:r>
        <w:rPr>
          <w:rFonts w:ascii="仿宋" w:hAnsi="仿宋" w:eastAsia="仿宋" w:cs="仿宋"/>
          <w:sz w:val="32"/>
          <w:szCs w:val="32"/>
        </w:rPr>
        <w:t>方案及评分标准</w:t>
      </w:r>
      <w:r>
        <w:rPr>
          <w:rFonts w:hint="eastAsia" w:ascii="仿宋" w:hAnsi="仿宋" w:eastAsia="仿宋" w:cs="仿宋"/>
          <w:sz w:val="32"/>
          <w:szCs w:val="32"/>
        </w:rPr>
        <w:t>向各投资人公开，由管理人在联系会上释明。</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ascii="仿宋" w:hAnsi="仿宋" w:eastAsia="仿宋" w:cs="仿宋"/>
          <w:sz w:val="32"/>
          <w:szCs w:val="32"/>
        </w:rPr>
        <w:t>六、本方案和“招募公告”有冲突之处，以本方案为准，末尽之处以“招募公告”</w:t>
      </w:r>
      <w:r>
        <w:rPr>
          <w:rFonts w:hint="eastAsia" w:ascii="仿宋" w:hAnsi="仿宋" w:eastAsia="仿宋" w:cs="仿宋"/>
          <w:sz w:val="32"/>
          <w:szCs w:val="32"/>
        </w:rPr>
        <w:t>及尽职调查时管理人提供的资料</w:t>
      </w:r>
      <w:r>
        <w:rPr>
          <w:rFonts w:ascii="仿宋" w:hAnsi="仿宋" w:eastAsia="仿宋" w:cs="仿宋"/>
          <w:sz w:val="32"/>
          <w:szCs w:val="32"/>
        </w:rPr>
        <w:t>为准。</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ascii="仿宋" w:hAnsi="仿宋" w:eastAsia="仿宋" w:cs="仿宋"/>
          <w:sz w:val="32"/>
          <w:szCs w:val="32"/>
        </w:rPr>
        <w:t>七</w:t>
      </w:r>
      <w:r>
        <w:rPr>
          <w:rFonts w:hint="eastAsia" w:ascii="仿宋" w:hAnsi="仿宋" w:eastAsia="仿宋" w:cs="仿宋"/>
          <w:sz w:val="32"/>
          <w:szCs w:val="32"/>
        </w:rPr>
        <w:t>、本</w:t>
      </w:r>
      <w:r>
        <w:rPr>
          <w:rFonts w:ascii="仿宋" w:hAnsi="仿宋" w:eastAsia="仿宋" w:cs="仿宋"/>
          <w:sz w:val="32"/>
          <w:szCs w:val="32"/>
        </w:rPr>
        <w:t>方案</w:t>
      </w:r>
      <w:r>
        <w:rPr>
          <w:rFonts w:hint="eastAsia" w:ascii="仿宋" w:hAnsi="仿宋" w:eastAsia="仿宋" w:cs="仿宋"/>
          <w:sz w:val="32"/>
          <w:szCs w:val="32"/>
        </w:rPr>
        <w:t>由管理人起草，并征询市政府</w:t>
      </w:r>
      <w:r>
        <w:rPr>
          <w:rFonts w:ascii="仿宋" w:hAnsi="仿宋" w:eastAsia="仿宋" w:cs="仿宋"/>
          <w:sz w:val="32"/>
          <w:szCs w:val="32"/>
        </w:rPr>
        <w:t>及</w:t>
      </w:r>
      <w:r>
        <w:rPr>
          <w:rFonts w:hint="eastAsia" w:ascii="仿宋" w:hAnsi="仿宋" w:eastAsia="仿宋" w:cs="仿宋"/>
          <w:sz w:val="32"/>
          <w:szCs w:val="32"/>
        </w:rPr>
        <w:t xml:space="preserve">相关部门意见，报丰城市人民法院同意，由管理人负责解释。 </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p>
    <w:p>
      <w:pPr>
        <w:keepNext w:val="0"/>
        <w:keepLines w:val="0"/>
        <w:pageBreakBefore w:val="0"/>
        <w:widowControl w:val="0"/>
        <w:kinsoku/>
        <w:wordWrap/>
        <w:overflowPunct/>
        <w:topLinePunct w:val="0"/>
        <w:autoSpaceDN/>
        <w:bidi w:val="0"/>
        <w:adjustRightInd/>
        <w:snapToGrid/>
        <w:spacing w:line="540" w:lineRule="exact"/>
        <w:textAlignment w:val="auto"/>
        <w:rPr>
          <w:rFonts w:ascii="仿宋" w:hAnsi="仿宋" w:eastAsia="仿宋" w:cs="仿宋"/>
          <w:sz w:val="32"/>
          <w:szCs w:val="32"/>
        </w:rPr>
      </w:pPr>
    </w:p>
    <w:p>
      <w:pPr>
        <w:keepNext w:val="0"/>
        <w:keepLines w:val="0"/>
        <w:pageBreakBefore w:val="0"/>
        <w:widowControl w:val="0"/>
        <w:kinsoku/>
        <w:wordWrap/>
        <w:overflowPunct/>
        <w:topLinePunct w:val="0"/>
        <w:autoSpaceDN/>
        <w:bidi w:val="0"/>
        <w:adjustRightInd/>
        <w:snapToGrid/>
        <w:spacing w:line="540" w:lineRule="exact"/>
        <w:jc w:val="right"/>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N/>
        <w:bidi w:val="0"/>
        <w:adjustRightInd/>
        <w:snapToGrid/>
        <w:spacing w:line="540" w:lineRule="exact"/>
        <w:jc w:val="right"/>
        <w:textAlignment w:val="auto"/>
        <w:rPr>
          <w:rFonts w:ascii="黑体" w:hAnsi="黑体" w:eastAsia="黑体" w:cs="黑体"/>
          <w:b/>
          <w:bCs/>
          <w:sz w:val="32"/>
          <w:szCs w:val="32"/>
        </w:rPr>
      </w:pPr>
      <w:r>
        <w:rPr>
          <w:rFonts w:hint="eastAsia" w:ascii="仿宋" w:hAnsi="仿宋" w:eastAsia="仿宋" w:cs="仿宋"/>
          <w:sz w:val="32"/>
          <w:szCs w:val="32"/>
        </w:rPr>
        <w:t>二〇二一年二月</w:t>
      </w:r>
      <w:r>
        <w:rPr>
          <w:rFonts w:hint="eastAsia" w:ascii="仿宋" w:hAnsi="仿宋" w:eastAsia="仿宋" w:cs="仿宋"/>
          <w:sz w:val="32"/>
          <w:szCs w:val="32"/>
          <w:lang w:val="en-US" w:eastAsia="zh-CN"/>
        </w:rPr>
        <w:t>二十四</w:t>
      </w:r>
      <w:r>
        <w:rPr>
          <w:rFonts w:hint="eastAsia" w:ascii="仿宋" w:hAnsi="仿宋" w:eastAsia="仿宋" w:cs="仿宋"/>
          <w:sz w:val="32"/>
          <w:szCs w:val="32"/>
        </w:rPr>
        <w:t>日</w:t>
      </w:r>
    </w:p>
    <w:p>
      <w:pPr>
        <w:keepNext w:val="0"/>
        <w:keepLines w:val="0"/>
        <w:pageBreakBefore w:val="0"/>
        <w:widowControl w:val="0"/>
        <w:kinsoku/>
        <w:wordWrap/>
        <w:overflowPunct/>
        <w:topLinePunct w:val="0"/>
        <w:autoSpaceDE w:val="0"/>
        <w:autoSpaceDN/>
        <w:bidi w:val="0"/>
        <w:adjustRightInd/>
        <w:snapToGrid/>
        <w:spacing w:line="540" w:lineRule="exact"/>
        <w:textAlignment w:val="auto"/>
        <w:rPr>
          <w:rFonts w:ascii="黑体" w:hAnsi="黑体" w:eastAsia="黑体" w:cs="黑体"/>
          <w:b/>
          <w:bCs/>
          <w:sz w:val="32"/>
          <w:szCs w:val="32"/>
        </w:rPr>
      </w:pPr>
    </w:p>
    <w:p>
      <w:pPr>
        <w:keepNext w:val="0"/>
        <w:keepLines w:val="0"/>
        <w:pageBreakBefore w:val="0"/>
        <w:widowControl w:val="0"/>
        <w:kinsoku/>
        <w:wordWrap/>
        <w:overflowPunct/>
        <w:topLinePunct w:val="0"/>
        <w:autoSpaceDE w:val="0"/>
        <w:autoSpaceDN/>
        <w:bidi w:val="0"/>
        <w:adjustRightInd/>
        <w:snapToGrid/>
        <w:spacing w:line="540" w:lineRule="exact"/>
        <w:textAlignment w:val="auto"/>
        <w:rPr>
          <w:rFonts w:ascii="黑体" w:hAnsi="黑体" w:eastAsia="黑体" w:cs="黑体"/>
          <w:b/>
          <w:bCs/>
          <w:sz w:val="32"/>
          <w:szCs w:val="32"/>
        </w:rPr>
      </w:pPr>
    </w:p>
    <w:p>
      <w:pPr>
        <w:keepNext w:val="0"/>
        <w:keepLines w:val="0"/>
        <w:pageBreakBefore w:val="0"/>
        <w:widowControl w:val="0"/>
        <w:kinsoku/>
        <w:wordWrap/>
        <w:overflowPunct/>
        <w:topLinePunct w:val="0"/>
        <w:autoSpaceDN/>
        <w:bidi w:val="0"/>
        <w:adjustRightInd/>
        <w:snapToGrid/>
        <w:spacing w:line="540" w:lineRule="exact"/>
        <w:ind w:firstLine="600" w:firstLineChars="200"/>
        <w:textAlignment w:val="auto"/>
        <w:rPr>
          <w:rFonts w:hint="eastAsia" w:ascii="黑体" w:hAnsi="黑体" w:eastAsia="黑体" w:cs="黑体"/>
          <w:sz w:val="30"/>
          <w:szCs w:val="30"/>
        </w:rPr>
      </w:pPr>
    </w:p>
    <w:p>
      <w:pPr>
        <w:keepNext w:val="0"/>
        <w:keepLines w:val="0"/>
        <w:pageBreakBefore w:val="0"/>
        <w:widowControl w:val="0"/>
        <w:kinsoku/>
        <w:wordWrap/>
        <w:overflowPunct/>
        <w:topLinePunct w:val="0"/>
        <w:autoSpaceDN/>
        <w:bidi w:val="0"/>
        <w:adjustRightInd/>
        <w:snapToGrid/>
        <w:spacing w:line="540" w:lineRule="exact"/>
        <w:ind w:firstLine="600" w:firstLineChars="200"/>
        <w:textAlignment w:val="auto"/>
        <w:rPr>
          <w:rFonts w:hint="eastAsia" w:ascii="黑体" w:hAnsi="黑体" w:eastAsia="黑体" w:cs="黑体"/>
          <w:sz w:val="30"/>
          <w:szCs w:val="30"/>
        </w:rPr>
      </w:pPr>
    </w:p>
    <w:p>
      <w:pPr>
        <w:keepNext w:val="0"/>
        <w:keepLines w:val="0"/>
        <w:pageBreakBefore w:val="0"/>
        <w:widowControl w:val="0"/>
        <w:kinsoku/>
        <w:wordWrap/>
        <w:overflowPunct/>
        <w:topLinePunct w:val="0"/>
        <w:autoSpaceDN/>
        <w:bidi w:val="0"/>
        <w:adjustRightInd/>
        <w:snapToGrid/>
        <w:spacing w:line="540" w:lineRule="exact"/>
        <w:ind w:firstLine="600" w:firstLineChars="200"/>
        <w:textAlignment w:val="auto"/>
        <w:rPr>
          <w:rFonts w:hint="eastAsia" w:ascii="仿宋" w:hAnsi="仿宋" w:eastAsia="仿宋" w:cs="仿宋"/>
          <w:sz w:val="30"/>
          <w:szCs w:val="30"/>
        </w:rPr>
      </w:pPr>
      <w:bookmarkStart w:id="0" w:name="_GoBack"/>
      <w:bookmarkEnd w:id="0"/>
      <w:r>
        <w:rPr>
          <w:rFonts w:hint="eastAsia" w:ascii="黑体" w:hAnsi="黑体" w:eastAsia="黑体" w:cs="黑体"/>
          <w:sz w:val="30"/>
          <w:szCs w:val="30"/>
        </w:rPr>
        <w:t>附件：</w:t>
      </w:r>
      <w:r>
        <w:rPr>
          <w:rFonts w:hint="eastAsia" w:ascii="仿宋" w:hAnsi="仿宋" w:eastAsia="仿宋" w:cs="仿宋"/>
          <w:sz w:val="30"/>
          <w:szCs w:val="30"/>
        </w:rPr>
        <w:t>评分标准</w:t>
      </w:r>
    </w:p>
    <w:p>
      <w:pPr>
        <w:keepNext w:val="0"/>
        <w:keepLines w:val="0"/>
        <w:pageBreakBefore w:val="0"/>
        <w:widowControl w:val="0"/>
        <w:kinsoku/>
        <w:wordWrap/>
        <w:overflowPunct/>
        <w:topLinePunct w:val="0"/>
        <w:autoSpaceDN/>
        <w:bidi w:val="0"/>
        <w:adjustRightInd/>
        <w:snapToGrid/>
        <w:spacing w:line="540" w:lineRule="exact"/>
        <w:textAlignment w:val="auto"/>
        <w:rPr>
          <w:rFonts w:hint="eastAsia" w:ascii="仿宋" w:hAnsi="仿宋" w:eastAsia="仿宋" w:cs="仿宋"/>
          <w:sz w:val="30"/>
          <w:szCs w:val="30"/>
        </w:rPr>
      </w:pPr>
      <w:r>
        <w:rPr>
          <w:rFonts w:hint="eastAsia" w:ascii="仿宋" w:hAnsi="仿宋" w:eastAsia="仿宋" w:cs="仿宋"/>
          <w:sz w:val="30"/>
          <w:szCs w:val="30"/>
        </w:rPr>
        <w:br w:type="page"/>
      </w:r>
    </w:p>
    <w:p>
      <w:pPr>
        <w:keepNext w:val="0"/>
        <w:keepLines w:val="0"/>
        <w:pageBreakBefore w:val="0"/>
        <w:widowControl w:val="0"/>
        <w:kinsoku/>
        <w:wordWrap/>
        <w:overflowPunct/>
        <w:topLinePunct w:val="0"/>
        <w:autoSpaceDN/>
        <w:bidi w:val="0"/>
        <w:adjustRightInd/>
        <w:snapToGrid/>
        <w:spacing w:line="540" w:lineRule="exact"/>
        <w:ind w:firstLine="600" w:firstLineChars="200"/>
        <w:textAlignment w:val="auto"/>
        <w:rPr>
          <w:rFonts w:hint="eastAsia" w:ascii="仿宋" w:hAnsi="仿宋" w:eastAsia="仿宋" w:cs="仿宋"/>
          <w:sz w:val="30"/>
          <w:szCs w:val="30"/>
        </w:rPr>
      </w:pPr>
    </w:p>
    <w:p>
      <w:pPr>
        <w:keepNext w:val="0"/>
        <w:keepLines w:val="0"/>
        <w:pageBreakBefore w:val="0"/>
        <w:widowControl w:val="0"/>
        <w:kinsoku/>
        <w:wordWrap/>
        <w:overflowPunct/>
        <w:topLinePunct w:val="0"/>
        <w:autoSpaceDE w:val="0"/>
        <w:autoSpaceDN/>
        <w:bidi w:val="0"/>
        <w:adjustRightInd/>
        <w:snapToGrid/>
        <w:spacing w:line="540" w:lineRule="exact"/>
        <w:textAlignment w:val="auto"/>
        <w:rPr>
          <w:rFonts w:ascii="黑体" w:hAnsi="黑体" w:eastAsia="黑体" w:cs="黑体"/>
          <w:b/>
          <w:bCs/>
          <w:sz w:val="32"/>
          <w:szCs w:val="32"/>
        </w:rPr>
      </w:pPr>
      <w:r>
        <w:rPr>
          <w:rFonts w:hint="eastAsia" w:ascii="黑体" w:hAnsi="黑体" w:eastAsia="黑体" w:cs="黑体"/>
          <w:b/>
          <w:bCs/>
          <w:sz w:val="32"/>
          <w:szCs w:val="32"/>
        </w:rPr>
        <w:t>附件：</w:t>
      </w:r>
    </w:p>
    <w:p>
      <w:pPr>
        <w:keepNext w:val="0"/>
        <w:keepLines w:val="0"/>
        <w:pageBreakBefore w:val="0"/>
        <w:widowControl w:val="0"/>
        <w:kinsoku/>
        <w:wordWrap/>
        <w:overflowPunct/>
        <w:topLinePunct w:val="0"/>
        <w:autoSpaceDE w:val="0"/>
        <w:autoSpaceDN/>
        <w:bidi w:val="0"/>
        <w:adjustRightInd/>
        <w:snapToGrid/>
        <w:spacing w:line="540" w:lineRule="exact"/>
        <w:ind w:firstLine="723" w:firstLineChars="200"/>
        <w:jc w:val="center"/>
        <w:textAlignment w:val="auto"/>
        <w:rPr>
          <w:rFonts w:ascii="方正小标宋简体" w:hAnsi="方正小标宋简体"/>
          <w:b/>
          <w:bCs/>
          <w:sz w:val="36"/>
          <w:szCs w:val="36"/>
        </w:rPr>
      </w:pPr>
      <w:r>
        <w:rPr>
          <w:rFonts w:hint="eastAsia" w:ascii="方正小标宋简体" w:hAnsi="方正小标宋简体" w:eastAsia="方正小标宋简体" w:cs="方正小标宋简体"/>
          <w:b/>
          <w:bCs/>
          <w:sz w:val="36"/>
          <w:szCs w:val="36"/>
        </w:rPr>
        <w:t>评分标准</w:t>
      </w:r>
    </w:p>
    <w:p>
      <w:pPr>
        <w:keepNext w:val="0"/>
        <w:keepLines w:val="0"/>
        <w:pageBreakBefore w:val="0"/>
        <w:widowControl w:val="0"/>
        <w:kinsoku/>
        <w:wordWrap/>
        <w:overflowPunct/>
        <w:topLinePunct w:val="0"/>
        <w:autoSpaceDE w:val="0"/>
        <w:autoSpaceDN/>
        <w:bidi w:val="0"/>
        <w:adjustRightInd/>
        <w:snapToGrid/>
        <w:spacing w:line="54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一、重整对价（本条总分33分）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根据化解债务原则，投资人关于重整对价应有明确报价。</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（一）</w:t>
      </w:r>
      <w:r>
        <w:rPr>
          <w:rFonts w:ascii="仿宋" w:hAnsi="仿宋" w:eastAsia="仿宋" w:cs="仿宋"/>
          <w:sz w:val="32"/>
          <w:szCs w:val="32"/>
        </w:rPr>
        <w:t>管理人核定重整投资底价为X亿元，</w:t>
      </w:r>
      <w:r>
        <w:rPr>
          <w:rFonts w:hint="eastAsia" w:ascii="仿宋" w:hAnsi="仿宋" w:eastAsia="仿宋" w:cs="仿宋"/>
          <w:sz w:val="32"/>
          <w:szCs w:val="32"/>
        </w:rPr>
        <w:t>投资人重整对价报价低于核定底价X亿元的终止对其投资方案评分。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（二）投资</w:t>
      </w:r>
      <w:r>
        <w:rPr>
          <w:rFonts w:ascii="仿宋" w:hAnsi="仿宋" w:eastAsia="仿宋" w:cs="仿宋"/>
          <w:sz w:val="32"/>
          <w:szCs w:val="32"/>
        </w:rPr>
        <w:t>人</w:t>
      </w:r>
      <w:r>
        <w:rPr>
          <w:rFonts w:hint="eastAsia" w:ascii="仿宋" w:hAnsi="仿宋" w:eastAsia="仿宋" w:cs="仿宋"/>
          <w:sz w:val="32"/>
          <w:szCs w:val="32"/>
        </w:rPr>
        <w:t>重整对价报所高于或等于</w:t>
      </w:r>
      <w:r>
        <w:rPr>
          <w:rFonts w:ascii="仿宋" w:hAnsi="仿宋" w:eastAsia="仿宋" w:cs="仿宋"/>
          <w:sz w:val="32"/>
          <w:szCs w:val="32"/>
        </w:rPr>
        <w:t>核定底价X亿元的</w:t>
      </w:r>
      <w:r>
        <w:rPr>
          <w:rFonts w:hint="eastAsia" w:ascii="仿宋" w:hAnsi="仿宋" w:eastAsia="仿宋" w:cs="仿宋"/>
          <w:sz w:val="32"/>
          <w:szCs w:val="32"/>
        </w:rPr>
        <w:t>评分如下：</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1.投资人偿债资金报价高于X亿元低于保留价的，得2分；报价大于或等于保留价的得7分，本项最高得分7分。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2.投资人在核定底价X亿元基础上增加报价，按增加金额评分，每500万元为0.5分（以500万为单位，不足500万元的不计分），本项最高得分20分；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核定底价X亿元以上增加部分，投资人须承诺在法院裁定批准重整计划之日6个月内付清，不作前列承诺，该增加报价部分不得分；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3.核定底价X亿元以上增加部分，投资人承诺到</w:t>
      </w:r>
      <w:r>
        <w:rPr>
          <w:rFonts w:hint="eastAsia" w:ascii="仿宋" w:hAnsi="仿宋" w:eastAsia="仿宋" w:cs="仿宋"/>
          <w:sz w:val="32"/>
          <w:szCs w:val="32"/>
          <w:lang w:val="en-US" w:eastAsia="zh-CN"/>
        </w:rPr>
        <w:t>账</w:t>
      </w:r>
      <w:r>
        <w:rPr>
          <w:rFonts w:hint="eastAsia" w:ascii="仿宋" w:hAnsi="仿宋" w:eastAsia="仿宋" w:cs="仿宋"/>
          <w:sz w:val="32"/>
          <w:szCs w:val="32"/>
        </w:rPr>
        <w:t>时间另行计分，以月为单位，每1个月计1分，即第1个月内付清得6分，第2个月内付清得5分，以此核减，本项最高得分6分；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如不按期支付，除每日按应付款万分之五计收逾期付款滞纳金外，还应支付未付款项30%的金额作为违约金。投资人不作前列承诺，该增加部分承诺到</w:t>
      </w:r>
      <w:r>
        <w:rPr>
          <w:rFonts w:hint="eastAsia" w:ascii="仿宋" w:hAnsi="仿宋" w:eastAsia="仿宋" w:cs="仿宋"/>
          <w:sz w:val="32"/>
          <w:szCs w:val="32"/>
          <w:lang w:val="en-US" w:eastAsia="zh-CN"/>
        </w:rPr>
        <w:t>账</w:t>
      </w:r>
      <w:r>
        <w:rPr>
          <w:rFonts w:hint="eastAsia" w:ascii="仿宋" w:hAnsi="仿宋" w:eastAsia="仿宋" w:cs="仿宋"/>
          <w:sz w:val="32"/>
          <w:szCs w:val="32"/>
        </w:rPr>
        <w:t>项不得分。</w:t>
      </w:r>
    </w:p>
    <w:p>
      <w:pPr>
        <w:keepNext w:val="0"/>
        <w:keepLines w:val="0"/>
        <w:pageBreakBefore w:val="0"/>
        <w:widowControl w:val="0"/>
        <w:kinsoku/>
        <w:wordWrap/>
        <w:overflowPunct/>
        <w:topLinePunct w:val="0"/>
        <w:autoSpaceDE w:val="0"/>
        <w:autoSpaceDN/>
        <w:bidi w:val="0"/>
        <w:adjustRightInd/>
        <w:snapToGrid/>
        <w:spacing w:line="54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二、偿债资金一次性到</w:t>
      </w:r>
      <w:r>
        <w:rPr>
          <w:rFonts w:hint="eastAsia" w:ascii="仿宋" w:hAnsi="仿宋" w:eastAsia="仿宋" w:cs="仿宋"/>
          <w:b/>
          <w:bCs/>
          <w:sz w:val="32"/>
          <w:szCs w:val="32"/>
          <w:lang w:val="en-US" w:eastAsia="zh-CN"/>
        </w:rPr>
        <w:t>账</w:t>
      </w:r>
      <w:r>
        <w:rPr>
          <w:rFonts w:hint="eastAsia" w:ascii="仿宋" w:hAnsi="仿宋" w:eastAsia="仿宋" w:cs="仿宋"/>
          <w:b/>
          <w:bCs/>
          <w:sz w:val="32"/>
          <w:szCs w:val="32"/>
        </w:rPr>
        <w:t>（本条总分为6分）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投资人签订“重整投资协议”后交纳8000万元重整投资保证金的同时，愿意另外交纳部分偿债资金给管理人以证明有合同履约能力的，按另缴偿债资金金额评分，每5000万元为1分（以5000万元为单位，不足5000万元的不计分），本项最高得分6分。</w:t>
      </w:r>
    </w:p>
    <w:p>
      <w:pPr>
        <w:keepNext w:val="0"/>
        <w:keepLines w:val="0"/>
        <w:pageBreakBefore w:val="0"/>
        <w:widowControl w:val="0"/>
        <w:kinsoku/>
        <w:wordWrap/>
        <w:overflowPunct/>
        <w:topLinePunct w:val="0"/>
        <w:autoSpaceDE w:val="0"/>
        <w:autoSpaceDN/>
        <w:bidi w:val="0"/>
        <w:adjustRightInd/>
        <w:snapToGrid/>
        <w:spacing w:line="54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三、偿债资金支付方式</w:t>
      </w:r>
      <w:r>
        <w:rPr>
          <w:rFonts w:hAnsi="仿宋" w:eastAsia="仿宋" w:cs="仿宋"/>
          <w:b/>
          <w:bCs/>
          <w:sz w:val="32"/>
          <w:szCs w:val="32"/>
        </w:rPr>
        <w:t>及</w:t>
      </w:r>
      <w:r>
        <w:rPr>
          <w:rFonts w:hint="eastAsia" w:hAnsi="仿宋" w:eastAsia="仿宋" w:cs="仿宋"/>
          <w:b/>
          <w:bCs/>
          <w:sz w:val="32"/>
          <w:szCs w:val="32"/>
        </w:rPr>
        <w:t>期限</w:t>
      </w:r>
      <w:r>
        <w:rPr>
          <w:rFonts w:ascii="仿宋" w:hAnsi="仿宋" w:eastAsia="仿宋" w:cs="仿宋"/>
          <w:b/>
          <w:bCs/>
          <w:sz w:val="32"/>
          <w:szCs w:val="32"/>
        </w:rPr>
        <w:t>（本</w:t>
      </w:r>
      <w:r>
        <w:rPr>
          <w:rFonts w:hint="eastAsia" w:ascii="仿宋" w:hAnsi="仿宋" w:eastAsia="仿宋" w:cs="仿宋"/>
          <w:b/>
          <w:bCs/>
          <w:sz w:val="32"/>
          <w:szCs w:val="32"/>
        </w:rPr>
        <w:t>条</w:t>
      </w:r>
      <w:r>
        <w:rPr>
          <w:rFonts w:ascii="仿宋" w:hAnsi="仿宋" w:eastAsia="仿宋" w:cs="仿宋"/>
          <w:b/>
          <w:bCs/>
          <w:sz w:val="32"/>
          <w:szCs w:val="32"/>
        </w:rPr>
        <w:t>总分</w:t>
      </w:r>
      <w:r>
        <w:rPr>
          <w:rFonts w:hint="eastAsia" w:ascii="仿宋" w:hAnsi="仿宋" w:eastAsia="仿宋" w:cs="仿宋"/>
          <w:b/>
          <w:bCs/>
          <w:sz w:val="32"/>
          <w:szCs w:val="32"/>
        </w:rPr>
        <w:t>31</w:t>
      </w:r>
      <w:r>
        <w:rPr>
          <w:rFonts w:ascii="仿宋" w:hAnsi="仿宋" w:eastAsia="仿宋" w:cs="仿宋"/>
          <w:b/>
          <w:bCs/>
          <w:sz w:val="32"/>
          <w:szCs w:val="32"/>
        </w:rPr>
        <w:t>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ascii="仿宋" w:hAnsi="仿宋" w:eastAsia="仿宋" w:cs="仿宋"/>
          <w:sz w:val="32"/>
          <w:szCs w:val="32"/>
        </w:rPr>
        <w:t>（</w:t>
      </w:r>
      <w:r>
        <w:rPr>
          <w:rFonts w:hint="eastAsia" w:ascii="仿宋" w:hAnsi="仿宋" w:eastAsia="仿宋" w:cs="仿宋"/>
          <w:sz w:val="32"/>
          <w:szCs w:val="32"/>
        </w:rPr>
        <w:t>一）根据化解债务原则，投资人关于需100%支付的债权及费用应有明确承诺（总分10分）。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1.税款债权、共益债务、破产费用、劳动债权</w:t>
      </w:r>
      <w:r>
        <w:rPr>
          <w:rFonts w:hint="eastAsia" w:ascii="仿宋" w:hAnsi="仿宋" w:eastAsia="仿宋" w:cs="仿宋"/>
          <w:sz w:val="32"/>
          <w:szCs w:val="32"/>
          <w:lang w:val="en-US" w:eastAsia="zh-CN"/>
        </w:rPr>
        <w:t>等</w:t>
      </w:r>
      <w:r>
        <w:rPr>
          <w:rFonts w:hint="eastAsia" w:ascii="仿宋" w:hAnsi="仿宋" w:eastAsia="仿宋" w:cs="仿宋"/>
          <w:sz w:val="32"/>
          <w:szCs w:val="32"/>
        </w:rPr>
        <w:t>偿债资金</w:t>
      </w:r>
      <w:r>
        <w:rPr>
          <w:rFonts w:hint="eastAsia" w:ascii="仿宋" w:hAnsi="仿宋" w:eastAsia="仿宋" w:cs="仿宋"/>
          <w:sz w:val="32"/>
          <w:szCs w:val="32"/>
          <w:lang w:val="en-US" w:eastAsia="zh-CN"/>
        </w:rPr>
        <w:t>应当</w:t>
      </w:r>
      <w:r>
        <w:rPr>
          <w:rFonts w:hint="eastAsia" w:ascii="仿宋" w:hAnsi="仿宋" w:eastAsia="仿宋" w:cs="仿宋"/>
          <w:sz w:val="32"/>
          <w:szCs w:val="32"/>
        </w:rPr>
        <w:t>有明确支付期限及支付比例（最长期限不得超过法院裁定批准重整计划之日起1个月；可在已缴偿债资金中扣除，但请备注）</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根据上述债权及费</w:t>
      </w:r>
      <w:r>
        <w:rPr>
          <w:rFonts w:ascii="仿宋" w:hAnsi="仿宋" w:eastAsia="仿宋" w:cs="仿宋"/>
          <w:sz w:val="32"/>
          <w:szCs w:val="32"/>
        </w:rPr>
        <w:t>用</w:t>
      </w:r>
      <w:r>
        <w:rPr>
          <w:rFonts w:hint="eastAsia" w:ascii="仿宋" w:hAnsi="仿宋" w:eastAsia="仿宋" w:cs="仿宋"/>
          <w:sz w:val="32"/>
          <w:szCs w:val="32"/>
        </w:rPr>
        <w:t>金额比例，税款债权</w:t>
      </w:r>
      <w:r>
        <w:rPr>
          <w:rFonts w:ascii="仿宋" w:hAnsi="仿宋" w:eastAsia="仿宋" w:cs="仿宋"/>
          <w:sz w:val="32"/>
          <w:szCs w:val="32"/>
        </w:rPr>
        <w:t>及</w:t>
      </w:r>
      <w:r>
        <w:rPr>
          <w:rFonts w:hint="eastAsia" w:ascii="仿宋" w:hAnsi="仿宋" w:eastAsia="仿宋" w:cs="仿宋"/>
          <w:sz w:val="32"/>
          <w:szCs w:val="32"/>
        </w:rPr>
        <w:t>共益债务各</w:t>
      </w:r>
      <w:r>
        <w:rPr>
          <w:rFonts w:ascii="仿宋" w:hAnsi="仿宋" w:eastAsia="仿宋" w:cs="仿宋"/>
          <w:sz w:val="32"/>
          <w:szCs w:val="32"/>
        </w:rPr>
        <w:t>计3</w:t>
      </w:r>
      <w:r>
        <w:rPr>
          <w:rFonts w:hint="eastAsia" w:ascii="仿宋" w:hAnsi="仿宋" w:eastAsia="仿宋" w:cs="仿宋"/>
          <w:sz w:val="32"/>
          <w:szCs w:val="32"/>
        </w:rPr>
        <w:t>分，破产费</w:t>
      </w:r>
      <w:r>
        <w:rPr>
          <w:rFonts w:ascii="仿宋" w:hAnsi="仿宋" w:eastAsia="仿宋" w:cs="仿宋"/>
          <w:sz w:val="32"/>
          <w:szCs w:val="32"/>
        </w:rPr>
        <w:t>用</w:t>
      </w:r>
      <w:r>
        <w:rPr>
          <w:rFonts w:hint="eastAsia" w:ascii="仿宋" w:hAnsi="仿宋" w:eastAsia="仿宋" w:cs="仿宋"/>
          <w:sz w:val="32"/>
          <w:szCs w:val="32"/>
        </w:rPr>
        <w:t>及劳动债权各计</w:t>
      </w:r>
      <w:r>
        <w:rPr>
          <w:rFonts w:ascii="仿宋" w:hAnsi="仿宋" w:eastAsia="仿宋" w:cs="仿宋"/>
          <w:sz w:val="32"/>
          <w:szCs w:val="32"/>
        </w:rPr>
        <w:t>2</w:t>
      </w:r>
      <w:r>
        <w:rPr>
          <w:rFonts w:hint="eastAsia" w:ascii="仿宋" w:hAnsi="仿宋" w:eastAsia="仿宋" w:cs="仿宋"/>
          <w:sz w:val="32"/>
          <w:szCs w:val="32"/>
        </w:rPr>
        <w:t>分，本项最高得分10分。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.如投资方案未明确支付期限或超过上述最长期限，此项不得分。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（二）根据化解债务原则，管理人拟定的重整计划草案涉及优先债权内容如下（总分21分）：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1.如金融债权、让与担保债权优先部分100%清偿，但分六年七期支付，并按LPR标准补偿相应利息；如金融债权、让与担保债权人选择按其债权比例（不低于70%）一次性受偿，投资人应一次性清偿；</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（1）投资人承诺同意上述重整计划草案内容，且对一次性支付金融债权有明确期限的（最长期限不得超过法院裁定批准重整计划之日起3个月；可在已缴偿债资金中扣除，但请备注）方可得分；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2</w:t>
      </w:r>
      <w:r>
        <w:rPr>
          <w:rFonts w:hint="eastAsia" w:ascii="仿宋" w:hAnsi="仿宋" w:eastAsia="仿宋" w:cs="仿宋"/>
          <w:sz w:val="32"/>
          <w:szCs w:val="32"/>
        </w:rPr>
        <w:t>）以月为单位，每月计5分，即投资人承诺同意上述重整计划草案内容，且对一次性支付金融债权承诺在第1个月内付清的得15分，以后依次核减，本项最高得分15分；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3</w:t>
      </w:r>
      <w:r>
        <w:rPr>
          <w:rFonts w:hint="eastAsia" w:ascii="仿宋" w:hAnsi="仿宋" w:eastAsia="仿宋" w:cs="仿宋"/>
          <w:sz w:val="32"/>
          <w:szCs w:val="32"/>
        </w:rPr>
        <w:t>）</w:t>
      </w:r>
      <w:r>
        <w:rPr>
          <w:rFonts w:ascii="仿宋" w:hAnsi="仿宋" w:eastAsia="仿宋" w:cs="仿宋"/>
          <w:sz w:val="32"/>
          <w:szCs w:val="32"/>
        </w:rPr>
        <w:t>没有承诺或承诺支付期限超过3个月的该项不得分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2.工程款优先债权部分100%清偿，但分三年四期支付，并按LPR标准补偿相应利息；如工程款债权人选择按其债权比例（不低于70%）一次性受偿，投资人应一次性清偿：</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1</w:t>
      </w:r>
      <w:r>
        <w:rPr>
          <w:rFonts w:hint="eastAsia" w:ascii="仿宋" w:hAnsi="仿宋" w:eastAsia="仿宋" w:cs="仿宋"/>
          <w:sz w:val="32"/>
          <w:szCs w:val="32"/>
        </w:rPr>
        <w:t>）投资人承诺同意上述重整计划草案内容，且对一次性支付工程款债权有明确期限的（最长期限不得超过法院裁定批准重整计划之日起3个月；可在已缴偿债资金中扣除，但请备注）方可得分；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2</w:t>
      </w:r>
      <w:r>
        <w:rPr>
          <w:rFonts w:hint="eastAsia" w:ascii="仿宋" w:hAnsi="仿宋" w:eastAsia="仿宋" w:cs="仿宋"/>
          <w:sz w:val="32"/>
          <w:szCs w:val="32"/>
        </w:rPr>
        <w:t>）以月为单位，每月计2分，</w:t>
      </w:r>
      <w:r>
        <w:rPr>
          <w:rFonts w:hint="eastAsia" w:ascii="仿宋" w:hAnsi="仿宋" w:eastAsia="仿宋" w:cs="仿宋"/>
          <w:sz w:val="32"/>
          <w:szCs w:val="32"/>
          <w:lang w:val="en-US" w:eastAsia="zh-CN"/>
        </w:rPr>
        <w:t>即</w:t>
      </w:r>
      <w:r>
        <w:rPr>
          <w:rFonts w:hint="eastAsia" w:ascii="仿宋" w:hAnsi="仿宋" w:eastAsia="仿宋" w:cs="仿宋"/>
          <w:sz w:val="32"/>
          <w:szCs w:val="32"/>
        </w:rPr>
        <w:t>对一次性支付工程款债权承诺在第1个月内付清的得6分，以后依此核减。本项最高得分6分。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没有</w:t>
      </w:r>
      <w:r>
        <w:rPr>
          <w:rFonts w:ascii="仿宋" w:hAnsi="仿宋" w:eastAsia="仿宋" w:cs="仿宋"/>
          <w:sz w:val="32"/>
          <w:szCs w:val="32"/>
        </w:rPr>
        <w:t>承诺或承诺支付期限超过3个月的该项不得分；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（三</w:t>
      </w:r>
      <w:r>
        <w:rPr>
          <w:rFonts w:ascii="仿宋" w:hAnsi="仿宋" w:eastAsia="仿宋" w:cs="仿宋"/>
          <w:sz w:val="32"/>
          <w:szCs w:val="32"/>
        </w:rPr>
        <w:t>）</w:t>
      </w:r>
      <w:r>
        <w:rPr>
          <w:rFonts w:hint="eastAsia" w:ascii="仿宋" w:hAnsi="仿宋" w:eastAsia="仿宋" w:cs="仿宋"/>
          <w:sz w:val="32"/>
          <w:szCs w:val="32"/>
        </w:rPr>
        <w:t>以上重整计划草案内容具体以法院裁定批准的重整计划为准。</w:t>
      </w:r>
    </w:p>
    <w:p>
      <w:pPr>
        <w:keepNext w:val="0"/>
        <w:keepLines w:val="0"/>
        <w:pageBreakBefore w:val="0"/>
        <w:widowControl w:val="0"/>
        <w:kinsoku/>
        <w:wordWrap/>
        <w:overflowPunct/>
        <w:topLinePunct w:val="0"/>
        <w:autoSpaceDE w:val="0"/>
        <w:autoSpaceDN/>
        <w:bidi w:val="0"/>
        <w:adjustRightInd/>
        <w:snapToGrid/>
        <w:spacing w:line="540" w:lineRule="exact"/>
        <w:ind w:firstLine="643" w:firstLineChars="200"/>
        <w:textAlignment w:val="auto"/>
        <w:rPr>
          <w:rFonts w:ascii="仿宋" w:hAnsi="仿宋" w:eastAsia="仿宋" w:cs="仿宋"/>
          <w:b/>
          <w:bCs/>
          <w:sz w:val="32"/>
          <w:szCs w:val="32"/>
        </w:rPr>
      </w:pPr>
      <w:r>
        <w:rPr>
          <w:rFonts w:ascii="仿宋" w:hAnsi="仿宋" w:eastAsia="仿宋" w:cs="仿宋"/>
          <w:b/>
          <w:bCs/>
          <w:sz w:val="32"/>
          <w:szCs w:val="32"/>
        </w:rPr>
        <w:t>四</w:t>
      </w:r>
      <w:r>
        <w:rPr>
          <w:rFonts w:hint="eastAsia" w:ascii="仿宋" w:hAnsi="仿宋" w:eastAsia="仿宋" w:cs="仿宋"/>
          <w:b/>
          <w:bCs/>
          <w:sz w:val="32"/>
          <w:szCs w:val="32"/>
        </w:rPr>
        <w:t>、重整经营方案（本条总分30分）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（一）工程竣工及商业运营（本项最高得分16分）</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1.重整投资人承诺在法院裁定批准重整计划后</w:t>
      </w:r>
      <w:r>
        <w:rPr>
          <w:rFonts w:hint="eastAsia" w:ascii="仿宋" w:hAnsi="仿宋" w:eastAsia="仿宋" w:cs="仿宋"/>
          <w:sz w:val="32"/>
          <w:szCs w:val="32"/>
          <w:lang w:val="en-US" w:eastAsia="zh-CN"/>
        </w:rPr>
        <w:t>2</w:t>
      </w:r>
      <w:r>
        <w:rPr>
          <w:rFonts w:hint="eastAsia" w:ascii="仿宋" w:hAnsi="仿宋" w:eastAsia="仿宋" w:cs="仿宋"/>
          <w:sz w:val="32"/>
          <w:szCs w:val="32"/>
        </w:rPr>
        <w:t>个月内组织专业团队进入项目现场实施重整建设，可得分2分；</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2.对于正负零以上的在建工程，在法院裁定批准重整计划后</w:t>
      </w:r>
      <w:r>
        <w:rPr>
          <w:rFonts w:hint="eastAsia" w:ascii="仿宋" w:hAnsi="仿宋" w:eastAsia="仿宋" w:cs="仿宋"/>
          <w:sz w:val="32"/>
          <w:szCs w:val="32"/>
          <w:lang w:val="en-US" w:eastAsia="zh-CN"/>
        </w:rPr>
        <w:t>15</w:t>
      </w:r>
      <w:r>
        <w:rPr>
          <w:rFonts w:hint="eastAsia" w:ascii="仿宋" w:hAnsi="仿宋" w:eastAsia="仿宋" w:cs="仿宋"/>
          <w:sz w:val="32"/>
          <w:szCs w:val="32"/>
        </w:rPr>
        <w:t>个月内完成施工并达到竣工验收备案条件，可得分4分；</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3.对于正负零以下工程，在法院裁定批准重整计划后</w:t>
      </w:r>
      <w:r>
        <w:rPr>
          <w:rFonts w:hint="eastAsia" w:ascii="仿宋" w:hAnsi="仿宋" w:eastAsia="仿宋" w:cs="仿宋"/>
          <w:sz w:val="32"/>
          <w:szCs w:val="32"/>
          <w:lang w:val="en-US" w:eastAsia="zh-CN"/>
        </w:rPr>
        <w:t>24</w:t>
      </w:r>
      <w:r>
        <w:rPr>
          <w:rFonts w:hint="eastAsia" w:ascii="仿宋" w:hAnsi="仿宋" w:eastAsia="仿宋" w:cs="仿宋"/>
          <w:sz w:val="32"/>
          <w:szCs w:val="32"/>
        </w:rPr>
        <w:t>个月内完成施工并达到竣工验收备案条件，可得分2分；</w:t>
      </w:r>
    </w:p>
    <w:p>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ascii="仿宋" w:hAnsi="仿宋" w:eastAsia="仿宋" w:cs="仿宋"/>
          <w:b/>
          <w:bCs/>
          <w:sz w:val="32"/>
          <w:szCs w:val="32"/>
        </w:rPr>
      </w:pPr>
      <w:r>
        <w:rPr>
          <w:rFonts w:hint="eastAsia" w:ascii="仿宋" w:hAnsi="仿宋" w:eastAsia="仿宋" w:cs="仿宋"/>
          <w:sz w:val="32"/>
          <w:szCs w:val="32"/>
        </w:rPr>
        <w:t>4.对于竣工验收后的商业，在竣工验收后</w:t>
      </w:r>
      <w:r>
        <w:rPr>
          <w:rFonts w:hint="eastAsia" w:ascii="仿宋" w:hAnsi="仿宋" w:eastAsia="仿宋" w:cs="仿宋"/>
          <w:sz w:val="32"/>
          <w:szCs w:val="32"/>
          <w:lang w:val="en-US" w:eastAsia="zh-CN"/>
        </w:rPr>
        <w:t>6</w:t>
      </w:r>
      <w:r>
        <w:rPr>
          <w:rFonts w:hint="eastAsia" w:ascii="仿宋" w:hAnsi="仿宋" w:eastAsia="仿宋" w:cs="仿宋"/>
          <w:sz w:val="32"/>
          <w:szCs w:val="32"/>
        </w:rPr>
        <w:t>个月内开业运营的商业面积应达到竣工验收商业部分的20%，在竣工验收后</w:t>
      </w:r>
      <w:r>
        <w:rPr>
          <w:rFonts w:hint="eastAsia" w:ascii="仿宋" w:hAnsi="仿宋" w:eastAsia="仿宋" w:cs="仿宋"/>
          <w:sz w:val="32"/>
          <w:szCs w:val="32"/>
          <w:lang w:val="en-US" w:eastAsia="zh-CN"/>
        </w:rPr>
        <w:t>12</w:t>
      </w:r>
      <w:r>
        <w:rPr>
          <w:rFonts w:hint="eastAsia" w:ascii="仿宋" w:hAnsi="仿宋" w:eastAsia="仿宋" w:cs="仿宋"/>
          <w:sz w:val="32"/>
          <w:szCs w:val="32"/>
        </w:rPr>
        <w:t>个月内开业运营的商业面积应达到竣工验收商业部分的50%，在竣工验收后</w:t>
      </w:r>
      <w:r>
        <w:rPr>
          <w:rFonts w:hint="eastAsia" w:ascii="仿宋" w:hAnsi="仿宋" w:eastAsia="仿宋" w:cs="仿宋"/>
          <w:sz w:val="32"/>
          <w:szCs w:val="32"/>
          <w:lang w:val="en-US" w:eastAsia="zh-CN"/>
        </w:rPr>
        <w:t>24</w:t>
      </w:r>
      <w:r>
        <w:rPr>
          <w:rFonts w:hint="eastAsia" w:ascii="仿宋" w:hAnsi="仿宋" w:eastAsia="仿宋" w:cs="仿宋"/>
          <w:sz w:val="32"/>
          <w:szCs w:val="32"/>
        </w:rPr>
        <w:t>个月内开业运营的商业面积应达到竣工验收商业部分的80%。可得分8分。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根据维护社会稳定原则，对于同创公司名下未办不动产权证的，投资人应承诺在具备办证条件下，积极为业主办理不动产权证，在投资方案中设定了履行办证保证金及缴纳期限、办证期限及逾期办证的处罚措施，本项最高得分4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1.投资人缴纳履行办证保证金金额作为评分标准，每200万元</w:t>
      </w:r>
      <w:r>
        <w:rPr>
          <w:rFonts w:hint="eastAsia" w:ascii="仿宋" w:hAnsi="仿宋" w:eastAsia="仿宋" w:cs="仿宋"/>
          <w:sz w:val="32"/>
          <w:szCs w:val="32"/>
          <w:lang w:val="en-US" w:eastAsia="zh-CN"/>
        </w:rPr>
        <w:t>计</w:t>
      </w:r>
      <w:r>
        <w:rPr>
          <w:rFonts w:hint="eastAsia" w:ascii="仿宋" w:hAnsi="仿宋" w:eastAsia="仿宋" w:cs="仿宋"/>
          <w:sz w:val="32"/>
          <w:szCs w:val="32"/>
        </w:rPr>
        <w:t>1分（以</w:t>
      </w:r>
      <w:r>
        <w:rPr>
          <w:rFonts w:hint="eastAsia" w:ascii="仿宋" w:hAnsi="仿宋" w:eastAsia="仿宋" w:cs="仿宋"/>
          <w:sz w:val="32"/>
          <w:szCs w:val="32"/>
          <w:lang w:val="en-US" w:eastAsia="zh-CN"/>
        </w:rPr>
        <w:t>200</w:t>
      </w:r>
      <w:r>
        <w:rPr>
          <w:rFonts w:hint="eastAsia" w:ascii="仿宋" w:hAnsi="仿宋" w:eastAsia="仿宋" w:cs="仿宋"/>
          <w:sz w:val="32"/>
          <w:szCs w:val="32"/>
        </w:rPr>
        <w:t>万元为单位，不足</w:t>
      </w:r>
      <w:r>
        <w:rPr>
          <w:rFonts w:hint="eastAsia" w:ascii="仿宋" w:hAnsi="仿宋" w:eastAsia="仿宋" w:cs="仿宋"/>
          <w:sz w:val="32"/>
          <w:szCs w:val="32"/>
          <w:lang w:val="en-US" w:eastAsia="zh-CN"/>
        </w:rPr>
        <w:t>200</w:t>
      </w:r>
      <w:r>
        <w:rPr>
          <w:rFonts w:hint="eastAsia" w:ascii="仿宋" w:hAnsi="仿宋" w:eastAsia="仿宋" w:cs="仿宋"/>
          <w:sz w:val="32"/>
          <w:szCs w:val="32"/>
        </w:rPr>
        <w:t>万元的不计分）；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2.未缴纳履行办证保证金的，本项不得分。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三）根据确保商业良性运营原则，投资人需制定详细具体的商业资金投入计划，包括但不限于拟投资的金额，投入金额的期限等，确保商业体稳步运营，且投资人承诺如投资金额未兑现应承担违约责任，本项最高分3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1.承诺投资金额以亿元为单位，每1亿元计1分；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2.无承担违约责任的承诺，本项不得分。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（四）根据维护社会稳定原则，投资方案中关于A区合同约定的返利有明确支付期限及支付比例的（最长期限不得超过法院裁定批准重整计划之日起3个月；可在已缴偿债资金中扣除，但请备注），本项最高分3分；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1.以月为单位，每月计1分，即第一个月内付清得3分，以此核减；</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2.关于返利没有支付期限或支付期限超过法院裁定批准重整计划之日起3个月的，本项不得分。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（五）根据确保商业良性运营原则，投资人应提供大型商业体招商成功案例，本项最高分2分；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1.每个案例</w:t>
      </w:r>
      <w:r>
        <w:rPr>
          <w:rFonts w:hint="eastAsia" w:ascii="仿宋" w:hAnsi="仿宋" w:eastAsia="仿宋" w:cs="仿宋"/>
          <w:sz w:val="32"/>
          <w:szCs w:val="32"/>
          <w:lang w:val="en-US" w:eastAsia="zh-CN"/>
        </w:rPr>
        <w:t>计</w:t>
      </w:r>
      <w:r>
        <w:rPr>
          <w:rFonts w:hint="eastAsia" w:ascii="仿宋" w:hAnsi="仿宋" w:eastAsia="仿宋" w:cs="仿宋"/>
          <w:sz w:val="32"/>
          <w:szCs w:val="32"/>
        </w:rPr>
        <w:t>1分。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2.没有提供案例的本项不得分。</w:t>
      </w:r>
    </w:p>
    <w:p>
      <w:pPr>
        <w:keepNext w:val="0"/>
        <w:keepLines w:val="0"/>
        <w:pageBreakBefore w:val="0"/>
        <w:widowControl w:val="0"/>
        <w:kinsoku/>
        <w:wordWrap/>
        <w:overflowPunct/>
        <w:topLinePunct w:val="0"/>
        <w:autoSpaceDE w:val="0"/>
        <w:autoSpaceDN/>
        <w:bidi w:val="0"/>
        <w:adjustRightInd/>
        <w:snapToGrid/>
        <w:spacing w:line="54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（六）根据确保商业良性运营原则，投资人通过对城市、区域、商圈、本项目周边的人口、消费、市场、政府规划等进行调查分析，制定符合丰城市</w:t>
      </w:r>
      <w:r>
        <w:rPr>
          <w:rFonts w:hint="eastAsia" w:ascii="仿宋" w:hAnsi="仿宋" w:eastAsia="仿宋" w:cs="仿宋"/>
          <w:sz w:val="32"/>
          <w:szCs w:val="32"/>
          <w:lang w:val="en-US" w:eastAsia="zh-CN"/>
        </w:rPr>
        <w:t>人民</w:t>
      </w:r>
      <w:r>
        <w:rPr>
          <w:rFonts w:hint="eastAsia" w:ascii="仿宋" w:hAnsi="仿宋" w:eastAsia="仿宋" w:cs="仿宋"/>
          <w:sz w:val="32"/>
          <w:szCs w:val="32"/>
        </w:rPr>
        <w:t>政府对同创项目商业市场定位的商业体项目规划方案，本项最高得分2分。</w:t>
      </w:r>
    </w:p>
    <w:p>
      <w:pPr>
        <w:keepNext w:val="0"/>
        <w:keepLines w:val="0"/>
        <w:pageBreakBefore w:val="0"/>
        <w:widowControl w:val="0"/>
        <w:kinsoku/>
        <w:wordWrap/>
        <w:overflowPunct/>
        <w:topLinePunct w:val="0"/>
        <w:autoSpaceDE w:val="0"/>
        <w:autoSpaceDN/>
        <w:bidi w:val="0"/>
        <w:adjustRightInd/>
        <w:snapToGrid/>
        <w:spacing w:line="540" w:lineRule="exact"/>
        <w:ind w:firstLine="560" w:firstLineChars="200"/>
        <w:textAlignment w:val="auto"/>
        <w:rPr>
          <w:rFonts w:ascii="仿宋" w:hAnsi="仿宋" w:eastAsia="仿宋" w:cs="仿宋"/>
          <w:sz w:val="28"/>
          <w:szCs w:val="28"/>
        </w:rPr>
      </w:pPr>
    </w:p>
    <w:sectPr>
      <w:headerReference r:id="rId3" w:type="default"/>
      <w:footerReference r:id="rId4" w:type="default"/>
      <w:pgSz w:w="11906" w:h="16838"/>
      <w:pgMar w:top="1440" w:right="1080" w:bottom="1440" w:left="1080"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0" distR="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rPr>
        <w:rFonts w:hint="default" w:eastAsia="宋体"/>
        <w:lang w:val="en-US" w:eastAsia="zh-CN"/>
      </w:rPr>
    </w:pPr>
    <w:r>
      <w:rPr>
        <w:rFonts w:hint="eastAsia"/>
        <w:lang w:val="en-US" w:eastAsia="zh-CN"/>
      </w:rPr>
      <w:t>附件1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singleLevel"/>
    <w:tmpl w:val="0053208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ABF"/>
    <w:rsid w:val="00487ABF"/>
    <w:rsid w:val="006F61D3"/>
    <w:rsid w:val="00B57D9B"/>
    <w:rsid w:val="00E81EF2"/>
    <w:rsid w:val="177F5CE1"/>
    <w:rsid w:val="200C3D6A"/>
    <w:rsid w:val="2A92753F"/>
    <w:rsid w:val="3726095D"/>
    <w:rsid w:val="372D1D78"/>
    <w:rsid w:val="3C6418E5"/>
    <w:rsid w:val="46EC5B2E"/>
    <w:rsid w:val="4A003983"/>
    <w:rsid w:val="4AB6026A"/>
    <w:rsid w:val="502C0EA7"/>
    <w:rsid w:val="5D1721F9"/>
    <w:rsid w:val="5D7378FF"/>
    <w:rsid w:val="5DE80C5C"/>
    <w:rsid w:val="61E66BFC"/>
    <w:rsid w:val="737A7D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正文首行缩进 21"/>
    <w:basedOn w:val="1"/>
    <w:qFormat/>
    <w:uiPriority w:val="0"/>
    <w:pPr>
      <w:ind w:left="200" w:leftChars="200" w:firstLine="210"/>
    </w:pPr>
    <w:rPr>
      <w:rFonts w:ascii="Times New Roman" w:hAnsi="Times New Roman"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9</Pages>
  <Words>681</Words>
  <Characters>3884</Characters>
  <Lines>32</Lines>
  <Paragraphs>9</Paragraphs>
  <TotalTime>2</TotalTime>
  <ScaleCrop>false</ScaleCrop>
  <LinksUpToDate>false</LinksUpToDate>
  <CharactersWithSpaces>4556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2018-04-13T01:28:00Z</dcterms:created>
  <dc:creator>Administrator</dc:creator>
  <cp:lastModifiedBy>Sound.</cp:lastModifiedBy>
  <cp:lastPrinted>2021-02-24T10:59:31Z</cp:lastPrinted>
  <dcterms:modified xsi:type="dcterms:W3CDTF">2021-02-24T11:17:13Z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