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after="0" w:line="415" w:lineRule="auto"/>
        <w:jc w:val="center"/>
        <w:rPr>
          <w:rFonts w:ascii="黑体" w:hAnsi="黑体" w:eastAsia="黑体"/>
        </w:rPr>
      </w:pPr>
      <w:r>
        <w:rPr>
          <w:rFonts w:hint="eastAsia" w:ascii="黑体" w:hAnsi="黑体" w:eastAsia="黑体"/>
          <w:lang w:val="en-US" w:eastAsia="zh-CN"/>
        </w:rPr>
        <w:t>珠海市富景居投资有限公司破产重整第一次债权人会议</w:t>
      </w:r>
      <w:r>
        <w:rPr>
          <w:rFonts w:hint="eastAsia" w:ascii="黑体" w:hAnsi="黑体" w:eastAsia="黑体"/>
        </w:rPr>
        <w:t>公告</w:t>
      </w:r>
    </w:p>
    <w:p>
      <w:pPr>
        <w:spacing w:line="360" w:lineRule="auto"/>
        <w:rPr>
          <w:rFonts w:asciiTheme="majorEastAsia" w:hAnsiTheme="majorEastAsia" w:eastAsiaTheme="majorEastAsia"/>
          <w:sz w:val="24"/>
          <w:szCs w:val="24"/>
        </w:rPr>
      </w:pPr>
    </w:p>
    <w:p>
      <w:pPr>
        <w:adjustRightInd w:val="0"/>
        <w:snapToGrid w:val="0"/>
        <w:spacing w:line="560" w:lineRule="exact"/>
        <w:ind w:left="1" w:right="-142" w:firstLine="600" w:firstLineChars="200"/>
        <w:rPr>
          <w:rFonts w:ascii="仿宋" w:hAnsi="仿宋" w:eastAsia="仿宋" w:cstheme="minorEastAsia"/>
          <w:sz w:val="30"/>
          <w:szCs w:val="30"/>
        </w:rPr>
      </w:pPr>
      <w:r>
        <w:rPr>
          <w:rFonts w:hint="eastAsia" w:ascii="仿宋" w:hAnsi="仿宋" w:eastAsia="仿宋" w:cstheme="minorEastAsia"/>
          <w:sz w:val="30"/>
          <w:szCs w:val="30"/>
          <w:lang w:val="en-US" w:eastAsia="zh-CN"/>
        </w:rPr>
        <w:t>珠海市中级人民法院</w:t>
      </w:r>
      <w:r>
        <w:rPr>
          <w:rFonts w:ascii="仿宋" w:hAnsi="仿宋" w:eastAsia="仿宋" w:cstheme="minorEastAsia"/>
          <w:sz w:val="30"/>
          <w:szCs w:val="30"/>
        </w:rPr>
        <w:t>根据</w:t>
      </w:r>
      <w:r>
        <w:rPr>
          <w:rFonts w:hint="eastAsia" w:ascii="仿宋" w:hAnsi="仿宋" w:eastAsia="仿宋" w:cstheme="minorEastAsia"/>
          <w:sz w:val="30"/>
          <w:szCs w:val="30"/>
          <w:lang w:val="en-US" w:eastAsia="zh-CN"/>
        </w:rPr>
        <w:t>纪伟新等20位债权人</w:t>
      </w:r>
      <w:r>
        <w:rPr>
          <w:rFonts w:ascii="仿宋" w:hAnsi="仿宋" w:eastAsia="仿宋" w:cstheme="minorEastAsia"/>
          <w:sz w:val="30"/>
          <w:szCs w:val="30"/>
        </w:rPr>
        <w:t>的申请，于</w:t>
      </w:r>
      <w:r>
        <w:rPr>
          <w:rFonts w:hint="eastAsia" w:ascii="仿宋" w:hAnsi="仿宋" w:eastAsia="仿宋" w:cstheme="minorEastAsia"/>
          <w:sz w:val="30"/>
          <w:szCs w:val="30"/>
          <w:lang w:val="en-US" w:eastAsia="zh-CN"/>
        </w:rPr>
        <w:t>2017</w:t>
      </w:r>
      <w:r>
        <w:rPr>
          <w:rFonts w:ascii="仿宋" w:hAnsi="仿宋" w:eastAsia="仿宋" w:cstheme="minorEastAsia"/>
          <w:sz w:val="30"/>
          <w:szCs w:val="30"/>
        </w:rPr>
        <w:t>年</w:t>
      </w:r>
      <w:r>
        <w:rPr>
          <w:rFonts w:hint="eastAsia" w:ascii="仿宋" w:hAnsi="仿宋" w:eastAsia="仿宋" w:cstheme="minorEastAsia"/>
          <w:sz w:val="30"/>
          <w:szCs w:val="30"/>
          <w:lang w:val="en-US" w:eastAsia="zh-CN"/>
        </w:rPr>
        <w:t>6</w:t>
      </w:r>
      <w:r>
        <w:rPr>
          <w:rFonts w:ascii="仿宋" w:hAnsi="仿宋" w:eastAsia="仿宋" w:cstheme="minorEastAsia"/>
          <w:sz w:val="30"/>
          <w:szCs w:val="30"/>
        </w:rPr>
        <w:t>月</w:t>
      </w:r>
      <w:r>
        <w:rPr>
          <w:rFonts w:hint="eastAsia" w:ascii="仿宋" w:hAnsi="仿宋" w:eastAsia="仿宋" w:cstheme="minorEastAsia"/>
          <w:sz w:val="30"/>
          <w:szCs w:val="30"/>
          <w:lang w:val="en-US" w:eastAsia="zh-CN"/>
        </w:rPr>
        <w:t>30</w:t>
      </w:r>
      <w:r>
        <w:rPr>
          <w:rFonts w:ascii="仿宋" w:hAnsi="仿宋" w:eastAsia="仿宋" w:cstheme="minorEastAsia"/>
          <w:sz w:val="30"/>
          <w:szCs w:val="30"/>
        </w:rPr>
        <w:t>日裁定受理</w:t>
      </w:r>
      <w:r>
        <w:rPr>
          <w:rFonts w:hint="eastAsia" w:ascii="仿宋" w:hAnsi="仿宋" w:eastAsia="仿宋" w:cstheme="minorEastAsia"/>
          <w:sz w:val="30"/>
          <w:szCs w:val="30"/>
          <w:lang w:val="en-US" w:eastAsia="zh-CN"/>
        </w:rPr>
        <w:t>珠海市富景居投资有限公司破产清算</w:t>
      </w:r>
      <w:r>
        <w:rPr>
          <w:rFonts w:ascii="仿宋" w:hAnsi="仿宋" w:eastAsia="仿宋" w:cstheme="minorEastAsia"/>
          <w:sz w:val="30"/>
          <w:szCs w:val="30"/>
        </w:rPr>
        <w:t>一案，并于</w:t>
      </w:r>
      <w:r>
        <w:rPr>
          <w:rFonts w:hint="eastAsia" w:ascii="仿宋" w:hAnsi="仿宋" w:eastAsia="仿宋" w:cstheme="minorEastAsia"/>
          <w:sz w:val="30"/>
          <w:szCs w:val="30"/>
          <w:lang w:val="en-US" w:eastAsia="zh-CN"/>
        </w:rPr>
        <w:t>2017</w:t>
      </w:r>
      <w:r>
        <w:rPr>
          <w:rFonts w:ascii="仿宋" w:hAnsi="仿宋" w:eastAsia="仿宋" w:cstheme="minorEastAsia"/>
          <w:sz w:val="30"/>
          <w:szCs w:val="30"/>
        </w:rPr>
        <w:t>年</w:t>
      </w:r>
      <w:r>
        <w:rPr>
          <w:rFonts w:hint="eastAsia" w:ascii="仿宋" w:hAnsi="仿宋" w:eastAsia="仿宋" w:cstheme="minorEastAsia"/>
          <w:sz w:val="30"/>
          <w:szCs w:val="30"/>
          <w:lang w:val="en-US" w:eastAsia="zh-CN"/>
        </w:rPr>
        <w:t>8</w:t>
      </w:r>
      <w:r>
        <w:rPr>
          <w:rFonts w:ascii="仿宋" w:hAnsi="仿宋" w:eastAsia="仿宋" w:cstheme="minorEastAsia"/>
          <w:sz w:val="30"/>
          <w:szCs w:val="30"/>
        </w:rPr>
        <w:t>月</w:t>
      </w:r>
      <w:r>
        <w:rPr>
          <w:rFonts w:hint="eastAsia" w:ascii="仿宋" w:hAnsi="仿宋" w:eastAsia="仿宋" w:cstheme="minorEastAsia"/>
          <w:sz w:val="30"/>
          <w:szCs w:val="30"/>
          <w:lang w:val="en-US" w:eastAsia="zh-CN"/>
        </w:rPr>
        <w:t>14</w:t>
      </w:r>
      <w:r>
        <w:rPr>
          <w:rFonts w:ascii="仿宋" w:hAnsi="仿宋" w:eastAsia="仿宋" w:cstheme="minorEastAsia"/>
          <w:sz w:val="30"/>
          <w:szCs w:val="30"/>
        </w:rPr>
        <w:t>日指定</w:t>
      </w:r>
      <w:r>
        <w:rPr>
          <w:rFonts w:hint="eastAsia" w:ascii="仿宋" w:hAnsi="仿宋" w:eastAsia="仿宋" w:cstheme="minorEastAsia"/>
          <w:sz w:val="30"/>
          <w:szCs w:val="30"/>
          <w:lang w:val="en-US" w:eastAsia="zh-CN"/>
        </w:rPr>
        <w:t>北京德恒（珠海）律师事务所</w:t>
      </w:r>
      <w:r>
        <w:rPr>
          <w:rFonts w:ascii="仿宋" w:hAnsi="仿宋" w:eastAsia="仿宋" w:cstheme="minorEastAsia"/>
          <w:sz w:val="30"/>
          <w:szCs w:val="30"/>
        </w:rPr>
        <w:t>为管理人。</w:t>
      </w:r>
      <w:r>
        <w:rPr>
          <w:rFonts w:hint="eastAsia" w:ascii="仿宋" w:hAnsi="仿宋" w:eastAsia="仿宋" w:cstheme="minorEastAsia"/>
          <w:sz w:val="30"/>
          <w:szCs w:val="30"/>
          <w:lang w:val="en-US" w:eastAsia="zh-Hans"/>
        </w:rPr>
        <w:t>2021年1月22日</w:t>
      </w:r>
      <w:r>
        <w:rPr>
          <w:rFonts w:hint="eastAsia" w:ascii="仿宋" w:hAnsi="仿宋" w:eastAsia="仿宋" w:cstheme="minorEastAsia"/>
          <w:sz w:val="30"/>
          <w:szCs w:val="30"/>
          <w:lang w:val="en-US" w:eastAsia="zh-CN"/>
        </w:rPr>
        <w:t>珠海市中级人民法院作出的（2017）粤04破11号之一裁定书，裁定富景居公司</w:t>
      </w:r>
      <w:r>
        <w:rPr>
          <w:rFonts w:hint="eastAsia" w:ascii="仿宋" w:hAnsi="仿宋" w:eastAsia="仿宋" w:cstheme="minorEastAsia"/>
          <w:sz w:val="30"/>
          <w:szCs w:val="30"/>
          <w:lang w:val="en-US" w:eastAsia="zh-Hans"/>
        </w:rPr>
        <w:t>由破产清算转入破产重整</w:t>
      </w:r>
      <w:r>
        <w:rPr>
          <w:rFonts w:hint="eastAsia" w:ascii="仿宋" w:hAnsi="仿宋" w:eastAsia="仿宋" w:cstheme="minorEastAsia"/>
          <w:sz w:val="30"/>
          <w:szCs w:val="30"/>
          <w:lang w:val="en-US" w:eastAsia="zh-CN"/>
        </w:rPr>
        <w:t>。</w:t>
      </w:r>
      <w:r>
        <w:rPr>
          <w:rFonts w:hint="eastAsia" w:ascii="仿宋" w:hAnsi="仿宋" w:eastAsia="仿宋" w:cstheme="minorEastAsia"/>
          <w:sz w:val="30"/>
          <w:szCs w:val="30"/>
        </w:rPr>
        <w:t>根据《最高人民法院关于企业破产案件信息公开的规定（试行）》第十一条“人民法院、破产管理人可以在破产重整案件信息网召集债权人会议并表决有关事项。网上投票形成的表决结果与现场投票形成的表决结果具有同等法律效力”的规定，</w:t>
      </w:r>
      <w:r>
        <w:rPr>
          <w:rFonts w:hint="eastAsia" w:ascii="仿宋" w:hAnsi="仿宋" w:eastAsia="仿宋" w:cstheme="minorEastAsia"/>
          <w:sz w:val="30"/>
          <w:szCs w:val="30"/>
          <w:lang w:val="en-US" w:eastAsia="zh-CN"/>
        </w:rPr>
        <w:t>管理人</w:t>
      </w:r>
      <w:r>
        <w:rPr>
          <w:rFonts w:hint="eastAsia" w:ascii="仿宋" w:hAnsi="仿宋" w:eastAsia="仿宋" w:cstheme="minorEastAsia"/>
          <w:sz w:val="30"/>
          <w:szCs w:val="30"/>
        </w:rPr>
        <w:t>定于</w:t>
      </w:r>
      <w:r>
        <w:rPr>
          <w:rFonts w:hint="eastAsia" w:ascii="仿宋" w:hAnsi="仿宋" w:eastAsia="仿宋" w:cstheme="minorEastAsia"/>
          <w:sz w:val="30"/>
          <w:szCs w:val="30"/>
          <w:lang w:val="en-US" w:eastAsia="zh-CN"/>
        </w:rPr>
        <w:t>2021</w:t>
      </w:r>
      <w:r>
        <w:rPr>
          <w:rFonts w:hint="eastAsia" w:ascii="仿宋" w:hAnsi="仿宋" w:eastAsia="仿宋" w:cstheme="minorEastAsia"/>
          <w:sz w:val="30"/>
          <w:szCs w:val="30"/>
        </w:rPr>
        <w:t>年</w:t>
      </w:r>
      <w:r>
        <w:rPr>
          <w:rFonts w:hint="eastAsia" w:ascii="仿宋" w:hAnsi="仿宋" w:eastAsia="仿宋" w:cstheme="minorEastAsia"/>
          <w:sz w:val="30"/>
          <w:szCs w:val="30"/>
          <w:lang w:val="en-US" w:eastAsia="zh-CN"/>
        </w:rPr>
        <w:t>2</w:t>
      </w:r>
      <w:r>
        <w:rPr>
          <w:rFonts w:hint="eastAsia" w:ascii="仿宋" w:hAnsi="仿宋" w:eastAsia="仿宋" w:cstheme="minorEastAsia"/>
          <w:sz w:val="30"/>
          <w:szCs w:val="30"/>
        </w:rPr>
        <w:t>月</w:t>
      </w:r>
      <w:r>
        <w:rPr>
          <w:rFonts w:hint="eastAsia" w:ascii="仿宋" w:hAnsi="仿宋" w:eastAsia="仿宋" w:cstheme="minorEastAsia"/>
          <w:sz w:val="30"/>
          <w:szCs w:val="30"/>
          <w:lang w:val="en-US" w:eastAsia="zh-CN"/>
        </w:rPr>
        <w:t>23</w:t>
      </w:r>
      <w:r>
        <w:rPr>
          <w:rFonts w:hint="eastAsia" w:ascii="仿宋" w:hAnsi="仿宋" w:eastAsia="仿宋" w:cstheme="minorEastAsia"/>
          <w:sz w:val="30"/>
          <w:szCs w:val="30"/>
        </w:rPr>
        <w:t>日</w:t>
      </w:r>
      <w:r>
        <w:rPr>
          <w:rFonts w:hint="eastAsia" w:ascii="仿宋" w:hAnsi="仿宋" w:eastAsia="仿宋" w:cstheme="minorEastAsia"/>
          <w:sz w:val="30"/>
          <w:szCs w:val="30"/>
          <w:lang w:val="en-US" w:eastAsia="zh-CN"/>
        </w:rPr>
        <w:t>9</w:t>
      </w:r>
      <w:r>
        <w:rPr>
          <w:rFonts w:hint="eastAsia" w:ascii="仿宋" w:hAnsi="仿宋" w:eastAsia="仿宋" w:cstheme="minorEastAsia"/>
          <w:sz w:val="30"/>
          <w:szCs w:val="30"/>
        </w:rPr>
        <w:t>时</w:t>
      </w:r>
      <w:r>
        <w:rPr>
          <w:rFonts w:hint="eastAsia" w:ascii="仿宋" w:hAnsi="仿宋" w:eastAsia="仿宋" w:cstheme="minorEastAsia"/>
          <w:sz w:val="30"/>
          <w:szCs w:val="30"/>
          <w:lang w:val="en-US" w:eastAsia="zh-CN"/>
        </w:rPr>
        <w:t>00</w:t>
      </w:r>
      <w:r>
        <w:rPr>
          <w:rFonts w:hint="eastAsia" w:ascii="仿宋" w:hAnsi="仿宋" w:eastAsia="仿宋" w:cstheme="minorEastAsia"/>
          <w:sz w:val="30"/>
          <w:szCs w:val="30"/>
        </w:rPr>
        <w:t>分，采取网络会议方式</w:t>
      </w:r>
      <w:r>
        <w:rPr>
          <w:rFonts w:hint="eastAsia" w:ascii="仿宋" w:hAnsi="仿宋" w:eastAsia="仿宋" w:cstheme="minorEastAsia"/>
          <w:sz w:val="30"/>
          <w:szCs w:val="30"/>
          <w:lang w:val="en-US" w:eastAsia="zh-CN"/>
        </w:rPr>
        <w:t>召开富景居公司</w:t>
      </w:r>
      <w:r>
        <w:rPr>
          <w:rFonts w:hint="eastAsia" w:ascii="仿宋" w:hAnsi="仿宋" w:eastAsia="仿宋" w:cstheme="minorEastAsia"/>
          <w:sz w:val="30"/>
          <w:szCs w:val="30"/>
          <w:lang w:val="en-US" w:eastAsia="zh-Hans"/>
        </w:rPr>
        <w:t>转入</w:t>
      </w:r>
      <w:r>
        <w:rPr>
          <w:rFonts w:hint="eastAsia" w:ascii="仿宋" w:hAnsi="仿宋" w:eastAsia="仿宋" w:cstheme="minorEastAsia"/>
          <w:sz w:val="30"/>
          <w:szCs w:val="30"/>
          <w:lang w:val="en-US" w:eastAsia="zh-CN"/>
        </w:rPr>
        <w:t>破产</w:t>
      </w:r>
      <w:r>
        <w:rPr>
          <w:rFonts w:hint="eastAsia" w:ascii="仿宋" w:hAnsi="仿宋" w:eastAsia="仿宋" w:cstheme="minorEastAsia"/>
          <w:sz w:val="30"/>
          <w:szCs w:val="30"/>
          <w:lang w:val="en-US" w:eastAsia="zh-Hans"/>
        </w:rPr>
        <w:t>重整后的</w:t>
      </w:r>
      <w:r>
        <w:rPr>
          <w:rFonts w:hint="eastAsia" w:ascii="仿宋" w:hAnsi="仿宋" w:eastAsia="仿宋" w:cstheme="minorEastAsia"/>
          <w:sz w:val="30"/>
          <w:szCs w:val="30"/>
          <w:lang w:val="en-US" w:eastAsia="zh-CN"/>
        </w:rPr>
        <w:t>第</w:t>
      </w:r>
      <w:r>
        <w:rPr>
          <w:rFonts w:hint="eastAsia" w:ascii="仿宋" w:hAnsi="仿宋" w:eastAsia="仿宋" w:cstheme="minorEastAsia"/>
          <w:sz w:val="30"/>
          <w:szCs w:val="30"/>
          <w:lang w:val="en-US" w:eastAsia="zh-Hans"/>
        </w:rPr>
        <w:t>一</w:t>
      </w:r>
      <w:r>
        <w:rPr>
          <w:rFonts w:hint="eastAsia" w:ascii="仿宋" w:hAnsi="仿宋" w:eastAsia="仿宋" w:cstheme="minorEastAsia"/>
          <w:sz w:val="30"/>
          <w:szCs w:val="30"/>
          <w:lang w:val="en-US" w:eastAsia="zh-CN"/>
        </w:rPr>
        <w:t>次债权人会议</w:t>
      </w:r>
      <w:r>
        <w:rPr>
          <w:rFonts w:hint="eastAsia" w:ascii="仿宋" w:hAnsi="仿宋" w:eastAsia="仿宋" w:cstheme="minorEastAsia"/>
          <w:sz w:val="30"/>
          <w:szCs w:val="30"/>
        </w:rPr>
        <w:t>。</w:t>
      </w:r>
      <w:bookmarkStart w:id="0" w:name="_GoBack"/>
      <w:bookmarkEnd w:id="0"/>
    </w:p>
    <w:p>
      <w:pPr>
        <w:adjustRightInd w:val="0"/>
        <w:snapToGrid w:val="0"/>
        <w:spacing w:line="560" w:lineRule="exact"/>
        <w:ind w:left="1" w:right="-142" w:firstLine="600" w:firstLineChars="200"/>
        <w:rPr>
          <w:rFonts w:ascii="仿宋" w:hAnsi="仿宋" w:eastAsia="仿宋" w:cstheme="minorEastAsia"/>
          <w:sz w:val="30"/>
          <w:szCs w:val="30"/>
        </w:rPr>
      </w:pPr>
      <w:r>
        <w:rPr>
          <w:rFonts w:hint="eastAsia" w:ascii="仿宋" w:hAnsi="仿宋" w:eastAsia="仿宋" w:cstheme="minorEastAsia"/>
          <w:sz w:val="30"/>
          <w:szCs w:val="30"/>
        </w:rPr>
        <w:t>依法申报债权的债权人有权参加债权人会议，债权人在</w:t>
      </w:r>
      <w:r>
        <w:rPr>
          <w:rFonts w:hint="eastAsia" w:ascii="仿宋" w:hAnsi="仿宋" w:eastAsia="仿宋" w:cstheme="minorEastAsia"/>
          <w:sz w:val="30"/>
          <w:szCs w:val="30"/>
          <w:lang w:val="en-US" w:eastAsia="zh-CN"/>
        </w:rPr>
        <w:t>2021</w:t>
      </w:r>
      <w:r>
        <w:rPr>
          <w:rFonts w:hint="eastAsia" w:ascii="仿宋" w:hAnsi="仿宋" w:eastAsia="仿宋" w:cstheme="minorEastAsia"/>
          <w:sz w:val="30"/>
          <w:szCs w:val="30"/>
        </w:rPr>
        <w:t>年</w:t>
      </w:r>
      <w:r>
        <w:rPr>
          <w:rFonts w:hint="eastAsia" w:ascii="仿宋" w:hAnsi="仿宋" w:eastAsia="仿宋" w:cstheme="minorEastAsia"/>
          <w:sz w:val="30"/>
          <w:szCs w:val="30"/>
          <w:lang w:val="en-US" w:eastAsia="zh-CN"/>
        </w:rPr>
        <w:t>2</w:t>
      </w:r>
      <w:r>
        <w:rPr>
          <w:rFonts w:hint="eastAsia" w:ascii="仿宋" w:hAnsi="仿宋" w:eastAsia="仿宋" w:cstheme="minorEastAsia"/>
          <w:sz w:val="30"/>
          <w:szCs w:val="30"/>
        </w:rPr>
        <w:t>月</w:t>
      </w:r>
      <w:r>
        <w:rPr>
          <w:rFonts w:hint="eastAsia" w:ascii="仿宋" w:hAnsi="仿宋" w:eastAsia="仿宋" w:cstheme="minorEastAsia"/>
          <w:sz w:val="30"/>
          <w:szCs w:val="30"/>
          <w:lang w:val="en-US" w:eastAsia="zh-CN"/>
        </w:rPr>
        <w:t>23</w:t>
      </w:r>
      <w:r>
        <w:rPr>
          <w:rFonts w:hint="eastAsia" w:ascii="仿宋" w:hAnsi="仿宋" w:eastAsia="仿宋" w:cstheme="minorEastAsia"/>
          <w:sz w:val="30"/>
          <w:szCs w:val="30"/>
        </w:rPr>
        <w:t>日之前，会收到全国企业破产重整案件信息网12368平台，发送短信通知的账号和密码，参会人员可自行选择使用电脑或者手机参会。为确保会议当天顺利参会，请收到账号和密码后务必登录会议进行测试，电脑端需要登录“全国企业破产重整案件信息网”（</w:t>
      </w:r>
      <w:r>
        <w:rPr>
          <w:rFonts w:ascii="仿宋" w:hAnsi="仿宋" w:eastAsia="仿宋" w:cstheme="minorEastAsia"/>
          <w:sz w:val="30"/>
          <w:szCs w:val="30"/>
        </w:rPr>
        <w:t>https://</w:t>
      </w:r>
      <w:r>
        <w:rPr>
          <w:rFonts w:hint="eastAsia" w:ascii="仿宋" w:hAnsi="仿宋" w:eastAsia="仿宋" w:cstheme="minorEastAsia"/>
          <w:sz w:val="30"/>
          <w:szCs w:val="30"/>
        </w:rPr>
        <w:t>pccz.court.gov.cn</w:t>
      </w:r>
      <w:r>
        <w:rPr>
          <w:rFonts w:ascii="仿宋" w:hAnsi="仿宋" w:eastAsia="仿宋" w:cstheme="minorEastAsia"/>
          <w:sz w:val="30"/>
          <w:szCs w:val="30"/>
        </w:rPr>
        <w:t>）</w:t>
      </w:r>
      <w:r>
        <w:rPr>
          <w:rFonts w:hint="eastAsia" w:ascii="仿宋" w:hAnsi="仿宋" w:eastAsia="仿宋" w:cstheme="minorEastAsia"/>
          <w:sz w:val="30"/>
          <w:szCs w:val="30"/>
        </w:rPr>
        <w:t>点击破产重整案件信息网首页右下角会议浮动框中的【进入测试】，进行会议测试。手机端需要通过搜索微信小程序【债权人会议】，输入账号密码进行测试。测试成功后请勿随意更换参会设备和网络。</w:t>
      </w:r>
    </w:p>
    <w:p>
      <w:pPr>
        <w:adjustRightInd w:val="0"/>
        <w:snapToGrid w:val="0"/>
        <w:spacing w:line="560" w:lineRule="exact"/>
        <w:ind w:left="1" w:right="-142" w:firstLine="600" w:firstLineChars="200"/>
        <w:rPr>
          <w:rFonts w:ascii="仿宋" w:hAnsi="仿宋" w:eastAsia="仿宋" w:cstheme="minorEastAsia"/>
          <w:sz w:val="30"/>
          <w:szCs w:val="30"/>
        </w:rPr>
      </w:pPr>
      <w:r>
        <w:rPr>
          <w:rFonts w:hint="eastAsia" w:ascii="仿宋" w:hAnsi="仿宋" w:eastAsia="仿宋" w:cstheme="minorEastAsia"/>
          <w:sz w:val="30"/>
          <w:szCs w:val="30"/>
        </w:rPr>
        <w:t>正式会议当日，请参会人员务必再次登录系统，通过网络观看会议直播和投票表决。</w:t>
      </w:r>
    </w:p>
    <w:p>
      <w:pPr>
        <w:adjustRightInd w:val="0"/>
        <w:snapToGrid w:val="0"/>
        <w:spacing w:line="560" w:lineRule="exact"/>
        <w:ind w:right="880" w:firstLine="600" w:firstLineChars="200"/>
        <w:rPr>
          <w:rFonts w:ascii="仿宋" w:hAnsi="仿宋" w:eastAsia="仿宋" w:cstheme="minorEastAsia"/>
          <w:sz w:val="30"/>
          <w:szCs w:val="30"/>
        </w:rPr>
      </w:pPr>
      <w:r>
        <w:rPr>
          <w:rFonts w:ascii="仿宋" w:hAnsi="仿宋" w:eastAsia="仿宋" w:cstheme="minorEastAsia"/>
          <w:sz w:val="30"/>
          <w:szCs w:val="30"/>
        </w:rPr>
        <w:t>特此公告</w:t>
      </w:r>
    </w:p>
    <w:p>
      <w:pPr>
        <w:spacing w:line="360" w:lineRule="auto"/>
        <w:rPr>
          <w:rFonts w:asciiTheme="majorEastAsia" w:hAnsiTheme="majorEastAsia" w:eastAsiaTheme="majorEastAsia"/>
          <w:sz w:val="24"/>
          <w:szCs w:val="24"/>
        </w:rPr>
      </w:pPr>
    </w:p>
    <w:p>
      <w:pPr>
        <w:spacing w:line="360" w:lineRule="auto"/>
        <w:ind w:firstLine="480"/>
        <w:jc w:val="right"/>
        <w:rPr>
          <w:rFonts w:hint="default" w:ascii="仿宋" w:hAnsi="仿宋" w:eastAsia="仿宋" w:cstheme="minorEastAsia"/>
          <w:sz w:val="30"/>
          <w:szCs w:val="30"/>
          <w:lang w:val="en-US" w:eastAsia="zh-CN"/>
        </w:rPr>
      </w:pPr>
      <w:r>
        <w:rPr>
          <w:rFonts w:hint="eastAsia" w:ascii="仿宋" w:hAnsi="仿宋" w:eastAsia="仿宋" w:cstheme="minorEastAsia"/>
          <w:sz w:val="30"/>
          <w:szCs w:val="30"/>
          <w:lang w:val="en-US" w:eastAsia="zh-CN"/>
        </w:rPr>
        <w:t>珠海市富景居投资有限公司管理人</w:t>
      </w:r>
    </w:p>
    <w:p>
      <w:pPr>
        <w:spacing w:line="360" w:lineRule="auto"/>
        <w:ind w:firstLine="480"/>
        <w:jc w:val="center"/>
        <w:rPr>
          <w:rFonts w:ascii="仿宋" w:hAnsi="仿宋" w:eastAsia="仿宋" w:cstheme="minorEastAsia"/>
          <w:sz w:val="30"/>
          <w:szCs w:val="30"/>
        </w:rPr>
      </w:pPr>
      <w:r>
        <w:rPr>
          <w:rFonts w:hint="eastAsia" w:ascii="仿宋" w:hAnsi="仿宋" w:eastAsia="仿宋" w:cstheme="minorEastAsia"/>
          <w:sz w:val="30"/>
          <w:szCs w:val="30"/>
          <w:lang w:val="en-US" w:eastAsia="zh-CN"/>
        </w:rPr>
        <w:t xml:space="preserve">                 2021</w:t>
      </w:r>
      <w:r>
        <w:rPr>
          <w:rFonts w:ascii="仿宋" w:hAnsi="仿宋" w:eastAsia="仿宋" w:cstheme="minorEastAsia"/>
          <w:sz w:val="30"/>
          <w:szCs w:val="30"/>
        </w:rPr>
        <w:t>年</w:t>
      </w:r>
      <w:r>
        <w:rPr>
          <w:rFonts w:hint="eastAsia" w:ascii="仿宋" w:hAnsi="仿宋" w:eastAsia="仿宋" w:cstheme="minorEastAsia"/>
          <w:sz w:val="30"/>
          <w:szCs w:val="30"/>
          <w:lang w:val="en-US" w:eastAsia="zh-CN"/>
        </w:rPr>
        <w:t>2</w:t>
      </w:r>
      <w:r>
        <w:rPr>
          <w:rFonts w:ascii="仿宋" w:hAnsi="仿宋" w:eastAsia="仿宋" w:cstheme="minorEastAsia"/>
          <w:sz w:val="30"/>
          <w:szCs w:val="30"/>
        </w:rPr>
        <w:t>月</w:t>
      </w:r>
      <w:r>
        <w:rPr>
          <w:rFonts w:hint="eastAsia" w:ascii="仿宋" w:hAnsi="仿宋" w:eastAsia="仿宋" w:cstheme="minorEastAsia"/>
          <w:sz w:val="30"/>
          <w:szCs w:val="30"/>
          <w:lang w:val="en-US" w:eastAsia="zh-CN"/>
        </w:rPr>
        <w:t>2</w:t>
      </w:r>
      <w:r>
        <w:rPr>
          <w:rFonts w:ascii="仿宋" w:hAnsi="仿宋" w:eastAsia="仿宋" w:cstheme="minorEastAsia"/>
          <w:sz w:val="30"/>
          <w:szCs w:val="30"/>
        </w:rPr>
        <w:t>日</w:t>
      </w:r>
    </w:p>
    <w:sectPr>
      <w:headerReference r:id="rId3" w:type="default"/>
      <w:pgSz w:w="11906" w:h="16838"/>
      <w:pgMar w:top="1440" w:right="1983" w:bottom="1440" w:left="1985"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hint="default" w:eastAsiaTheme="minorEastAsia"/>
        <w:b/>
        <w:sz w:val="21"/>
        <w:szCs w:val="21"/>
        <w:lang w:val="en-US" w:eastAsia="zh-CN"/>
      </w:rPr>
    </w:pPr>
    <w:r>
      <w:rPr>
        <w:rFonts w:hint="eastAsia"/>
        <w:b/>
        <w:sz w:val="21"/>
        <w:szCs w:val="21"/>
        <w:lang w:val="en-US" w:eastAsia="zh-CN"/>
      </w:rPr>
      <w:t>珠海市富景居投资有限公司管理人</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3048"/>
    <w:rsid w:val="0000641E"/>
    <w:rsid w:val="00064EB8"/>
    <w:rsid w:val="0007467F"/>
    <w:rsid w:val="000A7371"/>
    <w:rsid w:val="000C64FD"/>
    <w:rsid w:val="00105760"/>
    <w:rsid w:val="00163CA4"/>
    <w:rsid w:val="00173D3D"/>
    <w:rsid w:val="001772EE"/>
    <w:rsid w:val="001A7C36"/>
    <w:rsid w:val="001F5F8D"/>
    <w:rsid w:val="001F6CFE"/>
    <w:rsid w:val="00253F89"/>
    <w:rsid w:val="002B3048"/>
    <w:rsid w:val="002C1292"/>
    <w:rsid w:val="00326EB2"/>
    <w:rsid w:val="00410137"/>
    <w:rsid w:val="0041215A"/>
    <w:rsid w:val="004127F2"/>
    <w:rsid w:val="00470AD0"/>
    <w:rsid w:val="004D0334"/>
    <w:rsid w:val="00551973"/>
    <w:rsid w:val="00587109"/>
    <w:rsid w:val="0059584D"/>
    <w:rsid w:val="0059694F"/>
    <w:rsid w:val="005A5C6C"/>
    <w:rsid w:val="006A0F48"/>
    <w:rsid w:val="006B6D88"/>
    <w:rsid w:val="006F319D"/>
    <w:rsid w:val="0072741D"/>
    <w:rsid w:val="007941A3"/>
    <w:rsid w:val="007A586A"/>
    <w:rsid w:val="007C7268"/>
    <w:rsid w:val="007D7C1B"/>
    <w:rsid w:val="00871001"/>
    <w:rsid w:val="0089588A"/>
    <w:rsid w:val="008B2514"/>
    <w:rsid w:val="008D0271"/>
    <w:rsid w:val="009117D4"/>
    <w:rsid w:val="00984488"/>
    <w:rsid w:val="009C2FA0"/>
    <w:rsid w:val="00A7145E"/>
    <w:rsid w:val="00AC2209"/>
    <w:rsid w:val="00B31603"/>
    <w:rsid w:val="00B37F0F"/>
    <w:rsid w:val="00C5509E"/>
    <w:rsid w:val="00CD1790"/>
    <w:rsid w:val="00CD1E84"/>
    <w:rsid w:val="00D07713"/>
    <w:rsid w:val="00D20532"/>
    <w:rsid w:val="00D76990"/>
    <w:rsid w:val="00DB641A"/>
    <w:rsid w:val="00E05686"/>
    <w:rsid w:val="00E063CB"/>
    <w:rsid w:val="00E43443"/>
    <w:rsid w:val="00E6646F"/>
    <w:rsid w:val="00F53A44"/>
    <w:rsid w:val="00F75A78"/>
    <w:rsid w:val="00F862E1"/>
    <w:rsid w:val="00F93E99"/>
    <w:rsid w:val="0280328C"/>
    <w:rsid w:val="0B4D5F12"/>
    <w:rsid w:val="0B7A0012"/>
    <w:rsid w:val="21D25ACC"/>
    <w:rsid w:val="2D6E0922"/>
    <w:rsid w:val="3C251797"/>
    <w:rsid w:val="3C4D1093"/>
    <w:rsid w:val="504E70E1"/>
    <w:rsid w:val="55D120C3"/>
    <w:rsid w:val="58092864"/>
    <w:rsid w:val="68CA54D2"/>
    <w:rsid w:val="75286B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标题 2 字符"/>
    <w:basedOn w:val="6"/>
    <w:link w:val="2"/>
    <w:qFormat/>
    <w:uiPriority w:val="9"/>
    <w:rPr>
      <w:rFonts w:asciiTheme="majorHAnsi" w:hAnsiTheme="majorHAnsi" w:eastAsiaTheme="majorEastAsia" w:cstheme="majorBidi"/>
      <w:b/>
      <w:bCs/>
      <w:sz w:val="32"/>
      <w:szCs w:val="32"/>
    </w:rPr>
  </w:style>
  <w:style w:type="character" w:customStyle="1" w:styleId="8">
    <w:name w:val="页眉 字符"/>
    <w:basedOn w:val="6"/>
    <w:link w:val="4"/>
    <w:qFormat/>
    <w:uiPriority w:val="99"/>
    <w:rPr>
      <w:sz w:val="18"/>
      <w:szCs w:val="18"/>
    </w:rPr>
  </w:style>
  <w:style w:type="character" w:customStyle="1" w:styleId="9">
    <w:name w:val="页脚 字符"/>
    <w:basedOn w:val="6"/>
    <w:link w:val="3"/>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85</Words>
  <Characters>486</Characters>
  <Lines>4</Lines>
  <Paragraphs>1</Paragraphs>
  <TotalTime>21</TotalTime>
  <ScaleCrop>false</ScaleCrop>
  <LinksUpToDate>false</LinksUpToDate>
  <CharactersWithSpaces>570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2017-06-29T08:23:00Z</dcterms:created>
  <dc:creator>liuqing</dc:creator>
  <cp:lastModifiedBy>朱梦颖</cp:lastModifiedBy>
  <dcterms:modified xsi:type="dcterms:W3CDTF">2021-02-02T07:12:09Z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