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snapToGrid/>
        <w:spacing w:line="389" w:lineRule="auto"/>
        <w:ind w:right="0"/>
        <w:jc w:val="center"/>
        <w:textAlignment w:val="auto"/>
        <w:rPr>
          <w:rFonts w:hint="eastAsia" w:ascii="黑体" w:eastAsia="黑体"/>
          <w:sz w:val="30"/>
          <w:lang w:eastAsia="zh-CN"/>
        </w:rPr>
      </w:pPr>
      <w:r>
        <w:rPr>
          <w:rFonts w:hint="eastAsia" w:ascii="黑体" w:eastAsia="黑体"/>
          <w:sz w:val="30"/>
          <w:lang w:eastAsia="zh-CN"/>
        </w:rPr>
        <w:t>武汉钢东铁合金制品有限公司</w:t>
      </w:r>
    </w:p>
    <w:p>
      <w:pPr>
        <w:keepNext w:val="0"/>
        <w:keepLines w:val="0"/>
        <w:pageBreakBefore w:val="0"/>
        <w:widowControl w:val="0"/>
        <w:kinsoku/>
        <w:wordWrap/>
        <w:overflowPunct/>
        <w:topLinePunct w:val="0"/>
        <w:autoSpaceDE w:val="0"/>
        <w:autoSpaceDN w:val="0"/>
        <w:bidi w:val="0"/>
        <w:adjustRightInd/>
        <w:snapToGrid/>
        <w:spacing w:line="389" w:lineRule="auto"/>
        <w:ind w:right="0"/>
        <w:jc w:val="center"/>
        <w:textAlignment w:val="auto"/>
        <w:rPr>
          <w:rFonts w:ascii="黑体" w:eastAsia="黑体"/>
          <w:sz w:val="30"/>
        </w:rPr>
      </w:pPr>
      <w:r>
        <w:rPr>
          <w:rFonts w:hint="eastAsia" w:ascii="黑体" w:eastAsia="黑体"/>
          <w:sz w:val="30"/>
        </w:rPr>
        <w:t>债权人权利告知书</w:t>
      </w:r>
    </w:p>
    <w:p>
      <w:pPr>
        <w:pStyle w:val="2"/>
        <w:spacing w:before="7"/>
        <w:ind w:left="0" w:right="0" w:firstLine="0"/>
        <w:jc w:val="left"/>
        <w:rPr>
          <w:rFonts w:ascii="黑体"/>
          <w:sz w:val="28"/>
        </w:rPr>
      </w:pPr>
    </w:p>
    <w:p>
      <w:pPr>
        <w:pStyle w:val="2"/>
        <w:spacing w:before="66" w:line="364" w:lineRule="auto"/>
        <w:ind w:right="109"/>
      </w:pPr>
      <w:r>
        <w:t>1</w:t>
      </w:r>
      <w:r>
        <w:rPr>
          <w:spacing w:val="-8"/>
        </w:rPr>
        <w:t>、人民法院受理对债务人的破产清算申请时对债务人享有债权的债权人，依照《中华人民共和国企业破产法》规定的程序行使权利。债权人未依照《中华人民共和国企业破产法》规定申报债权的，不得行使权利。为</w:t>
      </w:r>
      <w:bookmarkStart w:id="0" w:name="_GoBack"/>
      <w:bookmarkEnd w:id="0"/>
      <w:r>
        <w:rPr>
          <w:spacing w:val="-8"/>
        </w:rPr>
        <w:t xml:space="preserve">审查和确认补充申报债权的费用，由补充申报人承担。 </w:t>
      </w:r>
    </w:p>
    <w:p>
      <w:pPr>
        <w:pStyle w:val="2"/>
        <w:spacing w:line="364" w:lineRule="auto"/>
        <w:ind w:right="192"/>
      </w:pPr>
      <w:r>
        <w:t>2</w:t>
      </w:r>
      <w:r>
        <w:rPr>
          <w:spacing w:val="-10"/>
        </w:rPr>
        <w:t>、依法申报债权并经管理人审查债权成立的债权人为债权人会议的成员，有权参加债权</w:t>
      </w:r>
      <w:r>
        <w:t xml:space="preserve">人会议，享有表决权。债权尚未确定的债权人，除人民法院能够为其行使表决权而临时确定债权额的外，不得行使表决权。对债务人的特定财产享有担保权的债权人，未放弃优先受偿权利的，对于通过和解协议、通过破产财产的分配方案不享有表决权。 </w:t>
      </w:r>
    </w:p>
    <w:p>
      <w:pPr>
        <w:pStyle w:val="2"/>
        <w:spacing w:before="3" w:line="364" w:lineRule="auto"/>
        <w:ind w:right="193"/>
      </w:pPr>
      <w:r>
        <w:t>3</w:t>
      </w:r>
      <w:r>
        <w:rPr>
          <w:spacing w:val="-9"/>
        </w:rPr>
        <w:t>、债权人可以委托代理人出席债权人会议，行使表决权。代理人出席债权人会议，应当</w:t>
      </w:r>
      <w:r>
        <w:t xml:space="preserve">向人民法院或者债权人会议主席提交债权人的授权委托书。债权人会议应当有债务人的职工和工会的代表参加，对有关事项发表意见。 </w:t>
      </w:r>
    </w:p>
    <w:p>
      <w:pPr>
        <w:pStyle w:val="2"/>
        <w:spacing w:line="364" w:lineRule="auto"/>
        <w:jc w:val="left"/>
      </w:pPr>
      <w:r>
        <w:t>4</w:t>
      </w:r>
      <w:r>
        <w:rPr>
          <w:spacing w:val="-10"/>
        </w:rPr>
        <w:t>、债权人会议设主席一人，由人民法院从有表决权的债权人中指定。债权人会议主席主</w:t>
      </w:r>
      <w:r>
        <w:t xml:space="preserve">持债权人会议。 </w:t>
      </w:r>
    </w:p>
    <w:p>
      <w:pPr>
        <w:pStyle w:val="2"/>
        <w:spacing w:line="364" w:lineRule="auto"/>
      </w:pPr>
      <w:r>
        <w:t>5</w:t>
      </w:r>
      <w:r>
        <w:rPr>
          <w:spacing w:val="-4"/>
        </w:rPr>
        <w:t>、债权人会议行使下列职权：</w:t>
      </w:r>
      <w:r>
        <w:rPr>
          <w:spacing w:val="-10"/>
        </w:rPr>
        <w:t>（</w:t>
      </w:r>
      <w:r>
        <w:t>一</w:t>
      </w:r>
      <w:r>
        <w:rPr>
          <w:spacing w:val="-10"/>
        </w:rPr>
        <w:t>）</w:t>
      </w:r>
      <w:r>
        <w:rPr>
          <w:spacing w:val="-3"/>
        </w:rPr>
        <w:t>核查债权；</w:t>
      </w:r>
      <w:r>
        <w:rPr>
          <w:spacing w:val="-10"/>
        </w:rPr>
        <w:t>（</w:t>
      </w:r>
      <w:r>
        <w:t>二</w:t>
      </w:r>
      <w:r>
        <w:rPr>
          <w:spacing w:val="-10"/>
        </w:rPr>
        <w:t>）</w:t>
      </w:r>
      <w:r>
        <w:rPr>
          <w:spacing w:val="-2"/>
        </w:rPr>
        <w:t>申请人民法院更换管理人，审查</w:t>
      </w:r>
      <w:r>
        <w:rPr>
          <w:spacing w:val="-4"/>
        </w:rPr>
        <w:t>管理人的费用和报酬；</w:t>
      </w:r>
      <w:r>
        <w:rPr>
          <w:spacing w:val="-22"/>
        </w:rPr>
        <w:t>（</w:t>
      </w:r>
      <w:r>
        <w:t>三</w:t>
      </w:r>
      <w:r>
        <w:rPr>
          <w:spacing w:val="-22"/>
        </w:rPr>
        <w:t>）</w:t>
      </w:r>
      <w:r>
        <w:rPr>
          <w:spacing w:val="-4"/>
        </w:rPr>
        <w:t>监督管理人；</w:t>
      </w:r>
      <w:r>
        <w:rPr>
          <w:spacing w:val="-24"/>
        </w:rPr>
        <w:t>（</w:t>
      </w:r>
      <w:r>
        <w:t>四</w:t>
      </w:r>
      <w:r>
        <w:rPr>
          <w:spacing w:val="-22"/>
        </w:rPr>
        <w:t>）</w:t>
      </w:r>
      <w:r>
        <w:rPr>
          <w:spacing w:val="-2"/>
        </w:rPr>
        <w:t>选任和更换债权人委员会成员；</w:t>
      </w:r>
      <w:r>
        <w:rPr>
          <w:spacing w:val="-22"/>
        </w:rPr>
        <w:t>（</w:t>
      </w:r>
      <w:r>
        <w:t>五</w:t>
      </w:r>
      <w:r>
        <w:rPr>
          <w:spacing w:val="-22"/>
        </w:rPr>
        <w:t>）</w:t>
      </w:r>
      <w:r>
        <w:rPr>
          <w:spacing w:val="-8"/>
        </w:rPr>
        <w:t>决定</w:t>
      </w:r>
      <w:r>
        <w:rPr>
          <w:spacing w:val="-2"/>
        </w:rPr>
        <w:t>继续或者停止债务人的营业；</w:t>
      </w:r>
      <w:r>
        <w:rPr>
          <w:spacing w:val="-22"/>
        </w:rPr>
        <w:t>（</w:t>
      </w:r>
      <w:r>
        <w:t>六</w:t>
      </w:r>
      <w:r>
        <w:rPr>
          <w:spacing w:val="-22"/>
        </w:rPr>
        <w:t>）</w:t>
      </w:r>
      <w:r>
        <w:rPr>
          <w:spacing w:val="-4"/>
        </w:rPr>
        <w:t>通过重整计划；</w:t>
      </w:r>
      <w:r>
        <w:rPr>
          <w:spacing w:val="-22"/>
        </w:rPr>
        <w:t>（</w:t>
      </w:r>
      <w:r>
        <w:t>七</w:t>
      </w:r>
      <w:r>
        <w:rPr>
          <w:spacing w:val="-22"/>
        </w:rPr>
        <w:t>）</w:t>
      </w:r>
      <w:r>
        <w:rPr>
          <w:spacing w:val="-4"/>
        </w:rPr>
        <w:t>通过和解协议；</w:t>
      </w:r>
      <w:r>
        <w:rPr>
          <w:spacing w:val="-22"/>
        </w:rPr>
        <w:t>（</w:t>
      </w:r>
      <w:r>
        <w:t>八</w:t>
      </w:r>
      <w:r>
        <w:rPr>
          <w:spacing w:val="-22"/>
        </w:rPr>
        <w:t>）</w:t>
      </w:r>
      <w:r>
        <w:rPr>
          <w:spacing w:val="-1"/>
        </w:rPr>
        <w:t xml:space="preserve">通过债务人财产的管理方案；（九）通过破产财产的变价方案；（十）通过破产财产的分配方案；（十一）人民法院认为应当由债权人会议行使的其他职权。债权人会议应当对所议事项的决议作成会议记录。 </w:t>
      </w:r>
    </w:p>
    <w:p>
      <w:pPr>
        <w:pStyle w:val="2"/>
        <w:spacing w:before="3" w:line="364" w:lineRule="auto"/>
      </w:pPr>
      <w:r>
        <w:t>6</w:t>
      </w:r>
      <w:r>
        <w:rPr>
          <w:spacing w:val="-10"/>
        </w:rPr>
        <w:t>、第一次债权人会议由人民法院召集，自债权申报期限届满之日起十五日内召开。以后</w:t>
      </w:r>
      <w:r>
        <w:t xml:space="preserve">的债权人会议，在人民法院认为必要时，或者管理人、债权人委员会、占债权总额四分之一以上的债权人向债权人会议主席提议时召开。召开债权人会议，管理人应当提前十五日通知已知的债权人。 </w:t>
      </w:r>
    </w:p>
    <w:p>
      <w:pPr>
        <w:pStyle w:val="2"/>
        <w:spacing w:before="56" w:line="364" w:lineRule="auto"/>
        <w:ind w:right="197" w:firstLine="480" w:firstLineChars="200"/>
        <w:jc w:val="both"/>
      </w:pPr>
      <w:r>
        <w:t>7</w:t>
      </w:r>
      <w:r>
        <w:rPr>
          <w:spacing w:val="-11"/>
        </w:rPr>
        <w:t>、债权人会议的决议，由出席会议的有表决权的债权人过半数通过，并且其所代表的债</w:t>
      </w:r>
      <w:r>
        <w:t xml:space="preserve">权额占无财产担保债权总额的二分之一以上。但是，《中华人民共和国企业破产法》另有规定的除外。债权人认为债权人会议的决议违反法律规定，损害其利益的，可以自债权人会议作出决议之日起十五日内，请求人民法院裁定撤销该决议，责令债权人会议依法重新作出决议。债权人会议的决议，对于全体债权人均有约束力。 </w:t>
      </w:r>
    </w:p>
    <w:p>
      <w:pPr>
        <w:pStyle w:val="2"/>
        <w:spacing w:before="1" w:line="364" w:lineRule="auto"/>
        <w:ind w:right="192"/>
        <w:jc w:val="both"/>
      </w:pPr>
      <w:r>
        <w:t>8</w:t>
      </w:r>
      <w:r>
        <w:rPr>
          <w:spacing w:val="-10"/>
        </w:rPr>
        <w:t>、债权人会议可以决定设立债权人委员会。债权人委员会由债权人会议选任的债权人代</w:t>
      </w:r>
      <w:r>
        <w:t xml:space="preserve">表和一名债务人的职工代表或者工会代表组成。债权人委员会成员不得超过九人。债权人委员会成员应当经人民法院书面决定认可。 </w:t>
      </w:r>
    </w:p>
    <w:p>
      <w:pPr>
        <w:pStyle w:val="2"/>
        <w:spacing w:line="364" w:lineRule="auto"/>
        <w:ind w:right="116"/>
        <w:jc w:val="left"/>
      </w:pPr>
      <w:r>
        <w:t xml:space="preserve">9、债权人委员会行使下列职权：（一）监督债务人财产的管理和处分；（二）监督破产财产分配；（三）提议召开债权人会议；（四）债权人会议委托的其他职权。  </w:t>
      </w:r>
    </w:p>
    <w:p>
      <w:pPr>
        <w:pStyle w:val="2"/>
        <w:spacing w:before="1" w:line="364" w:lineRule="auto"/>
        <w:ind w:right="193"/>
      </w:pPr>
      <w:r>
        <w:t>10、债权人委员会执行职务时，有权要求管理人、债务人的有关人员对其职权范围内的</w:t>
      </w:r>
      <w:r>
        <w:rPr>
          <w:spacing w:val="-13"/>
        </w:rPr>
        <w:t xml:space="preserve">事务作出说明或者提供有关文件。管理人、债务人的有关人员违反本法规定拒绝接受监督的， </w:t>
      </w:r>
      <w:r>
        <w:t xml:space="preserve">债权人委员会有权就监督事项请求人民法院作出决定；人民法院应当在五日内作出决定。 </w:t>
      </w:r>
    </w:p>
    <w:sectPr>
      <w:footerReference r:id="rId3" w:type="default"/>
      <w:pgSz w:w="11910" w:h="16840"/>
      <w:pgMar w:top="1140" w:right="940" w:bottom="1380" w:left="1020" w:header="0" w:footer="1197" w:gutter="0"/>
      <w:pgBorders w:offsetFrom="page">
        <w:top w:val="double" w:color="000000" w:sz="4" w:space="24"/>
        <w:left w:val="double" w:color="000000" w:sz="4" w:space="24"/>
        <w:bottom w:val="double" w:color="000000" w:sz="4" w:space="24"/>
        <w:right w:val="double" w:color="000000" w:sz="4" w:space="24"/>
      </w:pgBorders>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0" w:line="14" w:lineRule="auto"/>
      <w:ind w:left="0" w:right="0" w:firstLine="0"/>
      <w:jc w:val="left"/>
      <w:rPr>
        <w:sz w:val="20"/>
      </w:rPr>
    </w:pPr>
    <w:r>
      <w:pict>
        <v:shape id="_x0000_s1025" o:spid="_x0000_s1025" o:spt="202" type="#_x0000_t202" style="position:absolute;left:0pt;margin-left:293.35pt;margin-top:771.1pt;height:12pt;width:8.5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displayHorizontalDrawingGridEvery w:val="2"/>
  <w:characterSpacingControl w:val="doNotCompress"/>
  <w:hdrShapeDefaults>
    <o:shapelayout v:ext="edit">
      <o:idmap v:ext="edit" data="1"/>
    </o:shapelayout>
  </w:hdrShapeDefaults>
  <w:compat>
    <w:ulTrailSpace/>
    <w:shapeLayoutLikeWW8/>
    <w:useFELayout/>
    <w:compatSetting w:name="compatibilityMode" w:uri="http://schemas.microsoft.com/office/word" w:val="12"/>
  </w:compat>
  <w:rsids>
    <w:rsidRoot w:val="00526407"/>
    <w:rsid w:val="00010D73"/>
    <w:rsid w:val="00076AB0"/>
    <w:rsid w:val="00526407"/>
    <w:rsid w:val="00E8217D"/>
    <w:rsid w:val="1F510A24"/>
    <w:rsid w:val="5DAF0A78"/>
    <w:rsid w:val="5F661174"/>
    <w:rsid w:val="67BA61DA"/>
    <w:rsid w:val="7C8E08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宋体" w:hAnsi="宋体" w:eastAsia="宋体" w:cs="宋体"/>
      <w:sz w:val="22"/>
      <w:szCs w:val="22"/>
      <w:lang w:val="zh-CN" w:eastAsia="zh-CN" w:bidi="zh-CN"/>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spacing w:before="2"/>
      <w:ind w:left="112" w:right="190" w:firstLine="480"/>
      <w:jc w:val="both"/>
    </w:pPr>
    <w:rPr>
      <w:sz w:val="24"/>
      <w:szCs w:val="24"/>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style>
  <w:style w:type="paragraph" w:customStyle="1" w:styleId="7">
    <w:name w:val="Table Paragraph"/>
    <w:basedOn w:val="1"/>
    <w:qFormat/>
    <w:uiPriority w:val="1"/>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188</Words>
  <Characters>1077</Characters>
  <Lines>8</Lines>
  <Paragraphs>2</Paragraphs>
  <TotalTime>2</TotalTime>
  <ScaleCrop>false</ScaleCrop>
  <LinksUpToDate>false</LinksUpToDate>
  <CharactersWithSpaces>1263</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2020-04-07T09:42:00Z</dcterms:created>
  <dc:creator>lenovo</dc:creator>
  <cp:lastModifiedBy>PL审查</cp:lastModifiedBy>
  <dcterms:modified xsi:type="dcterms:W3CDTF">2021-03-10T09:57:21Z</dcterms:modified>
  <dc:title>债权人权利告知书</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2018-09-12T00:00:00Z</vt:filetime>
  </property>
  <property fmtid="{D5CDD505-2E9C-101B-9397-08002B2CF9AE}" pid="3" name="Creator">
    <vt:lpwstr>Microsoft® Word 2016</vt:lpwstr>
  </property>
  <property fmtid="{D5CDD505-2E9C-101B-9397-08002B2CF9AE}" pid="4" name="LastSaved">
    <vt:filetime>2020-04-07T00:00:00Z</vt:filetime>
  </property>
  <property fmtid="{D5CDD505-2E9C-101B-9397-08002B2CF9AE}" pid="5" name="KSOProductBuildVer">
    <vt:lpwstr>2052-11.1.0.10356</vt:lpwstr>
  </property>
  <property fmtid="{D5CDD505-2E9C-101B-9397-08002B2CF9AE}" pid="6" name="ICV">
    <vt:lpwstr>EA70F9C17BA74BBD93D5C43F92CF630F</vt:lpwstr>
  </property>
</Properties>
</file>