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债权人送达地址及银行账户信息确认书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500"/>
        <w:gridCol w:w="1921"/>
        <w:gridCol w:w="112"/>
        <w:gridCol w:w="1521"/>
        <w:gridCol w:w="56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债权人</w:t>
            </w:r>
          </w:p>
        </w:tc>
        <w:tc>
          <w:tcPr>
            <w:tcW w:w="6690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告知事项</w:t>
            </w:r>
          </w:p>
        </w:tc>
        <w:tc>
          <w:tcPr>
            <w:tcW w:w="6690" w:type="dxa"/>
            <w:gridSpan w:val="6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1.为保证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赣州市康加晖实业有限公司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破产清算程序顺利进行，债权人应当如实提供确切的送达地址及银行账户信息。 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2.如果提供的地址不确切，或不及时告知变更后的地址，使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赣州市康加晖实业有限公司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破产清算程序中相关法律文书、通知等无法送达或未及时送达，债权人将自行承担由此可能产生的法律后果。 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为提高送达效率，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赣州市康加晖实业有限公司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管理人可以采用传真、电子邮件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微信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等方式送达相关法律文书、通知等。以发送方设备显示发送成功视为送达。 </w:t>
            </w: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确认的送达地址及银行账户信息适用整个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赣州市康加晖实业有限公司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产清算过程。如果送达地址或银行账户信息有变更，应当及时书面告知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赣州市康加晖实业有限公司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管理人变更后的送达地址及银行账户信息。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债权人银行账户信息</w:t>
            </w:r>
          </w:p>
        </w:tc>
        <w:tc>
          <w:tcPr>
            <w:tcW w:w="6690" w:type="dxa"/>
            <w:gridSpan w:val="6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90" w:type="dxa"/>
            <w:gridSpan w:val="6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90" w:type="dxa"/>
            <w:gridSpan w:val="6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送达地址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及方式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指定签收人</w:t>
            </w:r>
          </w:p>
        </w:tc>
        <w:tc>
          <w:tcPr>
            <w:tcW w:w="5190" w:type="dxa"/>
            <w:gridSpan w:val="5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证件类型</w:t>
            </w:r>
          </w:p>
        </w:tc>
        <w:tc>
          <w:tcPr>
            <w:tcW w:w="1921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gridSpan w:val="2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证件号码</w:t>
            </w:r>
          </w:p>
        </w:tc>
        <w:tc>
          <w:tcPr>
            <w:tcW w:w="1636" w:type="dxa"/>
            <w:gridSpan w:val="2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3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送达地址</w:t>
            </w:r>
          </w:p>
        </w:tc>
        <w:tc>
          <w:tcPr>
            <w:tcW w:w="5190" w:type="dxa"/>
            <w:gridSpan w:val="5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是否接受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电子送达</w:t>
            </w:r>
          </w:p>
        </w:tc>
        <w:tc>
          <w:tcPr>
            <w:tcW w:w="5190" w:type="dxa"/>
            <w:gridSpan w:val="5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□是　□否 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□手机号码： 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□传真号码： 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□电子邮件地址：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邮编</w:t>
            </w:r>
          </w:p>
        </w:tc>
        <w:tc>
          <w:tcPr>
            <w:tcW w:w="1580" w:type="dxa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其他联系方式</w:t>
            </w:r>
          </w:p>
        </w:tc>
        <w:tc>
          <w:tcPr>
            <w:tcW w:w="5190" w:type="dxa"/>
            <w:gridSpan w:val="5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83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债权人确认</w:t>
            </w:r>
          </w:p>
        </w:tc>
        <w:tc>
          <w:tcPr>
            <w:tcW w:w="6690" w:type="dxa"/>
            <w:gridSpan w:val="6"/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本单位（本人）已阅读(听明白)本确认书的告知事项，提供了上栏银行账户信息及送达地址，确认了上栏送达方式，并保证所提供的银行账户信息及送达地址各项内容是正确的、有效的。如在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赣州市康加晖实业有限公司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破产清算过程中送达地址发生变化，将及时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书面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通知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赣州市康加晖实业有限公司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管理人。 </w:t>
            </w:r>
          </w:p>
          <w:p>
            <w:pPr>
              <w:ind w:firstLine="2100" w:firstLineChars="10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债权人（签名或盖章）：   </w:t>
            </w: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年    月   日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690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27207"/>
    <w:rsid w:val="00A0073B"/>
    <w:rsid w:val="00CD4402"/>
    <w:rsid w:val="00D70A21"/>
    <w:rsid w:val="0FB36BBC"/>
    <w:rsid w:val="15627207"/>
    <w:rsid w:val="215F2E98"/>
    <w:rsid w:val="2AEF435D"/>
    <w:rsid w:val="2FC14691"/>
    <w:rsid w:val="38A34BE9"/>
    <w:rsid w:val="39C215F5"/>
    <w:rsid w:val="3BF25A5C"/>
    <w:rsid w:val="449043D3"/>
    <w:rsid w:val="4BF21385"/>
    <w:rsid w:val="550149C4"/>
    <w:rsid w:val="56E202B2"/>
    <w:rsid w:val="6EF27270"/>
    <w:rsid w:val="71F6416B"/>
    <w:rsid w:val="75B91528"/>
    <w:rsid w:val="779541E4"/>
    <w:rsid w:val="7864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2017-11-12T12:49:00Z</dcterms:created>
  <dc:creator>199301230116</dc:creator>
  <cp:lastModifiedBy>zh</cp:lastModifiedBy>
  <cp:lastPrinted>2017-11-13T02:07:00Z</cp:lastPrinted>
  <dcterms:modified xsi:type="dcterms:W3CDTF">2021-03-26T06:56:37Z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B8F0CEA7C8D84862A9C1875B4317F923</vt:lpwstr>
  </property>
</Properties>
</file>