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河北海贺胜利印刷机械集团有限公司管理人</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关于公开招募河北海贺胜利印刷机械集团有限公司重整投资人的公告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河北海贺胜利印刷机械集团有限公司（以下简称海贺公司）因不能清偿到期债务，且明显缺乏清偿能力，向唐山市中级人民法院提出重整申请。唐山市中级人民法院于2020年3月12日裁定受理河北海贺胜利印刷机械集团有限公司的重整申请，2020年4月26日将该案移送玉田县人民法院审理。2020 年 6 月 11 日，玉田县人民法院立案受理河北海贺胜利印刷机械集团有限公司申请破产重整一案，并于 2020 年 7 月 13 日指定河北冀华律师事务所为管理人。为保护广大债权人的合法权益，尽快推动重整进程，管理人现面向社会公开招募重整投资人。现公告如下∶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一、海贺公司基本情况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（一）基本信息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海贺公司系 2004 年 3 月 1 日在玉田县市场监督管理局登记设立的有限责任公司，住所地玉田县玉泰工业园区，法定代表人孙智先，注册资本 147727057 元，公司股东为深圳市敦石投资有限公司、孙智先、玉田县国宇企业管理合伙企业（有限合伙）等，经营范围印刷机械、印刷器材制造销售、技术咨询及技术服务、技术及软件开发、技术转让。经营本企业自产产品及技术的出口业务和本企业所需的机械设备、零配件、原辅材料及技术的进口业务，但国家限定公司经营或禁止进出口的商品及技术除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海贺公司已于 2017 年 8 月份全面停产停业。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债务情况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截至目前海贺公司共有职工债权元，税务债权元，其他债权元，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主要资产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经评估，海贺公司非流动资产 7,456.7万元，主要包括：</w:t>
      </w: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sz w:val="28"/>
          <w:szCs w:val="28"/>
          <w:lang w:val="en-US" w:eastAsia="zh-CN"/>
        </w:rPr>
        <w:t>、国有土地使用权三宗，位于玉田玉泰工业园区，西环路西侧，面积共计90557.45㎡（135.836亩）。2、厂房、办公楼等建筑物14处，登记在4个产权证下，面积共计22209.38㎡。3、生产设备有80项，为印机设备及其配套。上述土地、房产、设备已全部抵押给金融机构。4、海贺公司在建工程为南院综合楼及生产车间，目前处于停工状态。5、海贺公司存货主要为原材料、周转材料、生产成本、委托加工物资。6、专利技术证书37个，16项已到期，著作权证书1个。7、其他（包括家具、树木等）</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海贺公司优势</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作为集科研、开发、生产、销售和服务于一体的综合性实业集团公司，是一个专业的印后加工设备供应商。主要包括"胜利"牌全自动烫金机、模切机、裱纸机等20多种规格产品。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2010年年初，公司"胜利"商标被认定为中国驰名商标。</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三、招募意向重整投资人须知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bookmarkStart w:id="0" w:name="bookmark11"/>
      <w:r>
        <w:rPr>
          <w:rFonts w:hint="eastAsia" w:ascii="仿宋_GB2312" w:hAnsi="仿宋_GB2312" w:eastAsia="仿宋_GB2312" w:cs="仿宋_GB2312"/>
          <w:sz w:val="28"/>
          <w:szCs w:val="28"/>
          <w:lang w:val="en-US" w:eastAsia="zh-CN"/>
        </w:rPr>
        <w:t>1</w:t>
      </w:r>
      <w:bookmarkEnd w:id="0"/>
      <w:r>
        <w:rPr>
          <w:rFonts w:hint="eastAsia" w:ascii="仿宋_GB2312" w:hAnsi="仿宋_GB2312" w:eastAsia="仿宋_GB2312" w:cs="仿宋_GB2312"/>
          <w:sz w:val="28"/>
          <w:szCs w:val="28"/>
          <w:lang w:val="en-US" w:eastAsia="zh-CN"/>
        </w:rPr>
        <w:t>、为公开、公平、公正地引入重整投资人，本次拟招海贺公司的意向重整投资人以公开的方式进行，向全社会公开发布，接受社会公众监督。</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bookmarkStart w:id="1" w:name="bookmark12"/>
      <w:r>
        <w:rPr>
          <w:rFonts w:hint="eastAsia" w:ascii="仿宋_GB2312" w:hAnsi="仿宋_GB2312" w:eastAsia="仿宋_GB2312" w:cs="仿宋_GB2312"/>
          <w:sz w:val="28"/>
          <w:szCs w:val="28"/>
          <w:lang w:val="en-US" w:eastAsia="zh-CN"/>
        </w:rPr>
        <w:t>2</w:t>
      </w:r>
      <w:bookmarkEnd w:id="1"/>
      <w:r>
        <w:rPr>
          <w:rFonts w:hint="eastAsia" w:ascii="仿宋_GB2312" w:hAnsi="仿宋_GB2312" w:eastAsia="仿宋_GB2312" w:cs="仿宋_GB2312"/>
          <w:sz w:val="28"/>
          <w:szCs w:val="28"/>
          <w:lang w:val="en-US" w:eastAsia="zh-CN"/>
        </w:rPr>
        <w:t>、意向重整投资人应认真仔细阅读本公告，按照本公告规定的条件、时间、规则向管理人办理报名手续及提交相关文件资料。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bookmarkStart w:id="2" w:name="bookmark13"/>
      <w:r>
        <w:rPr>
          <w:rFonts w:hint="eastAsia" w:ascii="仿宋_GB2312" w:hAnsi="仿宋_GB2312" w:eastAsia="仿宋_GB2312" w:cs="仿宋_GB2312"/>
          <w:sz w:val="28"/>
          <w:szCs w:val="28"/>
          <w:lang w:val="en-US" w:eastAsia="zh-CN"/>
        </w:rPr>
        <w:t>3</w:t>
      </w:r>
      <w:bookmarkEnd w:id="2"/>
      <w:r>
        <w:rPr>
          <w:rFonts w:hint="eastAsia" w:ascii="仿宋_GB2312" w:hAnsi="仿宋_GB2312" w:eastAsia="仿宋_GB2312" w:cs="仿宋_GB2312"/>
          <w:sz w:val="28"/>
          <w:szCs w:val="28"/>
          <w:lang w:val="en-US" w:eastAsia="zh-CN"/>
        </w:rPr>
        <w:t>、本公告中所列明的海贺公司的概况为管理人初步调查情况，不构成管理人向意向重整投资人的承诺。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bookmarkStart w:id="3" w:name="bookmark14"/>
      <w:r>
        <w:rPr>
          <w:rFonts w:hint="eastAsia" w:ascii="仿宋_GB2312" w:hAnsi="仿宋_GB2312" w:eastAsia="仿宋_GB2312" w:cs="仿宋_GB2312"/>
          <w:sz w:val="28"/>
          <w:szCs w:val="28"/>
          <w:lang w:val="en-US" w:eastAsia="zh-CN"/>
        </w:rPr>
        <w:t>4</w:t>
      </w:r>
      <w:bookmarkEnd w:id="3"/>
      <w:r>
        <w:rPr>
          <w:rFonts w:hint="eastAsia" w:ascii="仿宋_GB2312" w:hAnsi="仿宋_GB2312" w:eastAsia="仿宋_GB2312" w:cs="仿宋_GB2312"/>
          <w:sz w:val="28"/>
          <w:szCs w:val="28"/>
          <w:lang w:val="en-US" w:eastAsia="zh-CN"/>
        </w:rPr>
        <w:t>、意向投资人在考虑是否参与海贺公司重整投资时，除参考本公告内容外，应自行决定是否聘请专业人员进行尽职调查。意向重整投资人如需查阅海贺公司相关资料、了解相关情况、 或进行尽职调查，请在2021年4月23日前向海贺公司管理人提出书面申请并签署《保密协议》之后进行，意向重整投资人自行承担开展尽职调查所需费用。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bookmarkStart w:id="4" w:name="bookmark15"/>
      <w:r>
        <w:rPr>
          <w:rFonts w:hint="eastAsia" w:ascii="仿宋_GB2312" w:hAnsi="仿宋_GB2312" w:eastAsia="仿宋_GB2312" w:cs="仿宋_GB2312"/>
          <w:sz w:val="28"/>
          <w:szCs w:val="28"/>
          <w:lang w:val="en-US" w:eastAsia="zh-CN"/>
        </w:rPr>
        <w:t>5</w:t>
      </w:r>
      <w:bookmarkEnd w:id="4"/>
      <w:r>
        <w:rPr>
          <w:rFonts w:hint="eastAsia" w:ascii="仿宋_GB2312" w:hAnsi="仿宋_GB2312" w:eastAsia="仿宋_GB2312" w:cs="仿宋_GB2312"/>
          <w:sz w:val="28"/>
          <w:szCs w:val="28"/>
          <w:lang w:val="en-US" w:eastAsia="zh-CN"/>
        </w:rPr>
        <w:t>、本招募公告内容并非要约文件，不具备重整投资协议的约束性效力，仅作为参考资料使用。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bookmarkStart w:id="5" w:name="bookmark16"/>
      <w:r>
        <w:rPr>
          <w:rFonts w:hint="eastAsia" w:ascii="仿宋_GB2312" w:hAnsi="仿宋_GB2312" w:eastAsia="仿宋_GB2312" w:cs="仿宋_GB2312"/>
          <w:sz w:val="28"/>
          <w:szCs w:val="28"/>
          <w:lang w:val="en-US" w:eastAsia="zh-CN"/>
        </w:rPr>
        <w:t>6</w:t>
      </w:r>
      <w:bookmarkEnd w:id="5"/>
      <w:r>
        <w:rPr>
          <w:rFonts w:hint="eastAsia" w:ascii="仿宋_GB2312" w:hAnsi="仿宋_GB2312" w:eastAsia="仿宋_GB2312" w:cs="仿宋_GB2312"/>
          <w:sz w:val="28"/>
          <w:szCs w:val="28"/>
          <w:lang w:val="en-US" w:eastAsia="zh-CN"/>
        </w:rPr>
        <w:t>、意向重整投资人向管理人按本招募公告内容提交重整投资文件的，即视为同意按照海贺公司的现状进行重整投资，相关投资风险应自行承担。</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bookmarkStart w:id="6" w:name="bookmark17"/>
      <w:r>
        <w:rPr>
          <w:rFonts w:hint="eastAsia" w:ascii="仿宋_GB2312" w:hAnsi="仿宋_GB2312" w:eastAsia="仿宋_GB2312" w:cs="仿宋_GB2312"/>
          <w:sz w:val="28"/>
          <w:szCs w:val="28"/>
          <w:lang w:val="en-US" w:eastAsia="zh-CN"/>
        </w:rPr>
        <w:t>7</w:t>
      </w:r>
      <w:bookmarkEnd w:id="6"/>
      <w:r>
        <w:rPr>
          <w:rFonts w:hint="eastAsia" w:ascii="仿宋_GB2312" w:hAnsi="仿宋_GB2312" w:eastAsia="仿宋_GB2312" w:cs="仿宋_GB2312"/>
          <w:sz w:val="28"/>
          <w:szCs w:val="28"/>
          <w:lang w:val="en-US" w:eastAsia="zh-CN"/>
        </w:rPr>
        <w:t>、因投资经营海贺公司所需的一切证照及行政许可的手续均系企业自身责任，任何人不承诺予以办理。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bookmarkStart w:id="7" w:name="bookmark18"/>
      <w:r>
        <w:rPr>
          <w:rFonts w:hint="eastAsia" w:ascii="仿宋_GB2312" w:hAnsi="仿宋_GB2312" w:eastAsia="仿宋_GB2312" w:cs="仿宋_GB2312"/>
          <w:sz w:val="28"/>
          <w:szCs w:val="28"/>
          <w:lang w:val="en-US" w:eastAsia="zh-CN"/>
        </w:rPr>
        <w:t>8</w:t>
      </w:r>
      <w:bookmarkEnd w:id="7"/>
      <w:r>
        <w:rPr>
          <w:rFonts w:hint="eastAsia" w:ascii="仿宋_GB2312" w:hAnsi="仿宋_GB2312" w:eastAsia="仿宋_GB2312" w:cs="仿宋_GB2312"/>
          <w:sz w:val="28"/>
          <w:szCs w:val="28"/>
          <w:lang w:val="en-US" w:eastAsia="zh-CN"/>
        </w:rPr>
        <w:t>、意向重整投资人报名资格、条件及要求可能因具体情况发生变化，意向重整投资人在报名时对此进行了充分了解。</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bookmarkStart w:id="8" w:name="bookmark19"/>
      <w:r>
        <w:rPr>
          <w:rFonts w:hint="eastAsia" w:ascii="仿宋_GB2312" w:hAnsi="仿宋_GB2312" w:eastAsia="仿宋_GB2312" w:cs="仿宋_GB2312"/>
          <w:sz w:val="28"/>
          <w:szCs w:val="28"/>
          <w:lang w:val="en-US" w:eastAsia="zh-CN"/>
        </w:rPr>
        <w:t>9</w:t>
      </w:r>
      <w:bookmarkEnd w:id="8"/>
      <w:r>
        <w:rPr>
          <w:rFonts w:hint="eastAsia" w:ascii="仿宋_GB2312" w:hAnsi="仿宋_GB2312" w:eastAsia="仿宋_GB2312" w:cs="仿宋_GB2312"/>
          <w:sz w:val="28"/>
          <w:szCs w:val="28"/>
          <w:lang w:val="en-US" w:eastAsia="zh-CN"/>
        </w:rPr>
        <w:t>、本公告由管理人负责最终解释。</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四、招募方案</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（一）意向重整投资人报名资格条件及要求</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1、依法成立并有效存续的企业法人或拥有中华人民共和国国籍的自然人均可申报，有较高的社会责任感和良好的商业信誉；</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2、拥有足够的资金实力进行重整投资，拥有与债务人经营规模相适应的经营管理能力，保证重整后公司持续经营;</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3、无数额较大到期未清偿债务，无作为被执行人的案件;最近三年无重大违法行为;最近三年未列入失信行为人等; </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4、意向投资人或其控股股东、实际控制人财务状况或信用记录不良的，管理人有权认定意向投资人不具备重整投资人资格；</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5、两个或两个以上的公司可联合参与投资，需书面说明各自的角色分工，但至少有一个公司符合上述条件; </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6、意向投资人根据本公告要求向管理人提交重整投资文件的，视为报名参与投资人遴选报名。</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（二）申报材料</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bookmarkStart w:id="9" w:name="bookmark32"/>
      <w:bookmarkEnd w:id="9"/>
      <w:r>
        <w:rPr>
          <w:rFonts w:hint="eastAsia" w:ascii="仿宋_GB2312" w:hAnsi="仿宋_GB2312" w:eastAsia="仿宋_GB2312" w:cs="仿宋_GB2312"/>
          <w:sz w:val="28"/>
          <w:szCs w:val="28"/>
          <w:lang w:val="en-US" w:eastAsia="zh-CN"/>
        </w:rPr>
        <w:t>1、重整投资意向申报书（包括但不限于申报人基本情况、主要业绩、近三年资产负债表、资金实力、投资优势、</w:t>
      </w:r>
      <w:r>
        <w:rPr>
          <w:rFonts w:hint="eastAsia" w:ascii="仿宋_GB2312" w:hAnsi="仿宋_GB2312" w:eastAsia="仿宋_GB2312" w:cs="仿宋_GB2312"/>
          <w:color w:val="000000"/>
          <w:spacing w:val="0"/>
          <w:w w:val="100"/>
          <w:position w:val="0"/>
          <w:sz w:val="28"/>
          <w:szCs w:val="28"/>
        </w:rPr>
        <w:t>拟投入的资金以及对重整的初步构思、经营方案</w:t>
      </w:r>
      <w:r>
        <w:rPr>
          <w:rFonts w:hint="eastAsia" w:ascii="仿宋_GB2312" w:hAnsi="仿宋_GB2312" w:eastAsia="仿宋_GB2312" w:cs="仿宋_GB2312"/>
          <w:sz w:val="28"/>
          <w:szCs w:val="28"/>
          <w:lang w:val="en-US" w:eastAsia="zh-CN"/>
        </w:rPr>
        <w:t>等）；</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bookmarkStart w:id="10" w:name="bookmark33"/>
      <w:bookmarkEnd w:id="10"/>
      <w:r>
        <w:rPr>
          <w:rFonts w:hint="eastAsia" w:ascii="仿宋_GB2312" w:hAnsi="仿宋_GB2312" w:eastAsia="仿宋_GB2312" w:cs="仿宋_GB2312"/>
          <w:sz w:val="28"/>
          <w:szCs w:val="28"/>
          <w:lang w:val="en-US" w:eastAsia="zh-CN"/>
        </w:rPr>
        <w:t>2、申报人为法人的，需提供营业执照副本复印件、法定代表人身份证明（需加盖企业公章，报名时提供原件核对，并附法定代表人身份证复印件）；申报人为自然人的，需提交身份证复印件，签字按手印；</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bookmarkStart w:id="11" w:name="bookmark34"/>
      <w:bookmarkEnd w:id="11"/>
      <w:r>
        <w:rPr>
          <w:rFonts w:hint="eastAsia" w:ascii="仿宋_GB2312" w:hAnsi="仿宋_GB2312" w:eastAsia="仿宋_GB2312" w:cs="仿宋_GB2312"/>
          <w:sz w:val="28"/>
          <w:szCs w:val="28"/>
          <w:lang w:val="en-US" w:eastAsia="zh-CN"/>
        </w:rPr>
        <w:t>3、授权委托书原件和代理人身份证复印件（报名时提供原件核对）；</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bookmarkStart w:id="12" w:name="bookmark35"/>
      <w:bookmarkEnd w:id="12"/>
      <w:r>
        <w:rPr>
          <w:rFonts w:hint="eastAsia" w:ascii="仿宋_GB2312" w:hAnsi="仿宋_GB2312" w:eastAsia="仿宋_GB2312" w:cs="仿宋_GB2312"/>
          <w:sz w:val="28"/>
          <w:szCs w:val="28"/>
          <w:lang w:val="en-US" w:eastAsia="zh-CN"/>
        </w:rPr>
        <w:t>4、联系地址、联系人、联系电话、电子邮箱等；</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5、其他。</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五、保证金</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意向投资人拟对债务人进行重整投资的，应缴纳投资保证金。</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（1）投资保证金的金额及缴纳方式</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意向投资人提交重整方案，参与债务人重整投资人遴选的投资保证金为500万元（大写：伍佰万元）。意向投资人应于2021年4月23日前将投资保证金汇入管理人指定银行账户（意向投资人应与管理人核实投资保证金是否到账，因银行系统原因导致未能按时到账的责任由意向投资人承担）。</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未按规定缴纳投资保证金或提交投资申报书的，意向投资人丧失参与重整投资人遴选资格。</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（2）投资保证金的没收</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重整投资文件提交之日届满后，已向管理人缴纳投资保证金的意向投资人，未经管理人同意，不得单方撤回投资文件、不得单方退出本次重整投资人遴选，或中标后退出重整投资；否则，管理人有权没收其缴纳的投资保证金。</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《重整计划（草案）》获玉田县人民法院裁定批准后，重整投资人未按《重整计划》缴纳投资款,或未履行其他主要义务的，管理人有权没收其缴纳的投资保证金，取消其重整投资人资格，重新确定重整投资人。</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没收的保证金将纳入债务人财产，管理人将依据《破产法》及司法解释相关规定，用于支付破产费用、管理人报酬、共益债务（如有）、清偿各项债务。</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（3）投资保证金的使用</w:t>
      </w:r>
      <w:bookmarkStart w:id="15" w:name="_GoBack"/>
      <w:bookmarkEnd w:id="15"/>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债务人《重整计划（草案）》获玉田县人民法院裁定批准后，重整投资人所缴的投资保证金将转为履约保证金，具体使用方式和使用时间由投资人与管理人另行协商。</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（4）投资保证金的退还</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管理人经评审确定重整投资人后10个工作日内退还其他意向投资人所缴的投资保证金（不计息）。</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如债务人《重整计划（草案）》未获玉田县人民法院裁定批准的，管理人自玉田县人民法院裁定终止重整程序并宣吿债务人破产之日起5个工作日内退还重整投资人所缴的投资保证金（不计息）。</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六、报名时间、地点</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bookmarkStart w:id="13" w:name="bookmark45"/>
      <w:bookmarkEnd w:id="13"/>
      <w:r>
        <w:rPr>
          <w:rFonts w:hint="eastAsia" w:ascii="仿宋_GB2312" w:hAnsi="仿宋_GB2312" w:eastAsia="仿宋_GB2312" w:cs="仿宋_GB2312"/>
          <w:sz w:val="28"/>
          <w:szCs w:val="28"/>
          <w:lang w:val="en-US" w:eastAsia="zh-CN"/>
        </w:rPr>
        <w:t>报名时间：自本公告发布之日起至4月23日下午5时。</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bookmarkStart w:id="14" w:name="bookmark46"/>
      <w:bookmarkEnd w:id="14"/>
      <w:r>
        <w:rPr>
          <w:rFonts w:hint="eastAsia" w:ascii="仿宋_GB2312" w:hAnsi="仿宋_GB2312" w:eastAsia="仿宋_GB2312" w:cs="仿宋_GB2312"/>
          <w:sz w:val="28"/>
          <w:szCs w:val="28"/>
          <w:lang w:val="en-US" w:eastAsia="zh-CN"/>
        </w:rPr>
        <w:t>报名地点：河北海贺胜利印刷机械集团有限公司管理人办公室。</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联系人：赵律师</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电话：18733175895</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righ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河北海贺胜利印刷机械集团有限公司管理人</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sz w:val="28"/>
          <w:szCs w:val="28"/>
          <w:lang w:val="en-US" w:eastAsia="zh-CN"/>
        </w:rPr>
      </w:pPr>
    </w:p>
    <w:p>
      <w:pPr>
        <w:pStyle w:val="2"/>
        <w:keepNext w:val="0"/>
        <w:keepLines w:val="0"/>
        <w:pageBreakBefore w:val="0"/>
        <w:widowControl w:val="0"/>
        <w:kinsoku/>
        <w:wordWrap w:val="0"/>
        <w:overflowPunct/>
        <w:topLinePunct w:val="0"/>
        <w:autoSpaceDE/>
        <w:autoSpaceDN/>
        <w:bidi w:val="0"/>
        <w:adjustRightInd/>
        <w:snapToGrid/>
        <w:spacing w:line="560" w:lineRule="exact"/>
        <w:ind w:left="0" w:leftChars="0" w:firstLine="560" w:firstLineChars="200"/>
        <w:jc w:val="righ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2021年4月8日        </w:t>
      </w:r>
    </w:p>
    <w:sectPr>
      <w:footerReference r:id="rId3" w:type="default"/>
      <w:pgSz w:w="11906" w:h="16838"/>
      <w:pgMar w:top="1701" w:right="1474" w:bottom="1701"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3853815</wp:posOffset>
              </wp:positionH>
              <wp:positionV relativeFrom="page">
                <wp:posOffset>9617075</wp:posOffset>
              </wp:positionV>
              <wp:extent cx="42545" cy="73025"/>
              <wp:effectExtent l="0" t="0" r="0" b="0"/>
              <wp:wrapNone/>
              <wp:docPr id="5" name="Shape 5"/>
              <wp:cNvGraphicFramePr/>
              <a:graphic xmlns:a="http://schemas.openxmlformats.org/drawingml/2006/main">
                <a:graphicData uri="http://schemas.microsoft.com/office/word/2010/wordprocessingShape">
                  <wps:wsp>
                    <wps:cNvSpPr txBox="1"/>
                    <wps:spPr>
                      <a:xfrm>
                        <a:off x="0" y="0"/>
                        <a:ext cx="42545" cy="73025"/>
                      </a:xfrm>
                      <a:prstGeom prst="rect">
                        <a:avLst/>
                      </a:prstGeom>
                      <a:noFill/>
                    </wps:spPr>
                    <wps:txbx>
                      <w:txbxContent>
                        <w:p>
                          <w:pPr>
                            <w:pStyle w:val="11"/>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7"/>
                              <w:szCs w:val="17"/>
                            </w:rPr>
                            <w:t>#</w:t>
                          </w:r>
                          <w:r>
                            <w:rPr>
                              <w:rFonts w:ascii="Times New Roman" w:hAnsi="Times New Roman" w:eastAsia="Times New Roman" w:cs="Times New Roman"/>
                              <w:color w:val="000000"/>
                              <w:spacing w:val="0"/>
                              <w:w w:val="100"/>
                              <w:position w:val="0"/>
                              <w:sz w:val="17"/>
                              <w:szCs w:val="17"/>
                            </w:rPr>
                            <w:fldChar w:fldCharType="end"/>
                          </w:r>
                        </w:p>
                      </w:txbxContent>
                    </wps:txbx>
                    <wps:bodyPr wrap="none" lIns="0" tIns="0" rIns="0" bIns="0">
                      <a:spAutoFit/>
                    </wps:bodyPr>
                  </wps:wsp>
                </a:graphicData>
              </a:graphic>
            </wp:anchor>
          </w:drawing>
        </mc:Choice>
        <mc:Fallback>
          <w:pict>
            <v:shape id="Shape 5" o:spid="_x0000_s1026" o:spt="202" type="#_x0000_t202" style="position:absolute;left:0pt;margin-left:303.45pt;margin-top:757.25pt;height:5.75pt;width:3.35pt;mso-position-horizontal-relative:page;mso-position-vertical-relative:page;mso-wrap-style:none;z-index:-251657216;mso-width-relative:page;mso-height-relative:page;" filled="f" stroked="f" coordsize="21600,21600" o:gfxdata="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MPxSWHYAAAA&#10;DQEAAA8AAAAAAAAAAQAgAAAAIgAAAGRycy9kb3ducmV2LnhtbFBLAQIUABQAAAAIAIdO4kC7WZL6&#10;qwEAAG0DAAAOAAAAAAAAAAEAIAAAACcBAABkcnMvZTJvRG9jLnhtbFBLBQYAAAAABgAGAFkBAABE&#10;BQAAAAA=&#10;">
              <v:fill on="f" focussize="0,0"/>
              <v:stroke on="f"/>
              <v:imagedata o:title=""/>
              <o:lock v:ext="edit" aspectratio="f"/>
              <v:textbox inset="0mm,0mm,0mm,0mm" style="mso-fit-shape-to-text:t;">
                <w:txbxContent>
                  <w:p>
                    <w:pPr>
                      <w:pStyle w:val="11"/>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7"/>
                        <w:szCs w:val="17"/>
                      </w:rPr>
                      <w:t>#</w:t>
                    </w:r>
                    <w:r>
                      <w:rPr>
                        <w:rFonts w:ascii="Times New Roman" w:hAnsi="Times New Roman" w:eastAsia="Times New Roman" w:cs="Times New Roman"/>
                        <w:color w:val="000000"/>
                        <w:spacing w:val="0"/>
                        <w:w w:val="100"/>
                        <w:position w:val="0"/>
                        <w:sz w:val="17"/>
                        <w:szCs w:val="17"/>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233DE0"/>
    <w:multiLevelType w:val="singleLevel"/>
    <w:tmpl w:val="CE233DE0"/>
    <w:lvl w:ilvl="0" w:tentative="0">
      <w:start w:val="2"/>
      <w:numFmt w:val="chineseCounting"/>
      <w:suff w:val="nothing"/>
      <w:lvlText w:val="（%1）"/>
      <w:lvlJc w:val="left"/>
      <w:rPr>
        <w:rFonts w:hint="eastAsia"/>
      </w:rPr>
    </w:lvl>
  </w:abstractNum>
  <w:abstractNum w:abstractNumId="1">
    <w:nsid w:val="1AA00F9A"/>
    <w:multiLevelType w:val="singleLevel"/>
    <w:tmpl w:val="1AA00F9A"/>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C70705"/>
    <w:rsid w:val="0EB51F2F"/>
    <w:rsid w:val="208A1B76"/>
    <w:rsid w:val="2542376E"/>
    <w:rsid w:val="34DF0E44"/>
    <w:rsid w:val="44333FD5"/>
    <w:rsid w:val="47781DE8"/>
    <w:rsid w:val="53756FB6"/>
    <w:rsid w:val="53B5721D"/>
    <w:rsid w:val="69B930FC"/>
    <w:rsid w:val="6A08177B"/>
    <w:rsid w:val="6DC70705"/>
    <w:rsid w:val="77795469"/>
    <w:rsid w:val="7F527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semiHidden/>
    <w:unhideWhenUsed/>
    <w:qFormat/>
    <w:uiPriority w:val="0"/>
    <w:pPr>
      <w:ind w:firstLine="420" w:firstLineChars="200"/>
    </w:pPr>
  </w:style>
  <w:style w:type="paragraph" w:styleId="6">
    <w:name w:val="annotation text"/>
    <w:basedOn w:val="1"/>
    <w:qFormat/>
    <w:uiPriority w:val="0"/>
    <w:pPr>
      <w:jc w:val="left"/>
    </w:p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Body text|1"/>
    <w:basedOn w:val="1"/>
    <w:qFormat/>
    <w:uiPriority w:val="0"/>
    <w:pPr>
      <w:widowControl w:val="0"/>
      <w:shd w:val="clear" w:color="auto" w:fill="auto"/>
      <w:spacing w:line="480" w:lineRule="auto"/>
      <w:ind w:firstLine="400"/>
    </w:pPr>
    <w:rPr>
      <w:rFonts w:ascii="宋体" w:hAnsi="宋体" w:eastAsia="宋体" w:cs="宋体"/>
      <w:sz w:val="26"/>
      <w:szCs w:val="26"/>
      <w:u w:val="none"/>
      <w:shd w:val="clear" w:color="auto" w:fill="auto"/>
      <w:lang w:val="zh-TW" w:eastAsia="zh-TW" w:bidi="zh-TW"/>
    </w:rPr>
  </w:style>
  <w:style w:type="paragraph" w:customStyle="1" w:styleId="11">
    <w:name w:val="Header or footer|2"/>
    <w:basedOn w:val="1"/>
    <w:qFormat/>
    <w:uiPriority w:val="0"/>
    <w:pPr>
      <w:widowControl w:val="0"/>
      <w:shd w:val="clear" w:color="auto" w:fill="auto"/>
    </w:pPr>
    <w:rPr>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2020-11-03T02:44:00Z</dcterms:created>
  <dc:creator>赵秀英</dc:creator>
  <cp:lastModifiedBy>赵秀英</cp:lastModifiedBy>
  <dcterms:modified xsi:type="dcterms:W3CDTF">2021-04-08T07:47:55Z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3BF1AAEE766A482DAAFCA4093682EE1B</vt:lpwstr>
  </property>
</Properties>
</file>