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莆田市华品鞋业有限公司破产清算案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</w:rPr>
        <w:t>关于职工债权的公示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莆田市涵江区人民法院、第一次债权人会议：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2021年4月6日，莆田市中级人民法院根据莆田市东鸿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材有限公司的申请，作出（2021）闽03破申2号民事裁定，受理申请人对被申请人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莆田市华品鞋业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的破产清算申请并指定由莆田市涵江区人民法院审理。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莆田市涵江区人民法院</w:t>
      </w:r>
      <w:r>
        <w:rPr>
          <w:rFonts w:hint="eastAsia" w:ascii="仿宋" w:hAnsi="仿宋" w:eastAsia="仿宋" w:cs="仿宋"/>
          <w:sz w:val="28"/>
          <w:szCs w:val="28"/>
        </w:rPr>
        <w:t>于2021年4月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立案受理莆田市华品鞋业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破产清算</w:t>
      </w:r>
      <w:r>
        <w:rPr>
          <w:rFonts w:hint="eastAsia" w:ascii="仿宋" w:hAnsi="仿宋" w:eastAsia="仿宋" w:cs="仿宋"/>
          <w:sz w:val="28"/>
          <w:szCs w:val="28"/>
        </w:rPr>
        <w:t>一案，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案号为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(2021)闽0303破2号，</w:t>
      </w:r>
      <w:r>
        <w:rPr>
          <w:rFonts w:hint="eastAsia" w:ascii="仿宋" w:hAnsi="仿宋" w:eastAsia="仿宋" w:cs="仿宋"/>
          <w:sz w:val="28"/>
          <w:szCs w:val="28"/>
        </w:rPr>
        <w:t>并于2021年4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日作出（2021）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闽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303</w:t>
      </w:r>
      <w:r>
        <w:rPr>
          <w:rFonts w:hint="eastAsia" w:ascii="仿宋" w:hAnsi="仿宋" w:eastAsia="仿宋" w:cs="仿宋"/>
          <w:sz w:val="28"/>
          <w:szCs w:val="28"/>
        </w:rPr>
        <w:t>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-1号决定书，指定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福建联合信实（莆田）律师事务所</w:t>
      </w:r>
      <w:r>
        <w:rPr>
          <w:rFonts w:hint="eastAsia" w:ascii="仿宋" w:hAnsi="仿宋" w:eastAsia="仿宋" w:cs="仿宋"/>
          <w:sz w:val="28"/>
          <w:szCs w:val="28"/>
        </w:rPr>
        <w:t>担任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莆田市华品鞋业</w:t>
      </w:r>
      <w:r>
        <w:rPr>
          <w:rFonts w:hint="eastAsia" w:ascii="仿宋" w:hAnsi="仿宋" w:eastAsia="仿宋" w:cs="仿宋"/>
          <w:sz w:val="28"/>
          <w:szCs w:val="28"/>
        </w:rPr>
        <w:t>有限公司管理人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，范培水为负责人。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管理人依法接管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莆田市华品鞋业有限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公司时，已无职工留守，公司法定代表人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兼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股东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陈清忠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仅移交部分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财务资料，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未移交相关人事资料，且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原注册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住所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及经营场所（原承租地）已由他人经营。同时，管理人向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莆田市涵江区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社会保险基金管理中心等机构进行了调查，査明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仅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val="en-US" w:eastAsia="zh-CN"/>
        </w:rPr>
        <w:t>8个员工（含法定代表人陈清忠）有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社保关系，且未结欠社保费用。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管理人根据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莆田市涵江区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</w:rPr>
        <w:t>社会保险基金管理中心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调查情况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8"/>
          <w:szCs w:val="28"/>
          <w:lang w:eastAsia="zh-CN"/>
        </w:rPr>
        <w:t>向法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定代表人陈清忠询问职工债权情况，陈清忠表示唯有尚欠陈少红两个月工资一万多，但无相关凭证。后陈少红向管理人申报职工债权为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15364元，但未提供相应凭证。管理人查看相关财务资料，亦发现相关凭证。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为此，调查结论为：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莆田市华品鞋业有限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公司无职工债权。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现管理人根据《中华人民共和国企业破产法》第四十八条第二款之规定，将职工债权调查结果在债务人经营场所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全国企业破产重整案件信息网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（http://pccz.court.gov.cn/）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予以公示，公示期自202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日起至202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日止。职工如对本次公示的职工债权结论有异议的，可在公示期内书面要求管理人更正并附相关证据。管理人不予更正的，异议职工可在公示期届满后十五日内向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莆田市涵江区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人民法院提起诉讼。否则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视为对公示内容无异议。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莆田市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华品鞋业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有限公司管理人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二〇二一年五月二十五日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949CD"/>
    <w:rsid w:val="463B293C"/>
    <w:rsid w:val="5AA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2021-05-25T11:49:00Z</dcterms:created>
  <dc:creator>李萍</dc:creator>
  <cp:lastModifiedBy>李萍</cp:lastModifiedBy>
  <dcterms:modified xsi:type="dcterms:W3CDTF">2021-05-25T14:01:10Z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AE35DE588F5F48E89E191E6BA91FFCD0</vt:lpwstr>
  </property>
</Properties>
</file>