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2"/>
          <w:szCs w:val="32"/>
          <w:lang w:eastAsia="zh-CN"/>
        </w:rPr>
      </w:pPr>
      <w:r>
        <w:rPr>
          <w:rFonts w:hint="eastAsia" w:ascii="黑体" w:hAnsi="黑体" w:eastAsia="黑体" w:cs="黑体"/>
          <w:b/>
          <w:bCs/>
          <w:sz w:val="32"/>
          <w:szCs w:val="32"/>
        </w:rPr>
        <w:t>关于</w:t>
      </w:r>
      <w:r>
        <w:rPr>
          <w:rFonts w:hint="eastAsia" w:ascii="黑体" w:hAnsi="黑体" w:eastAsia="黑体" w:cs="黑体"/>
          <w:b/>
          <w:bCs/>
          <w:sz w:val="32"/>
          <w:szCs w:val="32"/>
          <w:lang w:val="en-US" w:eastAsia="zh-CN"/>
        </w:rPr>
        <w:t>提请债务人</w:t>
      </w:r>
      <w:r>
        <w:rPr>
          <w:rFonts w:hint="eastAsia" w:ascii="黑体" w:hAnsi="黑体" w:eastAsia="黑体" w:cs="黑体"/>
          <w:b/>
          <w:bCs/>
          <w:sz w:val="32"/>
          <w:szCs w:val="32"/>
        </w:rPr>
        <w:t>核查</w:t>
      </w:r>
      <w:r>
        <w:rPr>
          <w:rFonts w:hint="eastAsia" w:ascii="黑体" w:hAnsi="黑体" w:eastAsia="黑体" w:cs="黑体"/>
          <w:b/>
          <w:bCs/>
          <w:sz w:val="32"/>
          <w:szCs w:val="32"/>
          <w:lang w:eastAsia="zh-CN"/>
        </w:rPr>
        <w:t>港日电梯股份有限公司</w:t>
      </w:r>
    </w:p>
    <w:p>
      <w:pPr>
        <w:jc w:val="cente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第三</w:t>
      </w:r>
      <w:bookmarkStart w:id="1" w:name="_GoBack"/>
      <w:bookmarkEnd w:id="1"/>
      <w:r>
        <w:rPr>
          <w:rFonts w:hint="eastAsia" w:ascii="黑体" w:hAnsi="黑体" w:eastAsia="黑体" w:cs="黑体"/>
          <w:b/>
          <w:bCs/>
          <w:sz w:val="32"/>
          <w:szCs w:val="32"/>
          <w:lang w:val="en-US" w:eastAsia="zh-CN"/>
        </w:rPr>
        <w:t>批</w:t>
      </w:r>
      <w:r>
        <w:rPr>
          <w:rFonts w:hint="eastAsia" w:ascii="黑体" w:hAnsi="黑体" w:eastAsia="黑体" w:cs="黑体"/>
          <w:b/>
          <w:bCs/>
          <w:sz w:val="32"/>
          <w:szCs w:val="32"/>
        </w:rPr>
        <w:t>债权的</w:t>
      </w:r>
      <w:r>
        <w:rPr>
          <w:rFonts w:hint="eastAsia" w:ascii="黑体" w:hAnsi="黑体" w:eastAsia="黑体" w:cs="黑体"/>
          <w:b/>
          <w:bCs/>
          <w:sz w:val="32"/>
          <w:szCs w:val="32"/>
          <w:lang w:val="en-US" w:eastAsia="zh-CN"/>
        </w:rPr>
        <w:t>通知</w:t>
      </w:r>
    </w:p>
    <w:p>
      <w:pPr>
        <w:rPr>
          <w:rFonts w:hint="eastAsia"/>
        </w:rPr>
      </w:pPr>
      <w:r>
        <w:rPr>
          <w:rFonts w:hint="eastAsia"/>
        </w:rPr>
        <w:t xml:space="preserve">                                 </w:t>
      </w:r>
    </w:p>
    <w:p>
      <w:pPr>
        <w:numPr>
          <w:ilvl w:val="0"/>
          <w:numId w:val="0"/>
        </w:numPr>
        <w:spacing w:line="500" w:lineRule="exact"/>
        <w:jc w:val="right"/>
        <w:rPr>
          <w:rFonts w:hint="eastAsia" w:ascii="仿宋" w:hAnsi="仿宋" w:eastAsia="仿宋" w:cs="仿宋"/>
          <w:sz w:val="24"/>
          <w:szCs w:val="24"/>
        </w:rPr>
      </w:pPr>
      <w:r>
        <w:rPr>
          <w:rFonts w:hint="eastAsia" w:ascii="仿宋" w:hAnsi="仿宋" w:eastAsia="仿宋" w:cs="仿宋"/>
          <w:bCs/>
          <w:sz w:val="24"/>
          <w:highlight w:val="none"/>
          <w:lang w:eastAsia="zh-CN"/>
        </w:rPr>
        <w:t>（</w:t>
      </w:r>
      <w:r>
        <w:rPr>
          <w:rFonts w:hint="eastAsia" w:ascii="仿宋" w:hAnsi="仿宋" w:eastAsia="仿宋" w:cs="仿宋"/>
          <w:bCs/>
          <w:sz w:val="24"/>
          <w:highlight w:val="none"/>
          <w:lang w:val="en-US" w:eastAsia="zh-CN"/>
        </w:rPr>
        <w:t>2019</w:t>
      </w:r>
      <w:r>
        <w:rPr>
          <w:rFonts w:hint="eastAsia" w:ascii="仿宋" w:hAnsi="仿宋" w:eastAsia="仿宋" w:cs="仿宋"/>
          <w:bCs/>
          <w:sz w:val="24"/>
          <w:highlight w:val="none"/>
          <w:lang w:eastAsia="zh-CN"/>
        </w:rPr>
        <w:t>）</w:t>
      </w:r>
      <w:r>
        <w:rPr>
          <w:rFonts w:hint="eastAsia" w:ascii="仿宋" w:hAnsi="仿宋" w:eastAsia="仿宋" w:cs="仿宋"/>
          <w:bCs/>
          <w:sz w:val="24"/>
          <w:highlight w:val="none"/>
        </w:rPr>
        <w:t>港日电梯破管字第</w:t>
      </w:r>
      <w:r>
        <w:rPr>
          <w:rFonts w:hint="eastAsia" w:ascii="仿宋" w:hAnsi="仿宋" w:eastAsia="仿宋" w:cs="仿宋"/>
          <w:bCs/>
          <w:sz w:val="24"/>
          <w:highlight w:val="none"/>
          <w:lang w:val="en-US" w:eastAsia="zh-CN"/>
        </w:rPr>
        <w:t>185-1</w:t>
      </w:r>
      <w:r>
        <w:rPr>
          <w:rFonts w:hint="eastAsia" w:ascii="仿宋" w:hAnsi="仿宋" w:eastAsia="仿宋" w:cs="仿宋"/>
          <w:bCs/>
          <w:sz w:val="24"/>
          <w:highlight w:val="none"/>
        </w:rPr>
        <w:t>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28"/>
          <w:szCs w:val="28"/>
        </w:rPr>
      </w:pPr>
      <w:r>
        <w:rPr>
          <w:rFonts w:hint="eastAsia" w:ascii="仿宋" w:hAnsi="仿宋" w:eastAsia="仿宋" w:cs="仿宋"/>
          <w:sz w:val="28"/>
          <w:szCs w:val="28"/>
        </w:rPr>
        <w:t>港日电梯股份有限公司</w:t>
      </w:r>
      <w:r>
        <w:rPr>
          <w:rFonts w:hint="eastAsia" w:ascii="仿宋" w:hAnsi="仿宋" w:eastAsia="仿宋" w:cs="仿宋"/>
          <w:sz w:val="28"/>
          <w:szCs w:val="28"/>
          <w:lang w:val="en-US" w:eastAsia="zh-CN"/>
        </w:rPr>
        <w:t>法定代表人</w:t>
      </w:r>
      <w:r>
        <w:rPr>
          <w:rFonts w:hint="eastAsia" w:ascii="仿宋" w:hAnsi="仿宋" w:eastAsia="仿宋" w:cs="仿宋"/>
          <w:sz w:val="28"/>
          <w:szCs w:val="28"/>
        </w:rPr>
        <w:t>裴彪宏</w:t>
      </w:r>
      <w:r>
        <w:rPr>
          <w:rFonts w:hint="eastAsia" w:ascii="仿宋" w:hAnsi="仿宋" w:eastAsia="仿宋" w:cs="仿宋"/>
          <w:sz w:val="28"/>
          <w:szCs w:val="28"/>
          <w:lang w:val="en-US" w:eastAsia="zh-CN"/>
        </w:rPr>
        <w:t>及相关实际控制人</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560"/>
        <w:textAlignment w:val="auto"/>
        <w:rPr>
          <w:rFonts w:hint="eastAsia" w:ascii="仿宋" w:hAnsi="仿宋" w:eastAsia="仿宋" w:cs="仿宋"/>
          <w:color w:val="auto"/>
          <w:sz w:val="28"/>
          <w:szCs w:val="28"/>
          <w:lang w:val="en-US" w:eastAsia="zh-CN" w:bidi="ar"/>
        </w:rPr>
      </w:pPr>
      <w:r>
        <w:rPr>
          <w:rFonts w:hint="eastAsia" w:ascii="仿宋" w:hAnsi="仿宋" w:eastAsia="仿宋" w:cs="仿宋"/>
          <w:color w:val="000000"/>
          <w:sz w:val="28"/>
          <w:szCs w:val="28"/>
          <w:lang w:bidi="ar"/>
        </w:rPr>
        <w:t>2019年9月26日，广州市中级人民法院作出（2019）粤01破186-1号《民事裁定书》，裁定受理合普动力股份有限公司对港日电梯股份有限公司（以下简称“港日公司”）的破产清算申请，并于2019年10月21日作出（2019）粤01破186号《指定管理人决定书》，指定广东东方昆仑律师事务所担任港日电梯股份有限公司管理人，负责人为余关宝。</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在第一次债权人会议召开后，</w:t>
      </w:r>
      <w:r>
        <w:rPr>
          <w:rFonts w:hint="eastAsia" w:ascii="仿宋" w:hAnsi="仿宋" w:eastAsia="仿宋" w:cs="仿宋"/>
          <w:sz w:val="28"/>
          <w:szCs w:val="28"/>
          <w:highlight w:val="none"/>
          <w:lang w:eastAsia="zh-CN"/>
        </w:rPr>
        <w:t>广州市泓就钣金件有限公司</w:t>
      </w:r>
      <w:r>
        <w:rPr>
          <w:rFonts w:hint="eastAsia" w:ascii="仿宋" w:hAnsi="仿宋" w:eastAsia="仿宋" w:cs="仿宋"/>
          <w:sz w:val="28"/>
          <w:szCs w:val="28"/>
          <w:highlight w:val="none"/>
          <w:lang w:val="en-US" w:eastAsia="zh-CN"/>
        </w:rPr>
        <w:t>等48户债权人</w:t>
      </w:r>
      <w:r>
        <w:rPr>
          <w:rFonts w:hint="eastAsia" w:ascii="仿宋" w:hAnsi="仿宋" w:eastAsia="仿宋" w:cs="仿宋"/>
          <w:sz w:val="28"/>
          <w:szCs w:val="28"/>
          <w:highlight w:val="none"/>
          <w:lang w:eastAsia="zh-CN"/>
        </w:rPr>
        <w:t>向管理人申报了</w:t>
      </w:r>
      <w:r>
        <w:rPr>
          <w:rFonts w:hint="eastAsia" w:ascii="仿宋" w:hAnsi="仿宋" w:eastAsia="仿宋" w:cs="仿宋"/>
          <w:sz w:val="28"/>
          <w:szCs w:val="28"/>
          <w:highlight w:val="none"/>
          <w:lang w:val="en-US" w:eastAsia="zh-CN"/>
        </w:rPr>
        <w:t>48</w:t>
      </w:r>
      <w:r>
        <w:rPr>
          <w:rFonts w:hint="eastAsia" w:ascii="仿宋" w:hAnsi="仿宋" w:eastAsia="仿宋" w:cs="仿宋"/>
          <w:sz w:val="28"/>
          <w:szCs w:val="28"/>
          <w:highlight w:val="none"/>
          <w:lang w:eastAsia="zh-CN"/>
        </w:rPr>
        <w:t>笔债权，申报的债权总金额为</w:t>
      </w:r>
      <w:r>
        <w:rPr>
          <w:rFonts w:hint="default" w:ascii="仿宋" w:hAnsi="仿宋" w:eastAsia="仿宋" w:cs="仿宋"/>
          <w:sz w:val="28"/>
          <w:szCs w:val="28"/>
          <w:highlight w:val="none"/>
          <w:lang w:val="en-US" w:eastAsia="zh-CN"/>
        </w:rPr>
        <w:t>14</w:t>
      </w:r>
      <w:r>
        <w:rPr>
          <w:rFonts w:hint="eastAsia" w:ascii="仿宋" w:hAnsi="仿宋" w:eastAsia="仿宋" w:cs="仿宋"/>
          <w:sz w:val="28"/>
          <w:szCs w:val="28"/>
          <w:highlight w:val="none"/>
          <w:lang w:val="en-US" w:eastAsia="zh-CN"/>
        </w:rPr>
        <w:t>,</w:t>
      </w:r>
      <w:r>
        <w:rPr>
          <w:rFonts w:hint="default" w:ascii="仿宋" w:hAnsi="仿宋" w:eastAsia="仿宋" w:cs="仿宋"/>
          <w:sz w:val="28"/>
          <w:szCs w:val="28"/>
          <w:highlight w:val="none"/>
          <w:lang w:val="en-US" w:eastAsia="zh-CN"/>
        </w:rPr>
        <w:t>113</w:t>
      </w:r>
      <w:r>
        <w:rPr>
          <w:rFonts w:hint="eastAsia" w:ascii="仿宋" w:hAnsi="仿宋" w:eastAsia="仿宋" w:cs="仿宋"/>
          <w:sz w:val="28"/>
          <w:szCs w:val="28"/>
          <w:highlight w:val="none"/>
          <w:lang w:val="en-US" w:eastAsia="zh-CN"/>
        </w:rPr>
        <w:t>,</w:t>
      </w:r>
      <w:r>
        <w:rPr>
          <w:rFonts w:hint="default" w:ascii="仿宋" w:hAnsi="仿宋" w:eastAsia="仿宋" w:cs="仿宋"/>
          <w:sz w:val="28"/>
          <w:szCs w:val="28"/>
          <w:highlight w:val="none"/>
          <w:lang w:val="en-US" w:eastAsia="zh-CN"/>
        </w:rPr>
        <w:t>176.28</w:t>
      </w:r>
      <w:r>
        <w:rPr>
          <w:rFonts w:hint="eastAsia" w:ascii="仿宋" w:hAnsi="仿宋" w:eastAsia="仿宋" w:cs="仿宋"/>
          <w:sz w:val="28"/>
          <w:szCs w:val="28"/>
          <w:highlight w:val="none"/>
          <w:lang w:eastAsia="zh-CN"/>
        </w:rPr>
        <w:t>元</w:t>
      </w:r>
      <w:r>
        <w:rPr>
          <w:rFonts w:hint="eastAsia" w:ascii="仿宋" w:hAnsi="仿宋" w:eastAsia="仿宋" w:cs="仿宋"/>
          <w:sz w:val="28"/>
          <w:szCs w:val="28"/>
          <w:highlight w:val="none"/>
          <w:lang w:val="en-US" w:eastAsia="zh-CN"/>
        </w:rPr>
        <w:t>。另，唐雅伦不服管理人不予确认其债权的初步审核结果而提出异议，需对其申报的1笔债权进行复审。</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highlight w:val="none"/>
        </w:rPr>
        <w:t>对于以上</w:t>
      </w:r>
      <w:r>
        <w:rPr>
          <w:rFonts w:hint="eastAsia" w:ascii="仿宋" w:hAnsi="仿宋" w:eastAsia="仿宋" w:cs="仿宋"/>
          <w:sz w:val="28"/>
          <w:szCs w:val="28"/>
          <w:highlight w:val="none"/>
          <w:lang w:val="en-US" w:eastAsia="zh-CN"/>
        </w:rPr>
        <w:t>48户债权人所申报的</w:t>
      </w:r>
      <w:r>
        <w:rPr>
          <w:rFonts w:hint="eastAsia" w:ascii="仿宋" w:hAnsi="仿宋" w:eastAsia="仿宋" w:cs="仿宋"/>
          <w:sz w:val="28"/>
          <w:szCs w:val="28"/>
          <w:highlight w:val="none"/>
        </w:rPr>
        <w:t>债权</w:t>
      </w:r>
      <w:r>
        <w:rPr>
          <w:rFonts w:hint="eastAsia" w:ascii="仿宋" w:hAnsi="仿宋" w:eastAsia="仿宋" w:cs="仿宋"/>
          <w:sz w:val="28"/>
          <w:szCs w:val="28"/>
          <w:highlight w:val="none"/>
          <w:lang w:val="en-US" w:eastAsia="zh-CN"/>
        </w:rPr>
        <w:t>以及唐雅伦提出异议的债权，管理人均已审查或复审完毕</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并</w:t>
      </w:r>
      <w:r>
        <w:rPr>
          <w:rFonts w:hint="eastAsia" w:ascii="仿宋" w:hAnsi="仿宋" w:eastAsia="仿宋" w:cs="仿宋"/>
          <w:sz w:val="28"/>
          <w:szCs w:val="28"/>
          <w:highlight w:val="none"/>
        </w:rPr>
        <w:t>编</w:t>
      </w:r>
      <w:r>
        <w:rPr>
          <w:rFonts w:hint="eastAsia" w:ascii="仿宋" w:hAnsi="仿宋" w:eastAsia="仿宋" w:cs="仿宋"/>
          <w:sz w:val="28"/>
          <w:szCs w:val="28"/>
          <w:highlight w:val="none"/>
          <w:lang w:val="en-US" w:eastAsia="zh-CN"/>
        </w:rPr>
        <w:t>入了《</w:t>
      </w:r>
      <w:r>
        <w:rPr>
          <w:rFonts w:hint="eastAsia" w:ascii="仿宋" w:hAnsi="仿宋" w:eastAsia="仿宋" w:cs="仿宋"/>
          <w:sz w:val="28"/>
          <w:szCs w:val="28"/>
          <w:highlight w:val="none"/>
          <w:lang w:eastAsia="zh-CN"/>
        </w:rPr>
        <w:t>港日电梯股份有限公司</w:t>
      </w:r>
      <w:r>
        <w:rPr>
          <w:rFonts w:hint="eastAsia" w:ascii="仿宋" w:hAnsi="仿宋" w:eastAsia="仿宋" w:cs="仿宋"/>
          <w:sz w:val="28"/>
          <w:szCs w:val="28"/>
          <w:highlight w:val="none"/>
        </w:rPr>
        <w:t>债权表（第</w:t>
      </w:r>
      <w:r>
        <w:rPr>
          <w:rFonts w:hint="eastAsia" w:ascii="仿宋" w:hAnsi="仿宋" w:eastAsia="仿宋" w:cs="仿宋"/>
          <w:sz w:val="28"/>
          <w:szCs w:val="28"/>
          <w:highlight w:val="none"/>
          <w:lang w:val="en-US" w:eastAsia="zh-CN"/>
        </w:rPr>
        <w:t>三</w:t>
      </w:r>
      <w:r>
        <w:rPr>
          <w:rFonts w:hint="eastAsia" w:ascii="仿宋" w:hAnsi="仿宋" w:eastAsia="仿宋" w:cs="仿宋"/>
          <w:sz w:val="28"/>
          <w:szCs w:val="28"/>
          <w:highlight w:val="none"/>
        </w:rPr>
        <w:t>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具体审查情况为：本次初步确认的债权有8户债权人的债权，金额共计1,734,891.04元；不予确认的债权有41户债权人的债权，金额共计13,094,091.80元</w:t>
      </w:r>
      <w:r>
        <w:rPr>
          <w:rFonts w:hint="eastAsia" w:ascii="仿宋" w:hAnsi="仿宋" w:eastAsia="仿宋" w:cs="仿宋"/>
          <w:sz w:val="28"/>
          <w:szCs w:val="28"/>
          <w:highlight w:val="none"/>
        </w:rPr>
        <w:t>。</w:t>
      </w:r>
      <w:r>
        <w:rPr>
          <w:rFonts w:hint="eastAsia" w:ascii="仿宋" w:hAnsi="仿宋" w:eastAsia="仿宋" w:cs="仿宋"/>
          <w:sz w:val="28"/>
          <w:szCs w:val="28"/>
          <w:lang w:val="en-US" w:eastAsia="zh-CN"/>
        </w:rPr>
        <w:t>由于你方为</w:t>
      </w:r>
      <w:r>
        <w:rPr>
          <w:rFonts w:hint="eastAsia" w:ascii="仿宋" w:hAnsi="仿宋" w:eastAsia="仿宋" w:cs="仿宋"/>
          <w:sz w:val="28"/>
          <w:szCs w:val="28"/>
        </w:rPr>
        <w:t>港日公司</w:t>
      </w:r>
      <w:r>
        <w:rPr>
          <w:rFonts w:hint="eastAsia" w:ascii="仿宋" w:hAnsi="仿宋" w:eastAsia="仿宋" w:cs="仿宋"/>
          <w:sz w:val="28"/>
          <w:szCs w:val="28"/>
          <w:lang w:val="en-US" w:eastAsia="zh-CN"/>
        </w:rPr>
        <w:t>的法定代表人或实际控制人，管理人现将该债权表</w:t>
      </w:r>
      <w:r>
        <w:rPr>
          <w:rFonts w:hint="eastAsia" w:ascii="仿宋" w:hAnsi="仿宋" w:eastAsia="仿宋" w:cs="仿宋"/>
          <w:sz w:val="28"/>
          <w:szCs w:val="28"/>
        </w:rPr>
        <w:t>提交</w:t>
      </w:r>
      <w:r>
        <w:rPr>
          <w:rFonts w:hint="eastAsia" w:ascii="仿宋" w:hAnsi="仿宋" w:eastAsia="仿宋" w:cs="仿宋"/>
          <w:sz w:val="28"/>
          <w:szCs w:val="28"/>
          <w:lang w:val="en-US" w:eastAsia="zh-CN"/>
        </w:rPr>
        <w:t>你方</w:t>
      </w:r>
      <w:r>
        <w:rPr>
          <w:rFonts w:hint="eastAsia" w:ascii="仿宋" w:hAnsi="仿宋" w:eastAsia="仿宋" w:cs="仿宋"/>
          <w:sz w:val="28"/>
          <w:szCs w:val="28"/>
        </w:rPr>
        <w:t>核查。</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你方</w:t>
      </w:r>
      <w:r>
        <w:rPr>
          <w:rFonts w:hint="eastAsia" w:ascii="仿宋" w:hAnsi="仿宋" w:eastAsia="仿宋" w:cs="仿宋"/>
          <w:sz w:val="28"/>
          <w:szCs w:val="28"/>
          <w:highlight w:val="none"/>
        </w:rPr>
        <w:t>对</w:t>
      </w:r>
      <w:r>
        <w:rPr>
          <w:rFonts w:hint="eastAsia" w:ascii="仿宋" w:hAnsi="仿宋" w:eastAsia="仿宋" w:cs="仿宋"/>
          <w:sz w:val="28"/>
          <w:szCs w:val="28"/>
          <w:highlight w:val="none"/>
          <w:lang w:val="en-US" w:eastAsia="zh-CN"/>
        </w:rPr>
        <w:t>《港日电梯股份有限公司债权表（第三批）》</w:t>
      </w:r>
      <w:r>
        <w:rPr>
          <w:rFonts w:hint="eastAsia" w:ascii="仿宋" w:hAnsi="仿宋" w:eastAsia="仿宋" w:cs="仿宋"/>
          <w:sz w:val="28"/>
          <w:szCs w:val="28"/>
          <w:highlight w:val="none"/>
        </w:rPr>
        <w:t>记载有异议的，可以</w:t>
      </w:r>
      <w:r>
        <w:rPr>
          <w:rFonts w:hint="eastAsia" w:ascii="仿宋" w:hAnsi="仿宋" w:eastAsia="仿宋" w:cs="仿宋"/>
          <w:sz w:val="28"/>
          <w:szCs w:val="28"/>
          <w:highlight w:val="none"/>
          <w:lang w:val="en-US" w:eastAsia="zh-CN"/>
        </w:rPr>
        <w:t>在收到本通知之日起7日内</w:t>
      </w:r>
      <w:r>
        <w:rPr>
          <w:rFonts w:hint="eastAsia" w:ascii="仿宋" w:hAnsi="仿宋" w:eastAsia="仿宋" w:cs="仿宋"/>
          <w:sz w:val="28"/>
          <w:szCs w:val="28"/>
          <w:highlight w:val="none"/>
        </w:rPr>
        <w:t>以书面形式向管理人提出异议，异议应该注明异议事项、事实理由、法律依据并附相关证据资料，管理人收到后将复核一次并</w:t>
      </w:r>
      <w:r>
        <w:rPr>
          <w:rFonts w:hint="eastAsia" w:ascii="仿宋" w:hAnsi="仿宋" w:eastAsia="仿宋" w:cs="仿宋"/>
          <w:sz w:val="28"/>
          <w:szCs w:val="28"/>
          <w:highlight w:val="none"/>
          <w:lang w:val="en-US" w:eastAsia="zh-CN"/>
        </w:rPr>
        <w:t>书面告知复核结果</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你方</w:t>
      </w:r>
      <w:r>
        <w:rPr>
          <w:rFonts w:hint="eastAsia" w:ascii="仿宋" w:hAnsi="仿宋" w:eastAsia="仿宋" w:cs="仿宋"/>
          <w:sz w:val="28"/>
          <w:szCs w:val="28"/>
          <w:highlight w:val="none"/>
        </w:rPr>
        <w:t>对管理人复核结果不服的，可在债权人会议核查结束后十五日内向广州市</w:t>
      </w:r>
      <w:r>
        <w:rPr>
          <w:rFonts w:hint="eastAsia" w:ascii="仿宋" w:hAnsi="仿宋" w:eastAsia="仿宋" w:cs="仿宋"/>
          <w:sz w:val="28"/>
          <w:szCs w:val="28"/>
          <w:highlight w:val="none"/>
          <w:lang w:val="en-US" w:eastAsia="zh-CN"/>
        </w:rPr>
        <w:t>中级</w:t>
      </w:r>
      <w:r>
        <w:rPr>
          <w:rFonts w:hint="eastAsia" w:ascii="仿宋" w:hAnsi="仿宋" w:eastAsia="仿宋" w:cs="仿宋"/>
          <w:sz w:val="28"/>
          <w:szCs w:val="28"/>
          <w:highlight w:val="none"/>
        </w:rPr>
        <w:t>人民法院提起债权确认的诉讼，逾期不提异议或起诉的视为无异议。债务人、债权人对债权表记载的债权无异议的，管理人将申请人民法院裁定确认。</w:t>
      </w:r>
    </w:p>
    <w:p>
      <w:pPr>
        <w:keepNext w:val="0"/>
        <w:keepLines w:val="0"/>
        <w:pageBreakBefore w:val="0"/>
        <w:widowControl/>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highlight w:val="none"/>
        </w:rPr>
      </w:pPr>
    </w:p>
    <w:p>
      <w:pPr>
        <w:keepNext w:val="0"/>
        <w:keepLines w:val="0"/>
        <w:pageBreakBefore w:val="0"/>
        <w:widowControl/>
        <w:kinsoku/>
        <w:wordWrap/>
        <w:overflowPunct/>
        <w:topLinePunct w:val="0"/>
        <w:autoSpaceDE/>
        <w:autoSpaceDN/>
        <w:bidi w:val="0"/>
        <w:adjustRightInd/>
        <w:snapToGrid/>
        <w:spacing w:line="500" w:lineRule="exact"/>
        <w:ind w:firstLine="562" w:firstLineChars="200"/>
        <w:jc w:val="right"/>
        <w:textAlignment w:val="auto"/>
        <w:rPr>
          <w:rFonts w:hint="eastAsia" w:ascii="仿宋" w:hAnsi="仿宋" w:eastAsia="仿宋" w:cs="仿宋"/>
          <w:sz w:val="28"/>
          <w:szCs w:val="28"/>
          <w:highlight w:val="none"/>
          <w:lang w:val="en-US" w:eastAsia="zh-CN"/>
        </w:rPr>
      </w:pPr>
      <w:r>
        <w:rPr>
          <w:rFonts w:hint="eastAsia" w:ascii="仿宋" w:hAnsi="仿宋" w:eastAsia="仿宋" w:cs="仿宋"/>
          <w:b/>
          <w:bCs/>
          <w:sz w:val="28"/>
          <w:szCs w:val="28"/>
          <w:highlight w:val="none"/>
          <w:lang w:val="en-US" w:eastAsia="zh-CN"/>
        </w:rPr>
        <w:t xml:space="preserve"> </w:t>
      </w:r>
      <w:r>
        <w:rPr>
          <w:rFonts w:hint="eastAsia" w:ascii="仿宋" w:hAnsi="仿宋" w:eastAsia="仿宋" w:cs="仿宋"/>
          <w:b/>
          <w:bCs/>
          <w:sz w:val="28"/>
          <w:szCs w:val="28"/>
          <w:highlight w:val="none"/>
        </w:rPr>
        <w:t>港日电梯股份有限公司</w:t>
      </w:r>
      <w:r>
        <w:rPr>
          <w:rFonts w:hint="eastAsia" w:ascii="仿宋" w:hAnsi="仿宋" w:eastAsia="仿宋" w:cs="仿宋"/>
          <w:b/>
          <w:bCs/>
          <w:sz w:val="28"/>
          <w:szCs w:val="28"/>
          <w:highlight w:val="none"/>
          <w:lang w:val="en-US" w:eastAsia="zh-CN"/>
        </w:rPr>
        <w:t>管理人</w:t>
      </w: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righ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负责人：余关宝</w:t>
      </w:r>
    </w:p>
    <w:p>
      <w:pPr>
        <w:keepNext w:val="0"/>
        <w:keepLines w:val="0"/>
        <w:pageBreakBefore w:val="0"/>
        <w:widowControl/>
        <w:kinsoku/>
        <w:wordWrap/>
        <w:overflowPunct/>
        <w:topLinePunct w:val="0"/>
        <w:autoSpaceDE/>
        <w:autoSpaceDN/>
        <w:bidi w:val="0"/>
        <w:adjustRightInd/>
        <w:snapToGrid/>
        <w:spacing w:line="500" w:lineRule="exact"/>
        <w:ind w:firstLine="560" w:firstLineChars="200"/>
        <w:jc w:val="righ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二〇二</w:t>
      </w:r>
      <w:r>
        <w:rPr>
          <w:rFonts w:hint="eastAsia" w:ascii="仿宋" w:hAnsi="仿宋" w:eastAsia="仿宋" w:cs="仿宋"/>
          <w:sz w:val="28"/>
          <w:szCs w:val="28"/>
          <w:highlight w:val="none"/>
          <w:lang w:val="en-US" w:eastAsia="zh-CN"/>
        </w:rPr>
        <w:t>一</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六</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十一日</w:t>
      </w:r>
    </w:p>
    <w:p>
      <w:pPr>
        <w:ind w:firstLine="560" w:firstLineChars="200"/>
        <w:jc w:val="right"/>
        <w:rPr>
          <w:rFonts w:hint="eastAsia" w:ascii="仿宋" w:hAnsi="仿宋" w:eastAsia="仿宋" w:cs="仿宋"/>
          <w:sz w:val="28"/>
          <w:szCs w:val="28"/>
          <w:lang w:val="en-US" w:eastAsia="zh-CN"/>
        </w:rPr>
      </w:pPr>
    </w:p>
    <w:p>
      <w:pPr>
        <w:widowControl/>
        <w:shd w:val="clear" w:color="auto" w:fill="FFFFFF"/>
        <w:spacing w:after="75" w:line="500" w:lineRule="exact"/>
        <w:jc w:val="left"/>
        <w:rPr>
          <w:rFonts w:hint="eastAsia" w:ascii="仿宋" w:hAnsi="仿宋" w:eastAsia="仿宋" w:cs="黑体"/>
          <w:b w:val="0"/>
          <w:bCs w:val="0"/>
          <w:color w:val="000000"/>
          <w:kern w:val="0"/>
          <w:sz w:val="24"/>
          <w:szCs w:val="24"/>
          <w:shd w:val="clear" w:color="auto" w:fill="FFFFFF"/>
          <w:lang w:bidi="ar"/>
        </w:rPr>
      </w:pPr>
    </w:p>
    <w:p>
      <w:pPr>
        <w:widowControl/>
        <w:shd w:val="clear" w:color="auto" w:fill="FFFFFF"/>
        <w:spacing w:after="75" w:line="500" w:lineRule="exact"/>
        <w:jc w:val="left"/>
        <w:rPr>
          <w:rFonts w:hint="eastAsia" w:ascii="仿宋" w:hAnsi="仿宋" w:eastAsia="仿宋" w:cs="黑体"/>
          <w:b w:val="0"/>
          <w:bCs w:val="0"/>
          <w:color w:val="000000"/>
          <w:kern w:val="0"/>
          <w:sz w:val="24"/>
          <w:szCs w:val="24"/>
          <w:shd w:val="clear" w:color="auto" w:fill="FFFFFF"/>
          <w:lang w:bidi="ar"/>
        </w:rPr>
      </w:pPr>
    </w:p>
    <w:p>
      <w:pPr>
        <w:widowControl/>
        <w:shd w:val="clear" w:color="auto" w:fill="FFFFFF"/>
        <w:spacing w:after="75" w:line="500" w:lineRule="exact"/>
        <w:jc w:val="left"/>
        <w:rPr>
          <w:rFonts w:hint="eastAsia" w:ascii="仿宋" w:hAnsi="仿宋" w:eastAsia="仿宋" w:cs="黑体"/>
          <w:b w:val="0"/>
          <w:bCs w:val="0"/>
          <w:color w:val="000000"/>
          <w:kern w:val="0"/>
          <w:sz w:val="24"/>
          <w:szCs w:val="24"/>
          <w:shd w:val="clear" w:color="auto" w:fill="FFFFFF"/>
          <w:lang w:val="en-US" w:eastAsia="zh-CN" w:bidi="ar"/>
        </w:rPr>
      </w:pPr>
      <w:r>
        <w:rPr>
          <w:rFonts w:hint="eastAsia" w:ascii="仿宋" w:hAnsi="仿宋" w:eastAsia="仿宋" w:cs="黑体"/>
          <w:b w:val="0"/>
          <w:bCs w:val="0"/>
          <w:color w:val="000000"/>
          <w:kern w:val="0"/>
          <w:sz w:val="24"/>
          <w:szCs w:val="24"/>
          <w:shd w:val="clear" w:color="auto" w:fill="FFFFFF"/>
          <w:lang w:bidi="ar"/>
        </w:rPr>
        <w:t>附：</w:t>
      </w:r>
      <w:r>
        <w:rPr>
          <w:rFonts w:hint="eastAsia" w:ascii="仿宋" w:hAnsi="仿宋" w:eastAsia="仿宋" w:cs="黑体"/>
          <w:b w:val="0"/>
          <w:bCs w:val="0"/>
          <w:color w:val="000000"/>
          <w:kern w:val="0"/>
          <w:sz w:val="24"/>
          <w:szCs w:val="24"/>
          <w:shd w:val="clear" w:color="auto" w:fill="FFFFFF"/>
          <w:lang w:val="en-US" w:eastAsia="zh-CN" w:bidi="ar"/>
        </w:rPr>
        <w:t>1.</w:t>
      </w:r>
      <w:r>
        <w:rPr>
          <w:rFonts w:hint="eastAsia" w:ascii="仿宋" w:hAnsi="仿宋" w:eastAsia="仿宋" w:cs="黑体"/>
          <w:color w:val="000000"/>
          <w:kern w:val="0"/>
          <w:sz w:val="24"/>
          <w:shd w:val="clear" w:color="auto" w:fill="FFFFFF"/>
          <w:lang w:bidi="ar"/>
        </w:rPr>
        <w:t>债权审查原则</w:t>
      </w:r>
    </w:p>
    <w:p>
      <w:pPr>
        <w:widowControl/>
        <w:shd w:val="clear" w:color="auto" w:fill="FFFFFF"/>
        <w:spacing w:after="75" w:line="500" w:lineRule="exact"/>
        <w:ind w:firstLine="480" w:firstLineChars="200"/>
        <w:jc w:val="left"/>
        <w:rPr>
          <w:rFonts w:hint="eastAsia" w:ascii="仿宋" w:hAnsi="仿宋" w:eastAsia="仿宋" w:cs="黑体"/>
          <w:b w:val="0"/>
          <w:bCs w:val="0"/>
          <w:color w:val="000000"/>
          <w:kern w:val="0"/>
          <w:sz w:val="24"/>
          <w:szCs w:val="24"/>
          <w:shd w:val="clear" w:color="auto" w:fill="FFFFFF"/>
          <w:lang w:bidi="ar"/>
        </w:rPr>
      </w:pPr>
      <w:r>
        <w:rPr>
          <w:rFonts w:hint="eastAsia" w:ascii="仿宋" w:hAnsi="仿宋" w:eastAsia="仿宋" w:cs="黑体"/>
          <w:b w:val="0"/>
          <w:bCs w:val="0"/>
          <w:color w:val="000000"/>
          <w:kern w:val="0"/>
          <w:sz w:val="24"/>
          <w:szCs w:val="24"/>
          <w:shd w:val="clear" w:color="auto" w:fill="FFFFFF"/>
          <w:lang w:val="en-US" w:eastAsia="zh-CN" w:bidi="ar"/>
        </w:rPr>
        <w:t>2.</w:t>
      </w:r>
      <w:r>
        <w:rPr>
          <w:rFonts w:hint="eastAsia" w:ascii="仿宋" w:hAnsi="仿宋" w:eastAsia="仿宋" w:cs="黑体"/>
          <w:b w:val="0"/>
          <w:bCs w:val="0"/>
          <w:color w:val="000000"/>
          <w:kern w:val="0"/>
          <w:sz w:val="24"/>
          <w:szCs w:val="24"/>
          <w:shd w:val="clear" w:color="auto" w:fill="FFFFFF"/>
          <w:lang w:bidi="ar"/>
        </w:rPr>
        <w:t>债权表</w:t>
      </w: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beforeLines="50" w:afterLines="50" w:line="560" w:lineRule="exact"/>
        <w:jc w:val="both"/>
        <w:textAlignment w:val="auto"/>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附件1</w:t>
      </w:r>
    </w:p>
    <w:p>
      <w:pPr>
        <w:keepNext w:val="0"/>
        <w:keepLines w:val="0"/>
        <w:pageBreakBefore w:val="0"/>
        <w:kinsoku/>
        <w:wordWrap/>
        <w:overflowPunct/>
        <w:topLinePunct w:val="0"/>
        <w:autoSpaceDE/>
        <w:autoSpaceDN/>
        <w:bidi w:val="0"/>
        <w:adjustRightInd/>
        <w:spacing w:beforeLines="50" w:afterLines="50" w:line="560" w:lineRule="exact"/>
        <w:jc w:val="center"/>
        <w:rPr>
          <w:rFonts w:hint="eastAsia" w:ascii="仿宋" w:hAnsi="仿宋" w:eastAsia="仿宋" w:cs="仿宋"/>
          <w:b/>
          <w:bCs/>
          <w:sz w:val="36"/>
          <w:szCs w:val="36"/>
        </w:rPr>
      </w:pPr>
      <w:r>
        <w:rPr>
          <w:rFonts w:hint="eastAsia" w:ascii="仿宋" w:hAnsi="仿宋" w:eastAsia="仿宋" w:cs="仿宋"/>
          <w:b/>
          <w:bCs/>
          <w:sz w:val="36"/>
          <w:szCs w:val="36"/>
          <w:lang w:eastAsia="zh-CN"/>
        </w:rPr>
        <w:t>港日电梯股份有限公司</w:t>
      </w:r>
      <w:r>
        <w:rPr>
          <w:rFonts w:hint="eastAsia" w:ascii="仿宋" w:hAnsi="仿宋" w:eastAsia="仿宋" w:cs="仿宋"/>
          <w:b/>
          <w:bCs/>
          <w:sz w:val="36"/>
          <w:szCs w:val="36"/>
        </w:rPr>
        <w:t>破产清算案</w:t>
      </w:r>
    </w:p>
    <w:p>
      <w:pPr>
        <w:keepNext w:val="0"/>
        <w:keepLines w:val="0"/>
        <w:pageBreakBefore w:val="0"/>
        <w:kinsoku/>
        <w:wordWrap/>
        <w:overflowPunct/>
        <w:topLinePunct w:val="0"/>
        <w:autoSpaceDE/>
        <w:autoSpaceDN/>
        <w:bidi w:val="0"/>
        <w:adjustRightInd/>
        <w:spacing w:beforeLines="50" w:afterLines="50" w:line="560" w:lineRule="exact"/>
        <w:jc w:val="center"/>
        <w:rPr>
          <w:rFonts w:hint="eastAsia" w:ascii="仿宋" w:hAnsi="仿宋" w:eastAsia="仿宋" w:cs="仿宋"/>
          <w:b/>
          <w:bCs/>
          <w:sz w:val="36"/>
          <w:szCs w:val="36"/>
        </w:rPr>
      </w:pPr>
      <w:r>
        <w:rPr>
          <w:rFonts w:hint="eastAsia" w:ascii="仿宋" w:hAnsi="仿宋" w:eastAsia="仿宋" w:cs="仿宋"/>
          <w:b/>
          <w:bCs/>
          <w:sz w:val="36"/>
          <w:szCs w:val="36"/>
        </w:rPr>
        <w:t>债权审查原则</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港日电梯股份有限公司</w:t>
      </w:r>
      <w:r>
        <w:rPr>
          <w:rFonts w:hint="eastAsia" w:ascii="仿宋" w:hAnsi="仿宋" w:eastAsia="仿宋" w:cs="仿宋"/>
          <w:color w:val="auto"/>
          <w:sz w:val="28"/>
          <w:szCs w:val="28"/>
        </w:rPr>
        <w:t>破产管理人根据《中华人民共和国企业破产法》及相关法律法规规定，结合该案的实际情况，拟定了审查债权的若干原则，并据此原则对各申报的债权进行了初步审核。具体审查原则如下：</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1.债权申报须有充分、确实的证据证明。凡属证据不足，并且无法从</w:t>
      </w:r>
      <w:r>
        <w:rPr>
          <w:rFonts w:hint="eastAsia" w:ascii="仿宋" w:hAnsi="仿宋" w:eastAsia="仿宋" w:cs="仿宋"/>
          <w:color w:val="auto"/>
          <w:sz w:val="28"/>
          <w:szCs w:val="28"/>
          <w:lang w:val="en-US" w:eastAsia="zh-CN"/>
        </w:rPr>
        <w:t>港日电梯股份有限公司</w:t>
      </w:r>
      <w:r>
        <w:rPr>
          <w:rFonts w:hint="eastAsia" w:ascii="仿宋" w:hAnsi="仿宋" w:eastAsia="仿宋" w:cs="仿宋"/>
          <w:color w:val="auto"/>
          <w:sz w:val="28"/>
          <w:szCs w:val="28"/>
        </w:rPr>
        <w:t>的</w:t>
      </w:r>
      <w:r>
        <w:rPr>
          <w:rFonts w:hint="eastAsia" w:ascii="仿宋" w:hAnsi="仿宋" w:eastAsia="仿宋" w:cs="仿宋"/>
          <w:color w:val="auto"/>
          <w:sz w:val="28"/>
          <w:szCs w:val="28"/>
          <w:lang w:val="en-US" w:eastAsia="zh-CN"/>
        </w:rPr>
        <w:t>财务</w:t>
      </w:r>
      <w:r>
        <w:rPr>
          <w:rFonts w:hint="eastAsia" w:ascii="仿宋" w:hAnsi="仿宋" w:eastAsia="仿宋" w:cs="仿宋"/>
          <w:color w:val="auto"/>
          <w:sz w:val="28"/>
          <w:szCs w:val="28"/>
        </w:rPr>
        <w:t>资料中核实的，均不予确认。</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2.债权申报应是在法定期限内合法、有效的申报。</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3.申报的债权必须是在诉讼时效内的债权。凡超过诉讼时效或执行时效的，又无时效中断或中止的证据，因法律对其不予保护，故不予确认。</w:t>
      </w:r>
      <w:r>
        <w:rPr>
          <w:rFonts w:hint="eastAsia" w:ascii="仿宋" w:hAnsi="仿宋" w:eastAsia="仿宋" w:cs="仿宋"/>
          <w:color w:val="auto"/>
          <w:sz w:val="28"/>
          <w:szCs w:val="28"/>
        </w:rPr>
        <w:tab/>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4.申报人未申报应付利息</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违约金</w:t>
      </w:r>
      <w:r>
        <w:rPr>
          <w:rFonts w:hint="eastAsia" w:ascii="仿宋" w:hAnsi="仿宋" w:eastAsia="仿宋" w:cs="仿宋"/>
          <w:color w:val="auto"/>
          <w:sz w:val="28"/>
          <w:szCs w:val="28"/>
          <w:lang w:val="en-US" w:eastAsia="zh-CN"/>
        </w:rPr>
        <w:t>和迟延履行期间利息</w:t>
      </w:r>
      <w:r>
        <w:rPr>
          <w:rFonts w:hint="eastAsia" w:ascii="仿宋" w:hAnsi="仿宋" w:eastAsia="仿宋" w:cs="仿宋"/>
          <w:color w:val="auto"/>
          <w:sz w:val="28"/>
          <w:szCs w:val="28"/>
        </w:rPr>
        <w:t>的，推定其放弃申报利息</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违约金</w:t>
      </w:r>
      <w:r>
        <w:rPr>
          <w:rFonts w:hint="eastAsia" w:ascii="仿宋" w:hAnsi="仿宋" w:eastAsia="仿宋" w:cs="仿宋"/>
          <w:color w:val="auto"/>
          <w:sz w:val="28"/>
          <w:szCs w:val="28"/>
          <w:lang w:val="en-US" w:eastAsia="zh-CN"/>
        </w:rPr>
        <w:t>及迟延履行期间利息</w:t>
      </w:r>
      <w:r>
        <w:rPr>
          <w:rFonts w:hint="eastAsia" w:ascii="仿宋" w:hAnsi="仿宋" w:eastAsia="仿宋" w:cs="仿宋"/>
          <w:color w:val="auto"/>
          <w:sz w:val="28"/>
          <w:szCs w:val="28"/>
        </w:rPr>
        <w:t>；申报人申报利息、违约金的，应提供明确的法律或合同依据</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申报人申报迟延履行期间利息的，应提供明确的裁判文书、生效证明</w:t>
      </w:r>
      <w:r>
        <w:rPr>
          <w:rFonts w:hint="eastAsia" w:ascii="仿宋" w:hAnsi="仿宋" w:eastAsia="仿宋" w:cs="仿宋"/>
          <w:color w:val="auto"/>
          <w:sz w:val="28"/>
          <w:szCs w:val="28"/>
        </w:rPr>
        <w:t>。</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5.债权申报中包含利息部分</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包括一般利息和迟延履行期间利息</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违约金、滞纳金、其他费用的</w:t>
      </w:r>
      <w:r>
        <w:rPr>
          <w:rFonts w:hint="eastAsia" w:ascii="仿宋" w:hAnsi="仿宋" w:eastAsia="仿宋" w:cs="仿宋"/>
          <w:color w:val="auto"/>
          <w:sz w:val="28"/>
          <w:szCs w:val="28"/>
        </w:rPr>
        <w:t>，其利息</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违约金、滞纳金、其他费用</w:t>
      </w:r>
      <w:r>
        <w:rPr>
          <w:rFonts w:hint="eastAsia" w:ascii="仿宋" w:hAnsi="仿宋" w:eastAsia="仿宋" w:cs="仿宋"/>
          <w:color w:val="auto"/>
          <w:sz w:val="28"/>
          <w:szCs w:val="28"/>
        </w:rPr>
        <w:t>计算至破产清算申请受理日（201</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年</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月</w:t>
      </w:r>
      <w:r>
        <w:rPr>
          <w:rFonts w:hint="eastAsia" w:ascii="仿宋" w:hAnsi="仿宋" w:eastAsia="仿宋" w:cs="仿宋"/>
          <w:color w:val="auto"/>
          <w:sz w:val="28"/>
          <w:szCs w:val="28"/>
          <w:lang w:val="en-US" w:eastAsia="zh-CN"/>
        </w:rPr>
        <w:t>26</w:t>
      </w:r>
      <w:r>
        <w:rPr>
          <w:rFonts w:hint="eastAsia" w:ascii="仿宋" w:hAnsi="仿宋" w:eastAsia="仿宋" w:cs="仿宋"/>
          <w:color w:val="auto"/>
          <w:sz w:val="28"/>
          <w:szCs w:val="28"/>
        </w:rPr>
        <w:t>日）止。汇率折算以破产清算申请受理日市场汇率中间价为准。</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逾期付款利息的计算未约定的，按中国人民银行同期贷款利率计算，超过部分不予确认。</w:t>
      </w:r>
    </w:p>
    <w:p>
      <w:pPr>
        <w:keepNext w:val="0"/>
        <w:keepLines w:val="0"/>
        <w:pageBreakBefore w:val="0"/>
        <w:widowControl w:val="0"/>
        <w:kinsoku/>
        <w:wordWrap/>
        <w:overflowPunct/>
        <w:topLinePunct w:val="0"/>
        <w:autoSpaceDE/>
        <w:autoSpaceDN/>
        <w:bidi w:val="0"/>
        <w:adjustRightInd/>
        <w:snapToGrid/>
        <w:spacing w:line="55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6.对无生效法律文书确定的违约金</w:t>
      </w:r>
      <w:r>
        <w:rPr>
          <w:rFonts w:hint="eastAsia" w:ascii="仿宋" w:hAnsi="仿宋" w:eastAsia="仿宋" w:cs="仿宋"/>
          <w:color w:val="auto"/>
          <w:sz w:val="28"/>
          <w:szCs w:val="28"/>
          <w:lang w:val="en-US" w:eastAsia="zh-CN"/>
        </w:rPr>
        <w:t>或滞纳金进行</w:t>
      </w:r>
      <w:r>
        <w:rPr>
          <w:rFonts w:hint="eastAsia" w:ascii="仿宋" w:hAnsi="仿宋" w:eastAsia="仿宋" w:cs="仿宋"/>
          <w:color w:val="auto"/>
          <w:sz w:val="28"/>
          <w:szCs w:val="28"/>
        </w:rPr>
        <w:t>申报</w:t>
      </w:r>
      <w:r>
        <w:rPr>
          <w:rFonts w:hint="eastAsia" w:ascii="仿宋" w:hAnsi="仿宋" w:eastAsia="仿宋" w:cs="仿宋"/>
          <w:color w:val="auto"/>
          <w:sz w:val="28"/>
          <w:szCs w:val="28"/>
          <w:lang w:val="en-US" w:eastAsia="zh-CN"/>
        </w:rPr>
        <w:t>的</w:t>
      </w:r>
      <w:r>
        <w:rPr>
          <w:rFonts w:hint="eastAsia" w:ascii="仿宋" w:hAnsi="仿宋" w:eastAsia="仿宋" w:cs="仿宋"/>
          <w:color w:val="auto"/>
          <w:sz w:val="28"/>
          <w:szCs w:val="28"/>
        </w:rPr>
        <w:t>，如属惩罚性的债权，不予确认，依照债权本金按同期银行贷款利率计算相应的利息；如违约金</w:t>
      </w:r>
      <w:r>
        <w:rPr>
          <w:rFonts w:hint="eastAsia" w:ascii="仿宋" w:hAnsi="仿宋" w:eastAsia="仿宋" w:cs="仿宋"/>
          <w:color w:val="auto"/>
          <w:sz w:val="28"/>
          <w:szCs w:val="28"/>
          <w:lang w:val="en-US" w:eastAsia="zh-CN"/>
        </w:rPr>
        <w:t>或滞纳金</w:t>
      </w:r>
      <w:r>
        <w:rPr>
          <w:rFonts w:hint="eastAsia" w:ascii="仿宋" w:hAnsi="仿宋" w:eastAsia="仿宋" w:cs="仿宋"/>
          <w:color w:val="auto"/>
          <w:sz w:val="28"/>
          <w:szCs w:val="28"/>
        </w:rPr>
        <w:t>数额属补偿债权人实际损失的性质，则对其申报的违约金</w:t>
      </w:r>
      <w:r>
        <w:rPr>
          <w:rFonts w:hint="eastAsia" w:ascii="仿宋" w:hAnsi="仿宋" w:eastAsia="仿宋" w:cs="仿宋"/>
          <w:color w:val="auto"/>
          <w:sz w:val="28"/>
          <w:szCs w:val="28"/>
          <w:lang w:val="en-US" w:eastAsia="zh-CN"/>
        </w:rPr>
        <w:t>或滞纳金</w:t>
      </w:r>
      <w:r>
        <w:rPr>
          <w:rFonts w:hint="eastAsia" w:ascii="仿宋" w:hAnsi="仿宋" w:eastAsia="仿宋" w:cs="仿宋"/>
          <w:color w:val="auto"/>
          <w:sz w:val="28"/>
          <w:szCs w:val="28"/>
        </w:rPr>
        <w:t>可予以确认。</w:t>
      </w:r>
    </w:p>
    <w:p>
      <w:pPr>
        <w:keepNext w:val="0"/>
        <w:keepLines w:val="0"/>
        <w:pageBreakBefore w:val="0"/>
        <w:widowControl w:val="0"/>
        <w:kinsoku/>
        <w:wordWrap/>
        <w:overflowPunct/>
        <w:topLinePunct w:val="0"/>
        <w:autoSpaceDE/>
        <w:autoSpaceDN/>
        <w:bidi w:val="0"/>
        <w:adjustRightInd/>
        <w:snapToGrid/>
        <w:spacing w:line="55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7.债权申报有生效且未丧失强制执行力的判决书或裁决书、执行通知书等法律文书支持的，依相关法律文书计算。对未予执行的滞纳金不予计算，定金不再适用定金罚则。</w:t>
      </w:r>
    </w:p>
    <w:p>
      <w:pPr>
        <w:keepNext w:val="0"/>
        <w:keepLines w:val="0"/>
        <w:pageBreakBefore w:val="0"/>
        <w:widowControl w:val="0"/>
        <w:kinsoku/>
        <w:wordWrap/>
        <w:overflowPunct/>
        <w:topLinePunct w:val="0"/>
        <w:autoSpaceDE/>
        <w:autoSpaceDN/>
        <w:bidi w:val="0"/>
        <w:adjustRightInd/>
        <w:snapToGrid/>
        <w:spacing w:line="55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8.</w:t>
      </w:r>
      <w:r>
        <w:rPr>
          <w:rFonts w:hint="eastAsia" w:ascii="仿宋" w:hAnsi="仿宋" w:eastAsia="仿宋" w:cs="仿宋"/>
          <w:color w:val="auto"/>
          <w:sz w:val="28"/>
          <w:szCs w:val="28"/>
          <w:lang w:val="en-US" w:eastAsia="zh-CN"/>
        </w:rPr>
        <w:t>对于正在诉讼中</w:t>
      </w:r>
      <w:r>
        <w:rPr>
          <w:rFonts w:hint="eastAsia" w:ascii="仿宋" w:hAnsi="仿宋" w:eastAsia="仿宋" w:cs="仿宋"/>
          <w:color w:val="auto"/>
          <w:sz w:val="28"/>
          <w:szCs w:val="28"/>
        </w:rPr>
        <w:t>的债权</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管理人暂不予审查核定</w:t>
      </w:r>
      <w:r>
        <w:rPr>
          <w:rFonts w:hint="eastAsia" w:ascii="仿宋" w:hAnsi="仿宋" w:eastAsia="仿宋" w:cs="仿宋"/>
          <w:color w:val="auto"/>
          <w:sz w:val="28"/>
          <w:szCs w:val="28"/>
        </w:rPr>
        <w:t>，管理人将根据案件</w:t>
      </w:r>
      <w:r>
        <w:rPr>
          <w:rFonts w:hint="eastAsia" w:ascii="仿宋" w:hAnsi="仿宋" w:eastAsia="仿宋" w:cs="仿宋"/>
          <w:color w:val="auto"/>
          <w:sz w:val="28"/>
          <w:szCs w:val="28"/>
          <w:lang w:val="en-US" w:eastAsia="zh-CN"/>
        </w:rPr>
        <w:t>最终的裁判结果</w:t>
      </w:r>
      <w:r>
        <w:rPr>
          <w:rFonts w:hint="eastAsia" w:ascii="仿宋" w:hAnsi="仿宋" w:eastAsia="仿宋" w:cs="仿宋"/>
          <w:color w:val="auto"/>
          <w:sz w:val="28"/>
          <w:szCs w:val="28"/>
        </w:rPr>
        <w:t>进行</w:t>
      </w:r>
      <w:r>
        <w:rPr>
          <w:rFonts w:hint="eastAsia" w:ascii="仿宋" w:hAnsi="仿宋" w:eastAsia="仿宋" w:cs="仿宋"/>
          <w:color w:val="auto"/>
          <w:sz w:val="28"/>
          <w:szCs w:val="28"/>
          <w:lang w:val="en-US" w:eastAsia="zh-CN"/>
        </w:rPr>
        <w:t>审查核定</w:t>
      </w:r>
      <w:r>
        <w:rPr>
          <w:rFonts w:hint="eastAsia" w:ascii="仿宋" w:hAnsi="仿宋" w:eastAsia="仿宋" w:cs="仿宋"/>
          <w:color w:val="auto"/>
          <w:sz w:val="28"/>
          <w:szCs w:val="28"/>
        </w:rPr>
        <w:t>。</w:t>
      </w:r>
    </w:p>
    <w:p>
      <w:pPr>
        <w:keepNext w:val="0"/>
        <w:keepLines w:val="0"/>
        <w:pageBreakBefore w:val="0"/>
        <w:widowControl w:val="0"/>
        <w:kinsoku/>
        <w:wordWrap/>
        <w:overflowPunct/>
        <w:topLinePunct w:val="0"/>
        <w:autoSpaceDE/>
        <w:autoSpaceDN/>
        <w:bidi w:val="0"/>
        <w:adjustRightInd/>
        <w:snapToGrid/>
        <w:spacing w:line="55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9.凡属同一债权，不得重复申报。</w:t>
      </w:r>
    </w:p>
    <w:p>
      <w:pPr>
        <w:keepNext w:val="0"/>
        <w:keepLines w:val="0"/>
        <w:pageBreakBefore w:val="0"/>
        <w:widowControl w:val="0"/>
        <w:kinsoku/>
        <w:wordWrap/>
        <w:overflowPunct/>
        <w:topLinePunct w:val="0"/>
        <w:autoSpaceDE/>
        <w:autoSpaceDN/>
        <w:bidi w:val="0"/>
        <w:adjustRightInd/>
        <w:snapToGrid/>
        <w:spacing w:line="55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10.凡管理人通知债权人补交证据的，债权人应及时提交，未提交的自行承担举证不能的法律后果。</w:t>
      </w:r>
    </w:p>
    <w:p>
      <w:pPr>
        <w:keepNext w:val="0"/>
        <w:keepLines w:val="0"/>
        <w:pageBreakBefore w:val="0"/>
        <w:widowControl w:val="0"/>
        <w:kinsoku/>
        <w:wordWrap/>
        <w:overflowPunct/>
        <w:topLinePunct w:val="0"/>
        <w:autoSpaceDE/>
        <w:autoSpaceDN/>
        <w:bidi w:val="0"/>
        <w:adjustRightInd/>
        <w:snapToGrid/>
        <w:spacing w:line="55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11.银行同期贷款利率的计算，每年按360天计算，在该期间中国人民银行利率变动的，分段计算。</w:t>
      </w:r>
    </w:p>
    <w:p>
      <w:pPr>
        <w:keepNext w:val="0"/>
        <w:keepLines w:val="0"/>
        <w:pageBreakBefore w:val="0"/>
        <w:widowControl w:val="0"/>
        <w:kinsoku/>
        <w:wordWrap/>
        <w:overflowPunct/>
        <w:topLinePunct w:val="0"/>
        <w:autoSpaceDE/>
        <w:autoSpaceDN/>
        <w:bidi w:val="0"/>
        <w:adjustRightInd/>
        <w:snapToGrid/>
        <w:spacing w:line="55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12.对于申报人所申报的迟延履行期间利息，如有生效法律文书认定且申报人提供相应证据证明，依法确认为劣后于普通债权的债权（下称“</w:t>
      </w:r>
      <w:r>
        <w:rPr>
          <w:rFonts w:hint="eastAsia" w:ascii="仿宋" w:hAnsi="仿宋" w:eastAsia="仿宋" w:cs="仿宋"/>
          <w:color w:val="auto"/>
          <w:sz w:val="28"/>
          <w:szCs w:val="28"/>
        </w:rPr>
        <w:t>民事惩罚性赔偿金</w:t>
      </w:r>
      <w:r>
        <w:rPr>
          <w:rFonts w:hint="eastAsia" w:ascii="仿宋" w:hAnsi="仿宋" w:eastAsia="仿宋" w:cs="仿宋"/>
          <w:color w:val="auto"/>
          <w:sz w:val="28"/>
          <w:szCs w:val="28"/>
          <w:lang w:val="en-US" w:eastAsia="zh-CN"/>
        </w:rPr>
        <w:t>”）；加倍部分债务利息的计算方法为：加倍部分债务利息=债务人尚未清偿的生效法律文书确定的除一般债务利息之外的金钱债务×日万分之一点七五×迟延履行期间。</w:t>
      </w:r>
    </w:p>
    <w:p>
      <w:pPr>
        <w:keepNext w:val="0"/>
        <w:keepLines w:val="0"/>
        <w:pageBreakBefore w:val="0"/>
        <w:widowControl w:val="0"/>
        <w:kinsoku/>
        <w:wordWrap/>
        <w:overflowPunct/>
        <w:topLinePunct w:val="0"/>
        <w:autoSpaceDE/>
        <w:autoSpaceDN/>
        <w:bidi w:val="0"/>
        <w:adjustRightInd/>
        <w:snapToGrid/>
        <w:spacing w:line="55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13.对于税收债权的本金依法确认为税收债权；对于税收债权的滞纳金依法确认为普通债权。对社保债权的本金依法确认为社保债权；对于社保债权的滞纳金依法确认为普通债权。</w:t>
      </w:r>
    </w:p>
    <w:p>
      <w:pPr>
        <w:keepNext w:val="0"/>
        <w:keepLines w:val="0"/>
        <w:pageBreakBefore w:val="0"/>
        <w:widowControl w:val="0"/>
        <w:kinsoku/>
        <w:wordWrap/>
        <w:overflowPunct/>
        <w:topLinePunct w:val="0"/>
        <w:autoSpaceDE/>
        <w:autoSpaceDN/>
        <w:bidi w:val="0"/>
        <w:adjustRightInd/>
        <w:snapToGrid/>
        <w:spacing w:line="55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14.若债权人申报的各项债权金额低于本管理人按照人民法院生效判决书所计算的金额，则视为债权人的自动放弃，本管理人以较低的金额为准进行确认。</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15.债权人与债务人既约定了逾期利率，又约定了违约金或者其他费用，债权人可以选择主张逾期利息、违约金或者其他费用，也可以一并主张，但总计超过年利率24%的部分，管理人不予审查核定，其他费用不包括律师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16.申报人申报应由港日电梯股份有限公司承担的受理费、保全费的，除广州市番禺区人民法院的受理费及保全费（不包括判决写明由被告直接或径行支付的）由债权人向法院申请退费外，其余审查核定为普通债权。</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17.申报人申报的债权已经获得部分清偿但清偿顺序约定或规定不明的，按照下列顺序受偿：一、实现债权的费用；二、债权的利息（不含迟延履行期间利息）；三、债权的本金。</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right"/>
        <w:textAlignment w:val="auto"/>
        <w:rPr>
          <w:rFonts w:hint="eastAsia" w:ascii="仿宋" w:hAnsi="仿宋" w:eastAsia="仿宋" w:cs="仿宋"/>
          <w:b/>
          <w:bCs/>
          <w:sz w:val="28"/>
          <w:szCs w:val="28"/>
        </w:rPr>
      </w:pPr>
      <w:r>
        <w:rPr>
          <w:rFonts w:hint="eastAsia" w:ascii="仿宋" w:hAnsi="仿宋" w:eastAsia="仿宋" w:cs="仿宋"/>
          <w:b/>
          <w:bCs/>
          <w:sz w:val="28"/>
          <w:szCs w:val="28"/>
          <w:lang w:eastAsia="zh-CN"/>
        </w:rPr>
        <w:t>港日电梯股份有限公司</w:t>
      </w:r>
      <w:r>
        <w:rPr>
          <w:rFonts w:hint="eastAsia" w:ascii="仿宋" w:hAnsi="仿宋" w:eastAsia="仿宋" w:cs="仿宋"/>
          <w:b/>
          <w:bCs/>
          <w:sz w:val="28"/>
          <w:szCs w:val="28"/>
        </w:rPr>
        <w:t>管理人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负责人：余关宝</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 xml:space="preserve">                                 二O</w:t>
      </w:r>
      <w:r>
        <w:rPr>
          <w:rFonts w:hint="eastAsia" w:ascii="仿宋" w:hAnsi="仿宋" w:eastAsia="仿宋" w:cs="仿宋"/>
          <w:sz w:val="28"/>
          <w:szCs w:val="28"/>
          <w:lang w:val="en-US" w:eastAsia="zh-CN"/>
        </w:rPr>
        <w:t>二一</w:t>
      </w:r>
      <w:r>
        <w:rPr>
          <w:rFonts w:hint="eastAsia" w:ascii="仿宋" w:hAnsi="仿宋" w:eastAsia="仿宋" w:cs="仿宋"/>
          <w:sz w:val="28"/>
          <w:szCs w:val="28"/>
        </w:rPr>
        <w:t>年</w:t>
      </w:r>
      <w:r>
        <w:rPr>
          <w:rFonts w:hint="eastAsia" w:ascii="仿宋" w:hAnsi="仿宋" w:eastAsia="仿宋" w:cs="仿宋"/>
          <w:sz w:val="28"/>
          <w:szCs w:val="28"/>
          <w:lang w:val="en-US" w:eastAsia="zh-CN"/>
        </w:rPr>
        <w:t>六月十一日</w:t>
      </w: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jc w:val="both"/>
        <w:rPr>
          <w:rFonts w:hint="default" w:ascii="仿宋" w:hAnsi="仿宋" w:eastAsia="仿宋" w:cs="仿宋"/>
          <w:sz w:val="24"/>
          <w:szCs w:val="24"/>
          <w:lang w:val="en-US" w:eastAsia="zh-CN"/>
        </w:rPr>
      </w:pPr>
    </w:p>
    <w:p>
      <w:pPr>
        <w:widowControl/>
        <w:shd w:val="clear" w:color="auto" w:fill="FFFFFF"/>
        <w:spacing w:before="0" w:beforeLines="0" w:after="75" w:line="500" w:lineRule="exact"/>
        <w:jc w:val="both"/>
        <w:rPr>
          <w:rFonts w:hint="default" w:ascii="仿宋" w:hAnsi="仿宋" w:eastAsia="仿宋" w:cs="黑体"/>
          <w:b/>
          <w:bCs/>
          <w:color w:val="000000"/>
          <w:kern w:val="0"/>
          <w:sz w:val="28"/>
          <w:szCs w:val="28"/>
          <w:shd w:val="clear" w:color="auto" w:fill="FFFFFF"/>
          <w:lang w:val="en-US" w:eastAsia="zh-CN" w:bidi="ar"/>
        </w:rPr>
      </w:pPr>
      <w:r>
        <w:rPr>
          <w:rFonts w:hint="eastAsia" w:ascii="仿宋" w:hAnsi="仿宋" w:eastAsia="仿宋" w:cs="黑体"/>
          <w:b/>
          <w:bCs/>
          <w:color w:val="000000"/>
          <w:kern w:val="0"/>
          <w:sz w:val="28"/>
          <w:szCs w:val="28"/>
          <w:shd w:val="clear" w:color="auto" w:fill="FFFFFF"/>
          <w:lang w:val="en-US" w:eastAsia="zh-CN" w:bidi="ar"/>
        </w:rPr>
        <w:t>附件2：</w:t>
      </w:r>
    </w:p>
    <w:p>
      <w:pPr>
        <w:widowControl/>
        <w:shd w:val="clear" w:color="auto" w:fill="FFFFFF"/>
        <w:spacing w:before="0" w:beforeLines="0" w:after="75" w:line="500" w:lineRule="exact"/>
        <w:jc w:val="center"/>
        <w:rPr>
          <w:rFonts w:hint="eastAsia" w:ascii="仿宋" w:hAnsi="仿宋" w:eastAsia="仿宋" w:cs="仿宋"/>
          <w:b/>
          <w:bCs/>
          <w:kern w:val="0"/>
          <w:sz w:val="24"/>
          <w:shd w:val="clear" w:color="auto" w:fill="FFFFFF"/>
          <w:lang w:bidi="ar"/>
        </w:rPr>
      </w:pPr>
      <w:r>
        <w:rPr>
          <w:rFonts w:hint="eastAsia" w:ascii="仿宋" w:hAnsi="仿宋" w:eastAsia="仿宋" w:cs="黑体"/>
          <w:b/>
          <w:bCs/>
          <w:color w:val="000000"/>
          <w:kern w:val="0"/>
          <w:sz w:val="28"/>
          <w:szCs w:val="28"/>
          <w:shd w:val="clear" w:color="auto" w:fill="FFFFFF"/>
          <w:lang w:bidi="ar"/>
        </w:rPr>
        <w:t>债权表</w:t>
      </w:r>
    </w:p>
    <w:tbl>
      <w:tblPr>
        <w:tblStyle w:val="4"/>
        <w:tblW w:w="8360" w:type="dxa"/>
        <w:tblInd w:w="0" w:type="dxa"/>
        <w:tblLayout w:type="fixed"/>
        <w:tblCellMar>
          <w:top w:w="0" w:type="dxa"/>
          <w:left w:w="0" w:type="dxa"/>
          <w:bottom w:w="0" w:type="dxa"/>
          <w:right w:w="0" w:type="dxa"/>
        </w:tblCellMar>
      </w:tblPr>
      <w:tblGrid>
        <w:gridCol w:w="520"/>
        <w:gridCol w:w="2512"/>
        <w:gridCol w:w="1636"/>
        <w:gridCol w:w="1664"/>
        <w:gridCol w:w="2028"/>
      </w:tblGrid>
      <w:tr>
        <w:tblPrEx>
          <w:tblCellMar>
            <w:top w:w="0" w:type="dxa"/>
            <w:left w:w="0" w:type="dxa"/>
            <w:bottom w:w="0" w:type="dxa"/>
            <w:right w:w="0" w:type="dxa"/>
          </w:tblCellMar>
        </w:tblPrEx>
        <w:trPr>
          <w:trHeight w:val="472" w:hRule="atLeast"/>
        </w:trPr>
        <w:tc>
          <w:tcPr>
            <w:tcW w:w="8360"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附表一：初步确认债权表</w:t>
            </w:r>
          </w:p>
        </w:tc>
      </w:tr>
      <w:tr>
        <w:tblPrEx>
          <w:tblCellMar>
            <w:top w:w="0" w:type="dxa"/>
            <w:left w:w="0" w:type="dxa"/>
            <w:bottom w:w="0" w:type="dxa"/>
            <w:right w:w="0" w:type="dxa"/>
          </w:tblCellMar>
        </w:tblPrEx>
        <w:trPr>
          <w:trHeight w:val="529" w:hRule="atLeast"/>
        </w:trPr>
        <w:tc>
          <w:tcPr>
            <w:tcW w:w="5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序号</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债权人</w:t>
            </w:r>
          </w:p>
        </w:tc>
        <w:tc>
          <w:tcPr>
            <w:tcW w:w="16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申报金额</w:t>
            </w:r>
          </w:p>
        </w:tc>
        <w:tc>
          <w:tcPr>
            <w:tcW w:w="16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审查核定金额</w:t>
            </w:r>
          </w:p>
        </w:tc>
        <w:tc>
          <w:tcPr>
            <w:tcW w:w="20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债权性质</w:t>
            </w:r>
          </w:p>
        </w:tc>
      </w:tr>
      <w:tr>
        <w:tblPrEx>
          <w:tblCellMar>
            <w:top w:w="0" w:type="dxa"/>
            <w:left w:w="0" w:type="dxa"/>
            <w:bottom w:w="0" w:type="dxa"/>
            <w:right w:w="0" w:type="dxa"/>
          </w:tblCellMar>
        </w:tblPrEx>
        <w:trPr>
          <w:trHeight w:val="329" w:hRule="atLeast"/>
        </w:trPr>
        <w:tc>
          <w:tcPr>
            <w:tcW w:w="5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佛山市三水通曳机电有限公司</w:t>
            </w:r>
          </w:p>
        </w:tc>
        <w:tc>
          <w:tcPr>
            <w:tcW w:w="16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i w:val="0"/>
                <w:color w:val="000000"/>
                <w:sz w:val="24"/>
                <w:szCs w:val="24"/>
                <w:u w:val="none"/>
                <w:lang w:val="en-US" w:eastAsia="zh-CN"/>
              </w:rPr>
              <w:t>681,917.60</w:t>
            </w:r>
          </w:p>
        </w:tc>
        <w:tc>
          <w:tcPr>
            <w:tcW w:w="16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i w:val="0"/>
                <w:color w:val="000000"/>
                <w:sz w:val="24"/>
                <w:szCs w:val="24"/>
                <w:u w:val="none"/>
                <w:lang w:val="en-US" w:eastAsia="zh-CN"/>
              </w:rPr>
              <w:t>621,595.60</w:t>
            </w:r>
          </w:p>
        </w:tc>
        <w:tc>
          <w:tcPr>
            <w:tcW w:w="20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普通债权</w:t>
            </w:r>
          </w:p>
        </w:tc>
      </w:tr>
      <w:tr>
        <w:tblPrEx>
          <w:tblCellMar>
            <w:top w:w="0" w:type="dxa"/>
            <w:left w:w="0" w:type="dxa"/>
            <w:bottom w:w="0" w:type="dxa"/>
            <w:right w:w="0" w:type="dxa"/>
          </w:tblCellMar>
        </w:tblPrEx>
        <w:trPr>
          <w:trHeight w:val="329" w:hRule="atLeast"/>
        </w:trPr>
        <w:tc>
          <w:tcPr>
            <w:tcW w:w="5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2</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广西宇菱电梯空调销售有限公司</w:t>
            </w:r>
          </w:p>
        </w:tc>
        <w:tc>
          <w:tcPr>
            <w:tcW w:w="16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53,910.00</w:t>
            </w:r>
          </w:p>
        </w:tc>
        <w:tc>
          <w:tcPr>
            <w:tcW w:w="16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53,910.00</w:t>
            </w:r>
          </w:p>
        </w:tc>
        <w:tc>
          <w:tcPr>
            <w:tcW w:w="20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普通债权</w:t>
            </w:r>
          </w:p>
        </w:tc>
      </w:tr>
      <w:tr>
        <w:tblPrEx>
          <w:tblCellMar>
            <w:top w:w="0" w:type="dxa"/>
            <w:left w:w="0" w:type="dxa"/>
            <w:bottom w:w="0" w:type="dxa"/>
            <w:right w:w="0" w:type="dxa"/>
          </w:tblCellMar>
        </w:tblPrEx>
        <w:trPr>
          <w:trHeight w:val="633" w:hRule="atLeast"/>
        </w:trPr>
        <w:tc>
          <w:tcPr>
            <w:tcW w:w="5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3</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江苏苏能电梯有限公司</w:t>
            </w:r>
          </w:p>
        </w:tc>
        <w:tc>
          <w:tcPr>
            <w:tcW w:w="16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17,840.00</w:t>
            </w:r>
          </w:p>
        </w:tc>
        <w:tc>
          <w:tcPr>
            <w:tcW w:w="16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i w:val="0"/>
                <w:color w:val="000000"/>
                <w:sz w:val="24"/>
                <w:szCs w:val="24"/>
                <w:u w:val="none"/>
                <w:lang w:val="en-US" w:eastAsia="zh-CN"/>
              </w:rPr>
              <w:t>15,610.00</w:t>
            </w:r>
          </w:p>
        </w:tc>
        <w:tc>
          <w:tcPr>
            <w:tcW w:w="20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普通债权</w:t>
            </w:r>
          </w:p>
        </w:tc>
      </w:tr>
      <w:tr>
        <w:tblPrEx>
          <w:tblCellMar>
            <w:top w:w="0" w:type="dxa"/>
            <w:left w:w="0" w:type="dxa"/>
            <w:bottom w:w="0" w:type="dxa"/>
            <w:right w:w="0" w:type="dxa"/>
          </w:tblCellMar>
        </w:tblPrEx>
        <w:trPr>
          <w:trHeight w:val="329" w:hRule="atLeast"/>
        </w:trPr>
        <w:tc>
          <w:tcPr>
            <w:tcW w:w="5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4</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梅州港日电梯有限公司</w:t>
            </w:r>
          </w:p>
        </w:tc>
        <w:tc>
          <w:tcPr>
            <w:tcW w:w="16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124,039.60</w:t>
            </w:r>
          </w:p>
        </w:tc>
        <w:tc>
          <w:tcPr>
            <w:tcW w:w="16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115,600.00</w:t>
            </w:r>
          </w:p>
        </w:tc>
        <w:tc>
          <w:tcPr>
            <w:tcW w:w="20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普通债权</w:t>
            </w:r>
          </w:p>
        </w:tc>
      </w:tr>
      <w:tr>
        <w:tblPrEx>
          <w:tblCellMar>
            <w:top w:w="0" w:type="dxa"/>
            <w:left w:w="0" w:type="dxa"/>
            <w:bottom w:w="0" w:type="dxa"/>
            <w:right w:w="0" w:type="dxa"/>
          </w:tblCellMar>
        </w:tblPrEx>
        <w:trPr>
          <w:trHeight w:val="329" w:hRule="atLeast"/>
        </w:trPr>
        <w:tc>
          <w:tcPr>
            <w:tcW w:w="5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5</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广州坂本电气有限公司</w:t>
            </w:r>
          </w:p>
        </w:tc>
        <w:tc>
          <w:tcPr>
            <w:tcW w:w="16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793,750.00</w:t>
            </w:r>
          </w:p>
        </w:tc>
        <w:tc>
          <w:tcPr>
            <w:tcW w:w="16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rPr>
              <w:t>696</w:t>
            </w:r>
            <w:r>
              <w:rPr>
                <w:rFonts w:hint="eastAsia" w:ascii="仿宋" w:hAnsi="仿宋" w:eastAsia="仿宋" w:cs="仿宋"/>
                <w:i w:val="0"/>
                <w:color w:val="000000"/>
                <w:sz w:val="24"/>
                <w:szCs w:val="24"/>
                <w:u w:val="none"/>
                <w:lang w:val="en-US" w:eastAsia="zh-CN"/>
              </w:rPr>
              <w:t>,</w:t>
            </w:r>
            <w:r>
              <w:rPr>
                <w:rFonts w:hint="eastAsia" w:ascii="仿宋" w:hAnsi="仿宋" w:eastAsia="仿宋" w:cs="仿宋"/>
                <w:i w:val="0"/>
                <w:color w:val="000000"/>
                <w:sz w:val="24"/>
                <w:szCs w:val="24"/>
                <w:u w:val="none"/>
              </w:rPr>
              <w:t>600.83</w:t>
            </w:r>
          </w:p>
        </w:tc>
        <w:tc>
          <w:tcPr>
            <w:tcW w:w="20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普通债权</w:t>
            </w:r>
          </w:p>
        </w:tc>
      </w:tr>
      <w:tr>
        <w:tblPrEx>
          <w:tblCellMar>
            <w:top w:w="0" w:type="dxa"/>
            <w:left w:w="0" w:type="dxa"/>
            <w:bottom w:w="0" w:type="dxa"/>
            <w:right w:w="0" w:type="dxa"/>
          </w:tblCellMar>
        </w:tblPrEx>
        <w:trPr>
          <w:trHeight w:val="90" w:hRule="atLeast"/>
        </w:trPr>
        <w:tc>
          <w:tcPr>
            <w:tcW w:w="5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6</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rPr>
              <w:t>河源市远大电梯有限公司</w:t>
            </w:r>
          </w:p>
        </w:tc>
        <w:tc>
          <w:tcPr>
            <w:tcW w:w="16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rPr>
              <w:t>3,600.00</w:t>
            </w:r>
          </w:p>
        </w:tc>
        <w:tc>
          <w:tcPr>
            <w:tcW w:w="16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rPr>
              <w:t>3,600.00</w:t>
            </w:r>
          </w:p>
        </w:tc>
        <w:tc>
          <w:tcPr>
            <w:tcW w:w="20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普通债权</w:t>
            </w:r>
          </w:p>
        </w:tc>
      </w:tr>
      <w:tr>
        <w:tblPrEx>
          <w:tblCellMar>
            <w:top w:w="0" w:type="dxa"/>
            <w:left w:w="0" w:type="dxa"/>
            <w:bottom w:w="0" w:type="dxa"/>
            <w:right w:w="0" w:type="dxa"/>
          </w:tblCellMar>
        </w:tblPrEx>
        <w:trPr>
          <w:trHeight w:val="329" w:hRule="atLeast"/>
        </w:trPr>
        <w:tc>
          <w:tcPr>
            <w:tcW w:w="5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7</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珠海市亿邦空调设备有限公司</w:t>
            </w:r>
          </w:p>
        </w:tc>
        <w:tc>
          <w:tcPr>
            <w:tcW w:w="16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44,874.61</w:t>
            </w:r>
          </w:p>
        </w:tc>
        <w:tc>
          <w:tcPr>
            <w:tcW w:w="16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44,874.61</w:t>
            </w:r>
          </w:p>
        </w:tc>
        <w:tc>
          <w:tcPr>
            <w:tcW w:w="20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普通债权</w:t>
            </w:r>
          </w:p>
        </w:tc>
      </w:tr>
      <w:tr>
        <w:tblPrEx>
          <w:tblCellMar>
            <w:top w:w="0" w:type="dxa"/>
            <w:left w:w="0" w:type="dxa"/>
            <w:bottom w:w="0" w:type="dxa"/>
            <w:right w:w="0" w:type="dxa"/>
          </w:tblCellMar>
        </w:tblPrEx>
        <w:trPr>
          <w:trHeight w:val="329" w:hRule="atLeast"/>
        </w:trPr>
        <w:tc>
          <w:tcPr>
            <w:tcW w:w="5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8</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广州市南沙经济技术开发区中兴贸易有限公司</w:t>
            </w:r>
          </w:p>
        </w:tc>
        <w:tc>
          <w:tcPr>
            <w:tcW w:w="16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187,452.67</w:t>
            </w:r>
          </w:p>
        </w:tc>
        <w:tc>
          <w:tcPr>
            <w:tcW w:w="16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rPr>
            </w:pPr>
            <w:r>
              <w:rPr>
                <w:rFonts w:hint="eastAsia" w:ascii="仿宋" w:hAnsi="仿宋" w:eastAsia="仿宋" w:cs="仿宋"/>
                <w:i w:val="0"/>
                <w:color w:val="000000"/>
                <w:sz w:val="24"/>
                <w:szCs w:val="24"/>
                <w:u w:val="none"/>
                <w:lang w:val="en-US" w:eastAsia="zh-CN"/>
              </w:rPr>
              <w:t>183,100.00</w:t>
            </w:r>
          </w:p>
        </w:tc>
        <w:tc>
          <w:tcPr>
            <w:tcW w:w="20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普通债权</w:t>
            </w:r>
          </w:p>
        </w:tc>
      </w:tr>
      <w:tr>
        <w:tblPrEx>
          <w:tblCellMar>
            <w:top w:w="0" w:type="dxa"/>
            <w:left w:w="0" w:type="dxa"/>
            <w:bottom w:w="0" w:type="dxa"/>
            <w:right w:w="0" w:type="dxa"/>
          </w:tblCellMar>
        </w:tblPrEx>
        <w:trPr>
          <w:trHeight w:val="339" w:hRule="atLeast"/>
        </w:trPr>
        <w:tc>
          <w:tcPr>
            <w:tcW w:w="5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合计</w:t>
            </w:r>
          </w:p>
        </w:tc>
        <w:tc>
          <w:tcPr>
            <w:tcW w:w="163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top"/>
          </w:tcPr>
          <w:p>
            <w:pPr>
              <w:spacing w:beforeLines="0" w:afterLines="0" w:line="240" w:lineRule="auto"/>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1,907,384.48</w:t>
            </w:r>
          </w:p>
        </w:tc>
        <w:tc>
          <w:tcPr>
            <w:tcW w:w="166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top"/>
          </w:tcPr>
          <w:p>
            <w:pPr>
              <w:spacing w:beforeLines="0" w:afterLines="0" w:line="240" w:lineRule="auto"/>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1,734,891.04</w:t>
            </w:r>
          </w:p>
        </w:tc>
        <w:tc>
          <w:tcPr>
            <w:tcW w:w="202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bl>
    <w:p>
      <w:pPr>
        <w:widowControl/>
        <w:shd w:val="clear" w:color="auto" w:fill="FFFFFF"/>
        <w:spacing w:after="75" w:line="500" w:lineRule="exact"/>
        <w:rPr>
          <w:rFonts w:hint="eastAsia" w:ascii="仿宋" w:hAnsi="仿宋" w:eastAsia="仿宋" w:cs="仿宋"/>
          <w:b/>
          <w:bCs/>
          <w:sz w:val="24"/>
        </w:rPr>
      </w:pPr>
      <w:r>
        <w:rPr>
          <w:rFonts w:hint="eastAsia" w:ascii="仿宋" w:hAnsi="仿宋" w:eastAsia="仿宋" w:cs="仿宋"/>
          <w:kern w:val="0"/>
          <w:sz w:val="24"/>
          <w:shd w:val="clear" w:color="auto" w:fill="FFFFFF"/>
          <w:lang w:bidi="ar"/>
        </w:rPr>
        <w:t>编制人：</w:t>
      </w:r>
      <w:r>
        <w:rPr>
          <w:rFonts w:hint="eastAsia" w:ascii="仿宋" w:hAnsi="仿宋" w:eastAsia="仿宋" w:cs="仿宋"/>
          <w:kern w:val="0"/>
          <w:sz w:val="24"/>
          <w:shd w:val="clear" w:color="auto" w:fill="FFFFFF"/>
          <w:lang w:eastAsia="zh-CN" w:bidi="ar"/>
        </w:rPr>
        <w:t>港日电梯股份有限公司</w:t>
      </w:r>
      <w:r>
        <w:rPr>
          <w:rFonts w:hint="eastAsia" w:ascii="仿宋" w:hAnsi="仿宋" w:eastAsia="仿宋" w:cs="仿宋"/>
          <w:kern w:val="0"/>
          <w:sz w:val="24"/>
          <w:shd w:val="clear" w:color="auto" w:fill="FFFFFF"/>
          <w:lang w:bidi="ar"/>
        </w:rPr>
        <w:t xml:space="preserve">管理人              </w:t>
      </w:r>
      <w:r>
        <w:rPr>
          <w:rFonts w:hint="eastAsia" w:ascii="仿宋" w:hAnsi="仿宋" w:eastAsia="仿宋" w:cs="仿宋"/>
          <w:kern w:val="0"/>
          <w:sz w:val="24"/>
          <w:shd w:val="clear" w:color="auto" w:fill="FFFFFF"/>
          <w:lang w:val="en-US" w:eastAsia="zh-CN" w:bidi="ar"/>
        </w:rPr>
        <w:t xml:space="preserve">  </w:t>
      </w:r>
      <w:r>
        <w:rPr>
          <w:rFonts w:hint="eastAsia" w:ascii="仿宋" w:hAnsi="仿宋" w:eastAsia="仿宋" w:cs="仿宋"/>
          <w:kern w:val="0"/>
          <w:sz w:val="24"/>
          <w:shd w:val="clear" w:color="auto" w:fill="FFFFFF"/>
          <w:lang w:bidi="ar"/>
        </w:rPr>
        <w:t xml:space="preserve">单位：人民币/元 </w:t>
      </w:r>
    </w:p>
    <w:p>
      <w:pPr>
        <w:widowControl/>
        <w:shd w:val="clear" w:color="auto" w:fill="FFFFFF"/>
        <w:spacing w:line="460" w:lineRule="exact"/>
        <w:rPr>
          <w:rFonts w:hint="default" w:ascii="仿宋" w:hAnsi="仿宋" w:eastAsia="仿宋" w:cs="仿宋"/>
          <w:b/>
          <w:bCs/>
          <w:sz w:val="24"/>
          <w:lang w:val="en-US" w:eastAsia="zh-CN"/>
        </w:rPr>
      </w:pPr>
      <w:r>
        <w:rPr>
          <w:rFonts w:hint="eastAsia" w:ascii="仿宋" w:hAnsi="仿宋" w:eastAsia="仿宋" w:cs="仿宋"/>
          <w:b/>
          <w:bCs/>
          <w:sz w:val="24"/>
          <w:lang w:val="en-US" w:eastAsia="zh-CN"/>
        </w:rPr>
        <w:t>债务人核查意见：</w:t>
      </w:r>
      <w:r>
        <w:rPr>
          <w:rFonts w:hint="eastAsia" w:ascii="仿宋" w:hAnsi="仿宋" w:eastAsia="仿宋" w:cs="仿宋"/>
          <w:b/>
          <w:bCs/>
          <w:sz w:val="24"/>
          <w:u w:val="single"/>
          <w:lang w:val="en-US" w:eastAsia="zh-CN"/>
        </w:rPr>
        <w:t xml:space="preserve">                                                    </w:t>
      </w:r>
      <w:r>
        <w:rPr>
          <w:rFonts w:hint="eastAsia" w:ascii="仿宋" w:hAnsi="仿宋" w:eastAsia="仿宋" w:cs="仿宋"/>
          <w:b/>
          <w:bCs/>
          <w:sz w:val="24"/>
          <w:lang w:val="en-US" w:eastAsia="zh-CN"/>
        </w:rPr>
        <w:t xml:space="preserve"> </w:t>
      </w:r>
    </w:p>
    <w:p>
      <w:pPr>
        <w:widowControl/>
        <w:shd w:val="clear" w:color="auto" w:fill="FFFFFF"/>
        <w:spacing w:line="460" w:lineRule="exact"/>
        <w:rPr>
          <w:rFonts w:hint="eastAsia" w:ascii="仿宋" w:hAnsi="仿宋" w:eastAsia="仿宋" w:cs="仿宋"/>
          <w:b/>
          <w:bCs/>
          <w:sz w:val="24"/>
        </w:rPr>
      </w:pPr>
    </w:p>
    <w:p>
      <w:pPr>
        <w:widowControl/>
        <w:shd w:val="clear" w:color="auto" w:fill="FFFFFF"/>
        <w:spacing w:line="500" w:lineRule="exact"/>
        <w:rPr>
          <w:rFonts w:hint="eastAsia" w:ascii="仿宋" w:hAnsi="仿宋" w:eastAsia="仿宋" w:cs="仿宋"/>
          <w:b/>
          <w:bCs/>
          <w:sz w:val="24"/>
        </w:rPr>
      </w:pPr>
      <w:r>
        <w:rPr>
          <w:rFonts w:hint="eastAsia" w:ascii="仿宋" w:hAnsi="仿宋" w:eastAsia="仿宋" w:cs="仿宋"/>
          <w:b/>
          <w:bCs/>
          <w:sz w:val="24"/>
        </w:rPr>
        <w:t>注释：</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20" w:firstLineChars="200"/>
        <w:jc w:val="both"/>
        <w:textAlignment w:val="auto"/>
        <w:rPr>
          <w:rFonts w:hint="default" w:ascii="仿宋" w:hAnsi="仿宋" w:eastAsia="仿宋" w:cs="仿宋"/>
          <w:b w:val="0"/>
          <w:bCs w:val="0"/>
          <w:color w:val="auto"/>
          <w:sz w:val="21"/>
          <w:szCs w:val="21"/>
          <w:lang w:val="en-US" w:eastAsia="zh-CN"/>
        </w:rPr>
      </w:pPr>
      <w:r>
        <w:rPr>
          <w:rFonts w:hint="eastAsia" w:ascii="仿宋" w:hAnsi="仿宋" w:eastAsia="仿宋" w:cs="仿宋"/>
          <w:color w:val="auto"/>
          <w:sz w:val="21"/>
          <w:szCs w:val="21"/>
          <w:lang w:val="en-US" w:eastAsia="zh-CN"/>
        </w:rPr>
        <w:t>1.管理人初步确认佛山市三水通曳机电有限公司的债权金额为621,595.60元，性质为普通债权，金额与申报的不一致，原因为：订货合同中约定了违约方须付合同金额的10%作为赔偿，但在《分期还款承诺书》中双方又再次确认了以欠款总金额的3%即18375.6元作为利息，宜以后者认定为违约赔偿损失，故管理人未确认所申报的违约金</w:t>
      </w:r>
      <w:r>
        <w:rPr>
          <w:rFonts w:hint="default" w:ascii="仿宋" w:hAnsi="仿宋" w:eastAsia="仿宋" w:cs="仿宋"/>
          <w:b w:val="0"/>
          <w:bCs w:val="0"/>
          <w:color w:val="auto"/>
          <w:sz w:val="21"/>
          <w:szCs w:val="21"/>
          <w:lang w:val="en-US" w:eastAsia="zh-CN"/>
        </w:rPr>
        <w:t>60</w:t>
      </w:r>
      <w:r>
        <w:rPr>
          <w:rFonts w:hint="eastAsia" w:ascii="仿宋" w:hAnsi="仿宋" w:eastAsia="仿宋" w:cs="仿宋"/>
          <w:b w:val="0"/>
          <w:bCs w:val="0"/>
          <w:color w:val="auto"/>
          <w:sz w:val="21"/>
          <w:szCs w:val="21"/>
          <w:lang w:val="en-US" w:eastAsia="zh-CN"/>
        </w:rPr>
        <w:t>,</w:t>
      </w:r>
      <w:r>
        <w:rPr>
          <w:rFonts w:hint="default" w:ascii="仿宋" w:hAnsi="仿宋" w:eastAsia="仿宋" w:cs="仿宋"/>
          <w:b w:val="0"/>
          <w:bCs w:val="0"/>
          <w:color w:val="auto"/>
          <w:sz w:val="21"/>
          <w:szCs w:val="21"/>
          <w:lang w:val="en-US" w:eastAsia="zh-CN"/>
        </w:rPr>
        <w:t>322元</w:t>
      </w:r>
      <w:r>
        <w:rPr>
          <w:rFonts w:hint="eastAsia" w:ascii="仿宋" w:hAnsi="仿宋" w:eastAsia="仿宋" w:cs="仿宋"/>
          <w:b w:val="0"/>
          <w:bCs w:val="0"/>
          <w:color w:val="auto"/>
          <w:sz w:val="21"/>
          <w:szCs w:val="21"/>
          <w:lang w:val="en-US" w:eastAsia="zh-CN"/>
        </w:rPr>
        <w:t>。综上，管理人初步确认债权金额为621,595.60元，性质为普通债权。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20" w:firstLineChars="200"/>
        <w:jc w:val="both"/>
        <w:textAlignment w:val="auto"/>
        <w:rPr>
          <w:rFonts w:hint="eastAsia" w:ascii="仿宋" w:hAnsi="仿宋" w:eastAsia="仿宋" w:cs="仿宋"/>
          <w:b w:val="0"/>
          <w:bCs w:val="0"/>
          <w:color w:val="auto"/>
          <w:sz w:val="21"/>
          <w:szCs w:val="21"/>
          <w:lang w:val="en-US" w:eastAsia="zh-CN"/>
        </w:rPr>
      </w:pPr>
      <w:r>
        <w:rPr>
          <w:rFonts w:hint="eastAsia" w:ascii="仿宋" w:hAnsi="仿宋" w:eastAsia="仿宋" w:cs="仿宋"/>
          <w:b w:val="0"/>
          <w:bCs w:val="0"/>
          <w:color w:val="auto"/>
          <w:sz w:val="21"/>
          <w:szCs w:val="21"/>
          <w:lang w:val="en-US" w:eastAsia="zh-CN"/>
        </w:rPr>
        <w:t>2.管理人初步确认广西宇菱电梯空调销售有限公司的债权金额及性质与其申报的一致。</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20" w:firstLineChars="200"/>
        <w:jc w:val="both"/>
        <w:textAlignment w:val="auto"/>
        <w:rPr>
          <w:rFonts w:hint="default"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3.管理人初步确认江苏苏能电梯有限公司的债权金额为15,610.00元，性质为普通债权，金额与申报的不一致，原因为：审计报告显示港日公司欠款15,610.00元，且该笔欠款账龄为三年以上，根据《电梯监督检验报告》判断诉讼时效应自2018年6月4日起算，至债权申报日未超过诉讼时效，故管理人仅确认申报人的债权15,610.00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20" w:firstLineChars="200"/>
        <w:jc w:val="both"/>
        <w:textAlignment w:val="auto"/>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4.管理人初步确认梅州港日电梯有限公司的债权金额及性质与其申报的不一致，审核确认金额为115,600元，不予确认利息，原因为：港日公司与债权人仅约定对该笔预收货款作另行协商处理，并未形成明确的最终处理方案，此时港日公司的退款义务尚未确定，两份材料又均未对此期间利息的计算作出约定，债权人主张的计息期间缺乏事实依据，核定利息的数额为0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20" w:firstLineChars="200"/>
        <w:jc w:val="both"/>
        <w:textAlignment w:val="auto"/>
        <w:rPr>
          <w:rFonts w:hint="default"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5.管理人初步确认广州坂本电气有限公司的债权金额为696,600.83元，性质为普通债权，金额与申报的不一致，原因为：申报人提供了2017年11月30日单方面出具的应付款对账函及2017年8月31日债务人员工签字的应付款对账函及债务人盖章的分期还款承诺书和2016年5月至2017年8月的送货单，由于2017年11月30日的应付款对账函为申报人单方面出具，且没有2017年8月30日至2017年11月30日的送货单等基础证据材料予以佐证，故其申报的截至2017年11月30日793,750元的债权，管理人不予确认。根据其提供的2017年8月31日债务人员工签字的应付款对账函及债务人盖章的分期还款承诺书和2016年5月至2017年8月的送货单，可以认定债务人尚欠申报人款项。同时，专项审计报告附件五应付账款显示，港日公司应付申报人广州坂本电气有限公司696,600.83元，故管理人确认其债务本金为696,600.83元。综上，管理人确定申报人的债权为696,600.83元，比申报人申报的少97,149.17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20" w:firstLineChars="200"/>
        <w:jc w:val="both"/>
        <w:textAlignment w:val="auto"/>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6.管理人初步确认河源市远大电梯有限公司的债权金额及性质与其申报的一致。</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20" w:firstLineChars="200"/>
        <w:jc w:val="both"/>
        <w:textAlignment w:val="auto"/>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7.管理人初步确认珠海市亿邦空调设备有限公司的债权金额及性质与其申报的一致。</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20" w:firstLineChars="200"/>
        <w:jc w:val="both"/>
        <w:textAlignment w:val="auto"/>
        <w:rPr>
          <w:rFonts w:hint="default"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8.管理人初步确认广州市南沙经济技术开发区中兴贸易有限公司的债权金额为183,100元，债权性质为普通债权，金额与申报的不一致，原因为：关于本金，申报人申报的本金经（2019）粤0113民初12420号《民事判决书》确认，可以认定。关于迟延履行期间的债务利息，《最高人民法院关于适用&lt;中华人民共和国企业破产法&gt;若干问题的规定（三）》第三条规定：“破产申请受理后，债务人欠缴款项产生的滞纳金，包括债务人未履行生效法律文书应当加倍支付的迟延利息和劳动保险金的滞纳金，债权人作为破产债权申报的，人民法院不予确认。”2019年9月26日，港日公司进入破产清算程序，故申报人申报的迟延履行金，管理人不予确认。</w:t>
      </w:r>
    </w:p>
    <w:tbl>
      <w:tblPr>
        <w:tblStyle w:val="4"/>
        <w:tblpPr w:leftFromText="180" w:rightFromText="180" w:vertAnchor="text" w:horzAnchor="page" w:tblpX="1867" w:tblpY="33"/>
        <w:tblOverlap w:val="never"/>
        <w:tblW w:w="8202" w:type="dxa"/>
        <w:tblInd w:w="0" w:type="dxa"/>
        <w:tblLayout w:type="fixed"/>
        <w:tblCellMar>
          <w:top w:w="0" w:type="dxa"/>
          <w:left w:w="0" w:type="dxa"/>
          <w:bottom w:w="0" w:type="dxa"/>
          <w:right w:w="0" w:type="dxa"/>
        </w:tblCellMar>
      </w:tblPr>
      <w:tblGrid>
        <w:gridCol w:w="1125"/>
        <w:gridCol w:w="2246"/>
        <w:gridCol w:w="1920"/>
        <w:gridCol w:w="1738"/>
        <w:gridCol w:w="1173"/>
      </w:tblGrid>
      <w:tr>
        <w:tblPrEx>
          <w:tblCellMar>
            <w:top w:w="0" w:type="dxa"/>
            <w:left w:w="0" w:type="dxa"/>
            <w:bottom w:w="0" w:type="dxa"/>
            <w:right w:w="0" w:type="dxa"/>
          </w:tblCellMar>
        </w:tblPrEx>
        <w:trPr>
          <w:trHeight w:val="431" w:hRule="atLeast"/>
        </w:trPr>
        <w:tc>
          <w:tcPr>
            <w:tcW w:w="8202"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附表二：不予确认债权表</w:t>
            </w:r>
          </w:p>
        </w:tc>
      </w:tr>
      <w:tr>
        <w:tblPrEx>
          <w:tblCellMar>
            <w:top w:w="0" w:type="dxa"/>
            <w:left w:w="0" w:type="dxa"/>
            <w:bottom w:w="0" w:type="dxa"/>
            <w:right w:w="0" w:type="dxa"/>
          </w:tblCellMar>
        </w:tblPrEx>
        <w:trPr>
          <w:trHeight w:val="46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序号</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债权人</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申报金额</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审查核定金额</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债权性质</w:t>
            </w:r>
          </w:p>
        </w:tc>
      </w:tr>
      <w:tr>
        <w:tblPrEx>
          <w:tblCellMar>
            <w:top w:w="0" w:type="dxa"/>
            <w:left w:w="0" w:type="dxa"/>
            <w:bottom w:w="0" w:type="dxa"/>
            <w:right w:w="0" w:type="dxa"/>
          </w:tblCellMar>
        </w:tblPrEx>
        <w:trPr>
          <w:trHeight w:val="35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广州市泓就钣金件有限公司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255,420.00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spacing w:line="240" w:lineRule="auto"/>
              <w:jc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w:t>
            </w:r>
          </w:p>
        </w:tc>
      </w:tr>
      <w:tr>
        <w:tblPrEx>
          <w:tblCellMar>
            <w:top w:w="0" w:type="dxa"/>
            <w:left w:w="0" w:type="dxa"/>
            <w:bottom w:w="0" w:type="dxa"/>
            <w:right w:w="0" w:type="dxa"/>
          </w:tblCellMar>
        </w:tblPrEx>
        <w:trPr>
          <w:trHeight w:val="35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佛山市顺德区智桁贸易有限公司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356,538.34</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广州昱成电梯有限公司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sz w:val="24"/>
                <w:szCs w:val="24"/>
                <w:u w:val="none"/>
                <w:lang w:val="en-US" w:eastAsia="zh-CN"/>
              </w:rPr>
              <w:t>262,752.00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lang w:val="en-US" w:eastAsia="zh-CN"/>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广州市番禺区大龙五力信息技术咨询服务部</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432,600.00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5</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广州桦研电器设备有限公司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146,866.51</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6</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广东飞哪儿旅行社有限公司（曾用名：东莞市飞哪儿商旅服务有限公司）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38,215.50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7</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广州集联信息技术有限公司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6,100.00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8</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珠海市金丞五金制品有限公司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20,534.00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9</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南通江中光电有限公司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645,920.00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10</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湖州秋田电气有限公司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160,030.00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11</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广州市花都区红峰橡塑五金厂</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69,357.39</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12</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广西宇菱电梯空调有限公司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106,893.00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13</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江苏鼎特电梯有限公司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66,500.00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14</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南阳薇达电梯设备有限公司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225,600.00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15</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珠海市优晴贸易有限公司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27,375.00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16</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广州市行成物流有限公司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67,500.00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17</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宝友第一胶带（昆山）有限公司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35,392.50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18</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广州市国达五金制品有限公司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38,901.07</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19</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广东塔夫龙材料科技有限公司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3,350.00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20</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深圳市快意机电设备有限公司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77,730.00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21</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大连基正伟业机电有限公司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1,851,851</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22</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内蒙古宽广楼宇设备有限公司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50,000.00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23</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珠海市洁城环境卫生服务有限公司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7,200.00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24</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海门圣帕斯电梯配件有限公司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997,133.99</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25</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广安中创电梯设备有限公司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46,725.00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sz w:val="24"/>
                <w:szCs w:val="24"/>
                <w:u w:val="none"/>
                <w:lang w:val="en-US" w:eastAsia="zh-CN"/>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26</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广州市钜基装饰工程有限公司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147,445.03</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27</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惠州市烜达电梯有限公司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612,981.00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468"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28</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惠州淞下电梯有限公司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233,310.00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719"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29</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珠海市恒冠自动化设备有限公司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19,000.00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30</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漯河金茂房地产开发有限公司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20,000.00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47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31</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丘志葵</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45,000.00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719"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32</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伊犁卓锐电梯设备有限公司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44,000.00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46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33</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史蕊萍</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50,000.00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764"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34</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库尔勒信捷起重设备维修服务有限责任公司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70,205.40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468"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35</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贵州驷马电梯有限公司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2,996,863.00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679"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36</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上海新时达电气股份有限公司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499,466.66</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589"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37</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新乡市金原起重机械有限公司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53,000.00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443"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38</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唐雅伦</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color w:val="000000"/>
                <w:sz w:val="24"/>
                <w:szCs w:val="24"/>
                <w:lang w:val="en-US" w:eastAsia="zh-CN"/>
              </w:rPr>
              <w:t>888,300.00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209"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39</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珠海市盟友化工有限公司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47,477.50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419"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40</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东莞证券股份有限公司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300,000.00</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569" w:hRule="atLeast"/>
        </w:trPr>
        <w:tc>
          <w:tcPr>
            <w:tcW w:w="11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41</w:t>
            </w:r>
          </w:p>
        </w:tc>
        <w:tc>
          <w:tcPr>
            <w:tcW w:w="22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东莞市银朗电梯配件有限公司</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1070557.91</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r>
        <w:tblPrEx>
          <w:tblCellMar>
            <w:top w:w="0" w:type="dxa"/>
            <w:left w:w="0" w:type="dxa"/>
            <w:bottom w:w="0" w:type="dxa"/>
            <w:right w:w="0" w:type="dxa"/>
          </w:tblCellMar>
        </w:tblPrEx>
        <w:trPr>
          <w:trHeight w:val="388" w:hRule="atLeast"/>
        </w:trPr>
        <w:tc>
          <w:tcPr>
            <w:tcW w:w="3371"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合计</w:t>
            </w:r>
          </w:p>
        </w:tc>
        <w:tc>
          <w:tcPr>
            <w:tcW w:w="19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13,094,091.8</w:t>
            </w:r>
          </w:p>
        </w:tc>
        <w:tc>
          <w:tcPr>
            <w:tcW w:w="173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0.00</w:t>
            </w:r>
          </w:p>
        </w:tc>
        <w:tc>
          <w:tcPr>
            <w:tcW w:w="11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仿宋" w:hAnsi="仿宋" w:eastAsia="仿宋" w:cs="仿宋"/>
                <w:i w:val="0"/>
                <w:color w:val="000000"/>
                <w:kern w:val="0"/>
                <w:sz w:val="24"/>
                <w:szCs w:val="24"/>
                <w:u w:val="none"/>
                <w:lang w:val="en-US" w:eastAsia="zh-CN" w:bidi="ar"/>
              </w:rPr>
            </w:pPr>
            <w:r>
              <w:rPr>
                <w:rFonts w:hint="eastAsia" w:ascii="仿宋" w:hAnsi="仿宋" w:eastAsia="仿宋" w:cs="仿宋"/>
                <w:i w:val="0"/>
                <w:color w:val="000000"/>
                <w:kern w:val="0"/>
                <w:sz w:val="24"/>
                <w:szCs w:val="24"/>
                <w:u w:val="none"/>
                <w:lang w:val="en-US" w:eastAsia="zh-CN" w:bidi="ar"/>
              </w:rPr>
              <w:t>/</w:t>
            </w:r>
          </w:p>
        </w:tc>
      </w:tr>
    </w:tbl>
    <w:p>
      <w:pPr>
        <w:widowControl/>
        <w:shd w:val="clear" w:color="auto" w:fill="FFFFFF"/>
        <w:spacing w:after="75" w:line="500" w:lineRule="exact"/>
        <w:rPr>
          <w:rFonts w:hint="eastAsia" w:ascii="仿宋" w:hAnsi="仿宋" w:eastAsia="仿宋" w:cs="仿宋"/>
          <w:kern w:val="0"/>
          <w:sz w:val="24"/>
          <w:shd w:val="clear" w:color="auto" w:fill="FFFFFF"/>
          <w:lang w:bidi="ar"/>
        </w:rPr>
      </w:pPr>
      <w:r>
        <w:rPr>
          <w:rFonts w:hint="eastAsia" w:ascii="仿宋" w:hAnsi="仿宋" w:eastAsia="仿宋" w:cs="仿宋"/>
          <w:kern w:val="0"/>
          <w:sz w:val="24"/>
          <w:shd w:val="clear" w:color="auto" w:fill="FFFFFF"/>
          <w:lang w:bidi="ar"/>
        </w:rPr>
        <w:t>编制人：</w:t>
      </w:r>
      <w:r>
        <w:rPr>
          <w:rFonts w:hint="eastAsia" w:ascii="仿宋" w:hAnsi="仿宋" w:eastAsia="仿宋" w:cs="仿宋"/>
          <w:kern w:val="0"/>
          <w:sz w:val="24"/>
          <w:shd w:val="clear" w:color="auto" w:fill="FFFFFF"/>
          <w:lang w:eastAsia="zh-CN" w:bidi="ar"/>
        </w:rPr>
        <w:t>港日电梯股份有限公司</w:t>
      </w:r>
      <w:r>
        <w:rPr>
          <w:rFonts w:hint="eastAsia" w:ascii="仿宋" w:hAnsi="仿宋" w:eastAsia="仿宋" w:cs="仿宋"/>
          <w:kern w:val="0"/>
          <w:sz w:val="24"/>
          <w:shd w:val="clear" w:color="auto" w:fill="FFFFFF"/>
          <w:lang w:bidi="ar"/>
        </w:rPr>
        <w:t xml:space="preserve">管理人              </w:t>
      </w:r>
      <w:r>
        <w:rPr>
          <w:rFonts w:hint="eastAsia" w:ascii="仿宋" w:hAnsi="仿宋" w:eastAsia="仿宋" w:cs="仿宋"/>
          <w:kern w:val="0"/>
          <w:sz w:val="24"/>
          <w:shd w:val="clear" w:color="auto" w:fill="FFFFFF"/>
          <w:lang w:val="en-US" w:eastAsia="zh-CN" w:bidi="ar"/>
        </w:rPr>
        <w:t xml:space="preserve">  </w:t>
      </w:r>
      <w:r>
        <w:rPr>
          <w:rFonts w:hint="eastAsia" w:ascii="仿宋" w:hAnsi="仿宋" w:eastAsia="仿宋" w:cs="仿宋"/>
          <w:kern w:val="0"/>
          <w:sz w:val="24"/>
          <w:shd w:val="clear" w:color="auto" w:fill="FFFFFF"/>
          <w:lang w:bidi="ar"/>
        </w:rPr>
        <w:t xml:space="preserve">单位：人民币/元 </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Times New Roman" w:hAnsi="Times New Roman" w:eastAsia="宋体" w:cs="Times New Roman"/>
          <w:kern w:val="2"/>
          <w:sz w:val="21"/>
          <w:szCs w:val="24"/>
          <w:lang w:val="en-US" w:eastAsia="zh-CN" w:bidi="ar-SA"/>
        </w:rPr>
      </w:pPr>
      <w:r>
        <w:rPr>
          <w:rFonts w:hint="eastAsia" w:ascii="仿宋" w:hAnsi="仿宋" w:eastAsia="仿宋" w:cs="仿宋"/>
          <w:b/>
          <w:bCs/>
          <w:sz w:val="24"/>
          <w:lang w:val="en-US" w:eastAsia="zh-CN"/>
        </w:rPr>
        <w:t>债务人核查意见：</w:t>
      </w:r>
      <w:r>
        <w:rPr>
          <w:rFonts w:hint="eastAsia" w:ascii="仿宋" w:hAnsi="仿宋" w:eastAsia="仿宋" w:cs="仿宋"/>
          <w:b/>
          <w:bCs/>
          <w:sz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313" w:beforeLines="100" w:line="500" w:lineRule="exact"/>
        <w:jc w:val="left"/>
        <w:textAlignment w:val="auto"/>
        <w:rPr>
          <w:rFonts w:hint="eastAsia" w:ascii="仿宋" w:hAnsi="仿宋" w:eastAsia="仿宋" w:cs="仿宋"/>
          <w:b/>
          <w:bCs/>
          <w:kern w:val="2"/>
          <w:sz w:val="24"/>
          <w:szCs w:val="24"/>
          <w:lang w:val="en-US" w:eastAsia="zh-CN" w:bidi="ar-SA"/>
        </w:rPr>
      </w:pPr>
      <w:r>
        <w:rPr>
          <w:rFonts w:hint="eastAsia" w:ascii="仿宋" w:hAnsi="仿宋" w:eastAsia="仿宋" w:cs="仿宋"/>
          <w:b/>
          <w:bCs/>
          <w:kern w:val="2"/>
          <w:sz w:val="24"/>
          <w:szCs w:val="24"/>
          <w:lang w:val="en-US" w:eastAsia="zh-CN" w:bidi="ar-SA"/>
        </w:rPr>
        <w:t>注释：</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管理人不予确认广州市泓就钣金件有限公司的债权，原因为：根据申报人提供的2015年7月14日的订购单及2015年7月28日的送货单（送货金额为49,500.00元）、2015年8月26日的采购订单及2015年9月10日的送货单（送货金额为49,500.00元），虽然送货单上的签字人不能确认是否为港日公司的员工，但订购单上有港日公司的盖章，且订购单上的物品与送货单上的物品一致，故管理人对此予以认可，金额共计99,000.00元。但申报人主张的其他货款仅有送货单，送货单上的签字人与管理人认可的2015年7月28日的送货单及2015年9月10日的送货单上的签字人不一致，无法形成相互印证，无法证明债权发生的真实性，故管理人对其他货款部分不予确认。但申报人申报的款项为2015年的货款，申报人未提供相关的催收证明。因申报人未约定以上款项的付款时间，故无论是依据《中华人民共和国民法典》第五百一十条的交易习惯确定付款时间（即依据双方签订的产品购销合同，在港日公司收到钣金件公司的发票45天内付款，开发票时间均为2015年），还是依据《中华人民共和国民法典》第六百二十八条“买受人应当在收到标的物或者提取标的物单证的同时支付”来确定付款时间，诉讼时效应该从2015年开始起算，故以上货款均已过三年的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管理人不予确认佛山市顺德区智桁贸易有限公司的债权，原因为：申报人提供的对账函及销售单，只有其人员签字，没有港日公司的盖章，且签字人的身份无法进行确认；申报人提供的发票，只能证明港日公司已经付了相关款项，无法证明港日公司未付相关款项，无法证明债权发生的真实性。</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管理人不予确认广州昱成电梯有限公司的债权，原因为：申报人只提供了合同，无法证明其已经按照合同的要求履行完毕相关义务。同时，双方在合同中约定分段付款，且有明确的付款时间段，属于继续性债权，该种债权具有可分割性，每个个别的债权系独立存在的部分，故每个个别债权分别适用诉讼时效。关于该笔债权的第一笔款项131,376.00元，合同约定昱成公司在收到合同金额的50%之后开展改造维修工作，根据申报人自认，该合同已于2016年12月改造完成并验收，故该笔债权的第一笔款项诉讼时效起算期限应为2016年，至申报之日已过三年诉讼时效。关于该笔债权的第二笔款项131,376.00元，由于申报人未提供港日公司收到需方款项的时间，故无法确定履行期限，依据《中华人民共和国民法典》第六百二十八条“对支付时间没有约定或者约定不明确，买受人应当在收到标的物或者提取标的物单证的同时支付”来确定付款时间，根据申报人自认，该合同已于2016年12月改造完成并验收，诉讼时效应从2016年12月份开始起算，至申报之日已过三年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4.管理人不予确认广州市番禺区大龙五力信息技术咨询服务部的债权，原因为:申报人只提供了分期还款承诺书，而没有提供服务合同、服务证明等基础证据材料，港日公司的审计报告中未见与申报人相关的应付账款，无法证明双方发生存在债权债务关系。</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5.管理人不予确认广州桦研电器设备有限公司的债权，原因为：广州桦研电器设备有限公司已于2019年11月25日对该债权进行过申报，管理人经审核对该债权予以认可，并将之编入第一批无异议债权中提请广州市中级人民法院裁定确认。后广州市中级人民法院于2020年8月19日作出（2019）粤01破186-3号《民事裁定书》裁定确认该债权。故本债权构成重复申报，管理人对本债权不予确认。</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6.管理人不予确认广东飞哪儿旅行社有限公司（曾用名：东莞市飞哪儿商旅服务有限公司）的债权，原因为：申报人仅提交了两份《对账单》以证明港日公司欠付机票款，出具日期分别为2017年7月30日、2017年8月30日，金额分别为32,845.5元、5,370元。但该两份对账单无港日公司盖章确认，申报人未补充相关合同义务已经履行的材料，亦未在申报材料中明确申报债权的金额及性质，初步认定现有材料不足以认定其对港日公司享有债权。同时，申报人最后一次出具对账单时间为2017年8月30日，即使对账有效，截至债权申报之日，亦已过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7.管理人不予确认广州集联信息技术有限公司的债权，原因为：申报人提供了《技术服务合同》《催款申明函》等材料，结合审计报告的应付账款明细表，可初步认定债权发生事实存在，但申报人未提供催收送达港日公司的凭据，即使有送达港日公司，申报人两次催款的时间分别为2017年5月8日、2020年5月22日（距第一次已过三年），截至债权申报之日，已过三年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8.管理人不予确认珠海市金丞五金制品有限公司的债权，原因为：结合审计报告的应付账款明细表以及珠海市金丞五金制品有限公司的申报金额，可初步认定债权发生事实存在，但申报人未提供催收送达港日公司的凭据，其所述最后一次支付一批款项为2016年7月28日，截至债权申报之日，已过三年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9.管理人不予确认南通江中光电有限公司的债权，原因为：申报人仅提供了会计师事务所出具的《企业询证函》、微信聊天记录以证明港日公司欠款645,920元，落款日期为2016年11月9日，未有其他证据佐证债权发生的事实，根据现有证据，管理人无法认定申报人主张的债权实际发生。同时，现无证据证明微信账号主体身份，聊天内容亦未对拖欠款项进行确认，申报人提供的资料不能证明在2016年11月9日后有发生中断诉讼时效的事由，即使认定本债权存在，亦已超过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10.管理人不予确认湖州秋田电气有限公司的债权，原因为：申报人所申报的债权仅有发票、账目明细单、港日公司汇款记录等证据，但前述证据均是申报人单方出具的转账统计数据，无相关合同、货物运输单等证据佐证，无法证明债权实际发生。同时，依据现有证据，最后一次交易时间为2017年8月1日，至本债权申报之日已超过三年，即使本债权真实发生，亦已超过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11.管理人不予确认广州市花都区红峰橡塑五金厂的债权，原因为：申报人所申报的债权仅有5份增值税专用发票等证据，不足以证明其已履行交付标的物的义务，无法证明债权已实际发生。同时，最后一次开具增值税发票的时间为2017年9月4日，即使本债权真实发生，亦已超过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12.管理人不予确认广西宇菱电梯空调有限公司的债权，原因为：申报人提供了居间服务协议及港日公司支付部分居间服务费的银行回单，可以初步认定债权部分已实际发生，但申报人自认最后一次收到港日公司银行转账的时间为2017年3月15日，此后未见发生诉讼时效中断事由的相关证明，至其申报债权之日已超过三年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default"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13.管理人不予确认江苏鼎特电梯有限公司的债权，原因为：申报人所申报的债权有电梯安装分包合同、发票及银行回单等证据予以证实，可以初步认定债权实际发生，但依据申报材料，港日公司最后一次支付安装费用的日期为2016年12月28日，此后未见发生诉讼时效中断事由的相关证明，至申报债权之日已过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14.管理人不予确认南阳薇达电梯设备有限公司的债权，原因为：申报人未提供其为促成港日公司签订有效电梯产品合同提供了服务的证明资料，且无其他证据材料证明港日公司已在“南召县中医院项目”中签订了有效的电梯产品销售合同，故申报人提供的资料无法证明申报人已履行协议约定义务，且无法证明合同目的已完成，故管理人对本债权不予确认。</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15.管理人不予确认珠海市优晴贸易有限公司的债权，原因为：申报人提交的港日公司出具的应付账款对账单显示，港日电梯有限公司向申报人发函进行对账，对账截止日期为2017年11月8日，港日公司欠申报人23,725元，但该对账单并无港日公司的签章，无法确认是否为港日公司出具；另外，送货单为申报人单方制作，无港日公司签章，申报人亦未提供证据证明客户签章处是否为港日公司授权代表或员工签字，无法确认该送货单的真实性；申报人提供的微信聊天记录仅系聊天页面截图，未提供截图上的聊天双方是否为港日公司及申报人的员工，无法确定该聊天记录的真实性。综上，现有证据不足以证明申报人与港日公司存在合同关系，亦不足以证明申报人为港日公司提供了货物且存在欠付货款的情况。</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16.管理人不予确认广州市行成物流有限公司的债权，原因为：申报人提交了广东增值税专用发票（NO17328741）作为证据，未提供相应的税款抵扣资料，且申报人单方面出具的货物承运单无港日公司签章或港日公司授权代表签字，现有证据不足以证明申报人与港日公司存在货物运输合同关系，亦不足以证明申报人为港日公司提供了运输服务且存在港日公司欠付运输费用的情况，故申报人提供的证据不足以证明债权已实际发生，管理人对其债权不予确认。</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17.管理人不予确认宝友第一胶带（昆山）有限公司的债权，原因为：申报人提供的现有证据材料无法证明债权已实际发生，且即使债权存在也已过诉讼时效。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18.管理人不予确认广州市国达五金制品有限公司的债权，原因为：申报人仅提供增值税专用发票及对账单明细表证明其债权，但所提供的发票系由申报人单方提供，未有港日公司签章确认的购销合同、收货单等证据予以印证，债权真实性无法确认。同时，申报人提交的增值税专用发票的开票时间为2014年11月8日，债权人未提供证据证明此后发生过诉讼时效中断、中止的事由，故即使本债权真实发生，至申报债权之日，也已超过三年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19.管理人不予确认广东塔夫龙材料科技有限公司的债权，原因为：申报人提交了发票、送货单复印件等证据证明债权发生的事实，但前述证据无港日公司签章确认的买卖合同等证据予以印证，送货单上亦无收货单位签章确认，不足以证明债权真实发生。同时，因申报人未能提供买卖合同，无法确认合同是否约定了买方的付款时间，视为双方未明确约定货款的支付时间，依据《中华人民共和国民法典》第六百二十八条</w:t>
      </w:r>
      <w:bookmarkStart w:id="0" w:name="tiao_628_kuan_1"/>
      <w:bookmarkEnd w:id="0"/>
      <w:r>
        <w:rPr>
          <w:rFonts w:hint="eastAsia" w:ascii="仿宋" w:hAnsi="仿宋" w:eastAsia="仿宋" w:cs="仿宋"/>
          <w:color w:val="auto"/>
          <w:kern w:val="2"/>
          <w:sz w:val="21"/>
          <w:szCs w:val="21"/>
          <w:lang w:val="en-US" w:eastAsia="zh-CN" w:bidi="ar-SA"/>
        </w:rPr>
        <w:t>之规定，买受人应当在收到标的物或者提取标的物单证的同时支付，依据申报人提供的送货单，两批货物分别在2014年3月7日和2014年5月6日送货，日期均与所对应发票的开票日期一致，在无其他相反证据的情况下，依照一般逻辑应以前述日期作为港日公司收到标的物的日期，故港日公司应分别在2014年3月7日与2014年5月6日支付两笔货款，因无证据证明此后发生过诉讼时效中断、中止的事由，即使本债权真实发生，至债权申报之日，也已超过三年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20.管理人不予确认深圳市快意机电设备有限公司的债权，原因为：《电梯设备买卖合同》签订于2017年，约定交货期为2017年4月7日，债权申报时间为2021年1月22日，申报人未提供诉讼时效中止、中断的材料，依据《民法典》第一百八十八条第一款的规定，债权已过三年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21.管理人不予确认大连基正伟业机电有限公司的债权，原因为：申报人以开具金额为1,510,600元的发票进行申报，并非以财产给付为内容的债权进行申报，不应列入破产债权。关于其申报的给付财产340,000元的债权，根据认购协议及冲抵协议，认购定金为340,000元，其中的184,000元已经抵冲，申报人实际付款184,000元，故债务本金应为156,000元，而该债权发生在2016年，至债权申报之日已经过了三年的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22.管理人不予确认内蒙古宽广楼宇设备有限公司的债权，原因为：《电梯设备买卖合同》签订于2017年，约定暂定交货期为2017年5月30日，港日公司在交货期内没有履行义务，债权申报人就可以要求退还定金50,000元，故诉讼时效应从2017年5月30日起算，债权申报时间为2021年1月28日，申报人未提供诉讼时效中止、中断的材料，依据《民法典》第一百八十八条第一款的规定，本债权已超过三年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23.管理人不予确认珠海市洁城环境卫生服务有限公司的债权，原因为：申报人提供的关于港日电梯股份有限公司未付珠海市洁城环境卫生服务有限公司垃圾清运费的说明、客户明细单上仅有申报人的签章，无港日公司的任何签章，无法确认债权实际发生。虽然审计报告显示港日公司应付珠海市洁城环境卫生服务有限公司1,200元，但显示账龄为三年以上，申报人未提供证据证明诉讼时效发生中断、中止，故诉讼时效已过。</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24.管理人不予确认海门圣帕斯电梯配件有限公司的债权，原因为：申报人提供的支票、发票、来账付款凭证虽然可以双方之间存在交易往来之事实，但所提供的记账凭证、应收账款明细账仅有申报人的签章，无港日公司的任何签章，无法确认债权余额。审计报告显示港日公司应付海门圣帕斯电梯配件有限公司985,428.81元，但账龄为三年以上，且申报人未提供证据证明诉讼时效发生中断、中止，即使债权真实发生，也已超过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25.管理人不予确认广安中创电梯设备有限公司的职权，原因为：审计报告显示港日公司应付广安中创电梯设备有限公司10,500元，但账龄为三年以上，申报人未提供证据证明诉讼时效发生中断、中止，即使债权真实发生，也已超过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26.管理人不予确认广州市钜基装饰工程有限公司的债权，原因为：根据申报人提供的证据材料，双方结算时间为2013年10月10日，由于申报人未提供证据证明竣工验收时间，根据验收时间应早于结算时间的一般原则，结合合同的约定（尾款于验收合格一年之后付清），也即最迟付款日期为2014年10月10日，至债权申报之日已超过三年，申报人未提供证据证明诉讼时效发生中断、中止，故认定诉讼时效已过。</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27.管理人不予确认惠州市烜达电梯有限公司的债权，原因为：关于《港日电梯S6000系列电梯认购协议》34万元债权部分，由于申报人提交的中国银行汇款凭证记载金额为35万元，与认购协议标的额不相同，管理人无法确认该银行汇款凭证是因履行上述协议产生的，故无法认定该部分债权实际发生；关于《电梯设备买卖合同》72,160.00元债权，因申报人未提供已支付货款的相应凭证，亦未提供港日公司方同意解除合同、返还相应货款的证据材料，仅凭《电梯设备买卖合同》无法证实申报人已向港日公司支付货款，故无法认定该部分债权实际发生；关于《电梯安装维修维保分包合同》33,300.00元债权部分，由于申报人未提供《电梯安装维修维保分包合同》以及其他任何证据材料加以证明，故无法认定该部分债权实际发生；关于三份《居间协议》债权部分，由于申报人仅提供了两份居间协议，这两份居间协议的主体为翟广明，而非惠州市烜达电梯有限公司，且申报人未能提供其按居间协议履行约定义务的证明材料，故无法认定该部分债权实际发生。</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28.管理人不予确认惠州淞下电梯有限公司的债权，原因为：申报人提供的《电梯设备买卖合同》，可证明申报人与港日公司之间曾存在签署电梯买卖合同的法律关系。但申报人提供的两张2017年9月1日和9月19日的银行《结算业务申请书》并不能证明其已实际向港日公司支付货款的事实。首先，该两份《结算业务申请书》填写的内容并不清晰，无法确定申报人是即时汇款还是以延期汇票形式支付；其次，如果是延期汇票的形式，则无法保证申报人后续是否有撤回支付的可能；最后，根据港日公司的专项审计报告，并没有发现港日公司对申报人存在应付款项。综上，管理人不予确认本债权。</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29.管理人不予确认珠海市恒冠自动化设备有限公司的债权，原因为：申报人申报的债权最晚形成于2016年1月4日，截至债权申报日已超过3年，而且申报人未能提供诉讼时效期间曾向港日公司主张债权的证据材料，依据《民法典》第一百八十八条第一款的规定，本债权已过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30.管理人不予确认漯河金茂房地产开发有限公司的债权，原因为：申报人为证明其申报债权提供了合同书和银行转账回单。合同书签订于2013年1月14日，载明买方为金茂公司，合同款项分四次支付，合同签订之日起7天内金茂公司向港日公司支付第一笔款项，金额为20,000元。根据银行转账回单，付款人为李平均，付款日期为2013年1月24日，无论是付款日期还是付款人，均与合同约定不一致，且申报人并未提交相应材料证明该笔款项与金茂公司有关，无法认定本债权实际发生。</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default"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31.管理人不予确认丘志葵的债权，原因为：申报人仅提供了一份借款单，该借款单签订于2017年10月11日，载明港日公司向丘志葵借款45,000元，用于珠海东格贸易有限公司（永和大厦）项目的发货，并承诺在2017年10月27日前退还丘志葵，但并未提交银行转账记录等材料证明申报人确实出借款项给港日公司，无法证明双方之间确实存在借贷关系，故无法认定申报人主张的债权实际发生。</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32.管理人不予确认伊犁卓锐电梯设备有限公司的债权，原因为：根据申报人提供的维修保养合同，第二条明确约定了日常维护保养内容为卓锐公司应当参照相关规定和程序完成半月、月、季度、半年、年保养项目并做好维保保养记录；第五条第2款约定：“电梯应至少15日进行一次保养（清洁、润滑、调整和检查），实施的服务作业经客户签字（盖章）确认，在委托期满后半相关维保记录单（月保养计划、季度保养计划、半年保养计划及年保养计划等）交甲方归档……”；第五条第8款约定：“分包维保费在服务合同生效执行维修保养后每半年付款一次，余款在维修保养期限执行完毕后给予付清。以上款项支付前必须向甲方提交发票、安装维保交接单、维保记录单、保养计划和顾客满意度调查表等资料”。结合现有材料分析，存在以下问题：第一，维修保养合同并未载明盖章日期，结合维修保养合同第九条“自盖章日起生效”的约定，管理人无法确认维修保养合同的真实性、合法性。第二，维修保养合同中约定的维护保养期限为12个月（自当地质量技术监督局验收合格之日起12个月止），其中第五条第2款约定卓锐公司于质量技术监督局验收合格日起开始维保工作，且卓锐公司提供的检验报告载明的检验日期为2019年7月18日，与维修保养合同签订的时间隔过长，不符合常理，申报人亦未提供能够证明安装验收日期的材料，管理人无法确认申报人提供的检验报告是否属于维修保养合同约定的期限内应向港日公司提供的检验报告。第三，根据维修保养合同第二条及第五条的相关规定，卓锐公司在维修保养期限内应向港日公司提供发票、安装维保交接单、维保记录单、保养计划和顾客满意度调查表等资料，但申报人未提供上述材料，管理人无法确认卓锐公司是否已按维修保养合同载明的要求履行了合同义务。综上，根据现有证据，无法认定申报人主张的债权实际发生。</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default"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33.管理人不予确认史蕊萍的债权，原因为：史蕊萍以自己为债权人申报债权，但其所申报的实为内蒙古宽广楼宇设备有限公司的债权，该公司已在同一时期对其债权进行了申报，管理人已依法审查，故不再重复审查。</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34.管理人不予确认库尔勒信捷起重设备维修服务有限责任公司的债权，原因为：《电梯委托安装合同（编号ONEE-1209010）》中约定安装电梯数量为6台，申报人提供的证据仅能证明其已安装完成3台电梯，但根据港日公司专项审计报告显示确实存在港日公司对信捷公司金额为183,500元的应付账款，账龄为三年以上，可以认定债权已实际发生。但根据《电梯委托安装合同（编号ONEE-1209010）》约定，尾款支付时间为电梯验收合格正常使用后执行维保半年后10天内，即最迟付款日期分别为2016年7月30日，至债权申报之日已超过三年法定诉讼时效。根据《电梯委托安装合同（编号ONEE-1205029）》合同约定，尾款支付时间为电梯验收合格正常使用后执行维保半年后10天内，即最迟付款日期为2015年7月26日，至债权申报之日已超过三年法定诉讼时效。因申报人未提供证据证明诉讼时效发生中断、中止，故管理人认为诉讼时效业已经过，对本债权不予确认。</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35.管理人不予确认贵州驷马电梯有限公司的债权，原因为：经审查，结合买卖合同及银行账户历史交易明细，可以确认申报人已向港日公司支付电梯货款1,645,643元。管理人审查贵州银行账户历史交易明细发现，驷马公司于2017年3月14日才支付第一期货款，而根据合同约定其本应于本合同签订之日起7日内（即2016年9月1日）支付第一期款，已逾期远远超过15天，因其违约在先，故港日公司不存在对违约责任及利息的承担。申报人提供了其与安顺翠麓房地产开发有限责任公司签订的《电梯设备买卖合同（编号D3N16A0831-0842）》及《安装合同》、（2017）黔0115民初5160号民事判决书、（2019）黔0115执2400号执行通知书，证明因港日公司未按合同履约而导致其对工程项目第三人违约。经审查，管理人认为，违约损害赔偿应当以违反合同一方订立合同时预见到的或者应当预见到的因违反合同肯造成的损失为限，根据申报人提供的材料，本案中港日电梯与驷马公司签订合同时并未知悉驷马公司向安顺翠麓房地产开发有限责任公司转卖标的客梯的情况，故不能认定其已经或应当预见到驷马公司该笔损失。故管理人对因此产生的债权不予认可。此外，《电梯设备买卖合同》约定乙方标准梯型的交货期不少于收到甲方支付的第一期款、甲方确认所有技术参数(包括土建布置图、规格参数表)之日起20个工作日，同时合同约定，应于本合同签订之日起7日内（即2016年9月1日）支付第一期款，因此港日公司电梯交付时间最迟为2016年9月21日，至申报债权之日已超过三年法定诉讼时效，申报人未提供证据证明诉讼时效发生中断、中止，管理人认定诉讼时效已经过，不予确认本债权。</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36.管理人不予确认上海新时达电气股份有限公司的债权，原因为：根据申报人提供的材料显示该笔债权发生在2017年之前，而申报人于2021年2月1日才向管理人申报债权，且其也没有提供证据证明诉讼时效发生中断、中止，故该笔债权已经过了三年诉讼时效。</w:t>
      </w:r>
    </w:p>
    <w:p>
      <w:pPr>
        <w:keepNext w:val="0"/>
        <w:keepLines w:val="0"/>
        <w:pageBreakBefore w:val="0"/>
        <w:widowControl/>
        <w:shd w:val="clear" w:color="auto" w:fill="FFFFFF"/>
        <w:kinsoku/>
        <w:wordWrap/>
        <w:overflowPunct/>
        <w:topLinePunct w:val="0"/>
        <w:autoSpaceDE/>
        <w:autoSpaceDN/>
        <w:bidi w:val="0"/>
        <w:adjustRightInd/>
        <w:snapToGrid/>
        <w:spacing w:after="0" w:line="50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37.管理人不予确认新乡市金原起重机械有限公司的债权，原因为：申报人仅提供了合同及发票，以证明双方之间存在交易往来之事实。合同中约定了起重机安装地址在港日公司指定场地、“收到订金之日起计，15日内完成悬臂起重机的安装、调试”、“若订货方未能按时支付工程款，则工程完成期限顺延”，现申报人未提供安装、调试设备或施工期的任何证明资料，也没有送货单、对账单等单据，现有的证据材料不足以证明申报人已按合同提供了定作服务和货物，故管理人认为证据不充分，不予以确认本债权。</w:t>
      </w:r>
    </w:p>
    <w:p>
      <w:pPr>
        <w:keepNext w:val="0"/>
        <w:keepLines w:val="0"/>
        <w:pageBreakBefore w:val="0"/>
        <w:widowControl/>
        <w:shd w:val="clear" w:color="auto" w:fill="FFFFFF"/>
        <w:kinsoku/>
        <w:wordWrap/>
        <w:overflowPunct/>
        <w:topLinePunct w:val="0"/>
        <w:autoSpaceDE/>
        <w:autoSpaceDN/>
        <w:bidi w:val="0"/>
        <w:adjustRightInd/>
        <w:snapToGrid/>
        <w:spacing w:after="0" w:line="49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38.管理人不予确认唐雅伦的债权，原因为：申报人提交了《港日电梯居间服务协议》（协议号：X D3N16A0653-0682）、《港日电梯有限公司电梯设备买卖合同》（合同编号：D3N16A0653-0682）、《港日电梯有限公司电梯安装合同》（合同编号：D3N16A0653-0682）等证据证明债权发生的事实，前述合同均有港日公司的签章确认，可证明港日公司与申报人建立有居间合同关系，且申报人确已通过履行居间合同的义务促成港日公司与云南远藤集团保山创意房地产开发有限公司（以下简称“云南远藤公司”）签订了电梯设备的买卖合安装合同，但申报人两次提交的证据均不能证明云南远藤公司向港日公司支付了95%的合同款，管理人依据现有接管的材料无法确认前述电梯设备买卖安装合同的履行情况，管理人就此亦曾两次向云南远藤公司发函询证其履行前述合同情况及合同款支付比例，但询证函分别被拒收和退回。综上，现无法确认港日公司与云南远藤公司的合同履行情况，申报人提交的证据亦无法证明港日公司向申报人支付居间服务费的条件已成就，故管理人对本债权不予确认。</w:t>
      </w:r>
    </w:p>
    <w:p>
      <w:pPr>
        <w:keepNext w:val="0"/>
        <w:keepLines w:val="0"/>
        <w:pageBreakBefore w:val="0"/>
        <w:widowControl/>
        <w:shd w:val="clear" w:color="auto" w:fill="FFFFFF"/>
        <w:kinsoku/>
        <w:wordWrap/>
        <w:overflowPunct/>
        <w:topLinePunct w:val="0"/>
        <w:autoSpaceDE/>
        <w:autoSpaceDN/>
        <w:bidi w:val="0"/>
        <w:adjustRightInd/>
        <w:snapToGrid/>
        <w:spacing w:after="0" w:line="49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39.管理人不予确认珠海市盟友化工有限公司的债权，原因为：申报人提交了送货单、代付款三方协议等证据拟证明债权发生的事实，但两张送货单上均未加盖港日公司公章，单凭李某签名不足以证明该笔交易实际发生；三方协议仅能证明双方存在业务往来，申报人提供的证据也未能证明港日电梯股份有限公司欠付合同款的事实，债权真实性无法确认。</w:t>
      </w:r>
    </w:p>
    <w:p>
      <w:pPr>
        <w:keepNext w:val="0"/>
        <w:keepLines w:val="0"/>
        <w:pageBreakBefore w:val="0"/>
        <w:widowControl/>
        <w:shd w:val="clear" w:color="auto" w:fill="FFFFFF"/>
        <w:kinsoku/>
        <w:wordWrap/>
        <w:overflowPunct/>
        <w:topLinePunct w:val="0"/>
        <w:autoSpaceDE/>
        <w:autoSpaceDN/>
        <w:bidi w:val="0"/>
        <w:adjustRightInd/>
        <w:snapToGrid/>
        <w:spacing w:after="0" w:line="490" w:lineRule="exact"/>
        <w:ind w:firstLine="420" w:firstLineChars="200"/>
        <w:jc w:val="both"/>
        <w:textAlignment w:val="auto"/>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40.管理人不予确认东莞证券股份有限公司的债权，原因为：《全国中小企业股份转让系统挂牌财务顾问协议》约定，签订合同5日内支付30万元，即2016年3月1日前；取得股份有限公司营业执照之日起5日内支付30万元，经查阅工商内档，港日公司的股份有限公司营业执照的核发日期为2017年4月27日，即港日公司应在2017年5月2日前支付30万元第二期费用；因申报人只申报了30万元，推断第一期费用30万元已结清，目前港日公司尚欠第二期费用30万元，应在2017年5月2日前支付，且该笔费用的诉讼时效在2020年5月1日届满；申报人提供了2021年5月11日的《催告函》但未提交送达港日公司的证明，管理人也未收到该《催告函》；即使《催告函》已送达，也应认定未诉讼时效届满后的催收，不产生中断诉讼时效的效力。经查阅审计报告，亦未发现该笔欠款；综上，因超过诉讼时效，不予确认本债权。</w:t>
      </w:r>
    </w:p>
    <w:p>
      <w:pPr>
        <w:keepNext w:val="0"/>
        <w:keepLines w:val="0"/>
        <w:pageBreakBefore w:val="0"/>
        <w:widowControl/>
        <w:shd w:val="clear" w:color="auto" w:fill="FFFFFF"/>
        <w:kinsoku/>
        <w:wordWrap/>
        <w:overflowPunct/>
        <w:topLinePunct w:val="0"/>
        <w:autoSpaceDE/>
        <w:autoSpaceDN/>
        <w:bidi w:val="0"/>
        <w:adjustRightInd/>
        <w:snapToGrid/>
        <w:spacing w:after="0" w:line="490" w:lineRule="exact"/>
        <w:ind w:firstLine="420" w:firstLineChars="200"/>
        <w:jc w:val="both"/>
        <w:textAlignment w:val="auto"/>
        <w:rPr>
          <w:rFonts w:hint="default" w:ascii="仿宋" w:hAnsi="仿宋" w:eastAsia="仿宋" w:cs="仿宋"/>
          <w:sz w:val="24"/>
          <w:szCs w:val="24"/>
          <w:lang w:val="en-US" w:eastAsia="zh-CN"/>
        </w:rPr>
      </w:pPr>
      <w:r>
        <w:rPr>
          <w:rFonts w:hint="eastAsia" w:ascii="仿宋" w:hAnsi="仿宋" w:eastAsia="仿宋" w:cs="仿宋"/>
          <w:color w:val="auto"/>
          <w:kern w:val="2"/>
          <w:sz w:val="21"/>
          <w:szCs w:val="21"/>
          <w:lang w:val="en-US" w:eastAsia="zh-CN" w:bidi="ar-SA"/>
        </w:rPr>
        <w:t>41.管理人不予确认东莞市银朗电梯配件有限公司的债权，原因为：申报人提供了民事判决书以证明债权事实存在，但申报人未提供其已申请强制执行的证明材料，截至债权申报日已过执行期间，故不予确认本债权。</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D22BE6"/>
    <w:rsid w:val="02C25973"/>
    <w:rsid w:val="06654FBE"/>
    <w:rsid w:val="0B9D70DC"/>
    <w:rsid w:val="0BFA4A26"/>
    <w:rsid w:val="1561380D"/>
    <w:rsid w:val="15D22BE6"/>
    <w:rsid w:val="19DB57AF"/>
    <w:rsid w:val="223C64FF"/>
    <w:rsid w:val="271F429D"/>
    <w:rsid w:val="2C765F57"/>
    <w:rsid w:val="333D1F81"/>
    <w:rsid w:val="34B95D31"/>
    <w:rsid w:val="363B7AB6"/>
    <w:rsid w:val="36A104C6"/>
    <w:rsid w:val="444F0992"/>
    <w:rsid w:val="4C3125E6"/>
    <w:rsid w:val="4E593B07"/>
    <w:rsid w:val="4E9834DA"/>
    <w:rsid w:val="4F345558"/>
    <w:rsid w:val="520E382B"/>
    <w:rsid w:val="554B3BD3"/>
    <w:rsid w:val="5DC67C06"/>
    <w:rsid w:val="623C0C23"/>
    <w:rsid w:val="65B074FD"/>
    <w:rsid w:val="680216CF"/>
    <w:rsid w:val="6A484A93"/>
    <w:rsid w:val="79E470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2020-07-21T03:57:00Z</dcterms:created>
  <dc:creator>floy</dc:creator>
  <cp:lastModifiedBy>l</cp:lastModifiedBy>
  <cp:lastPrinted>2021-01-20T07:14:00Z</cp:lastPrinted>
  <dcterms:modified xsi:type="dcterms:W3CDTF">2021-06-11T07:09:17Z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D43B6E209C9840F681F35DB8E0D0229A</vt:lpwstr>
  </property>
</Properties>
</file>