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  <w:lang w:eastAsia="zh-CN"/>
        </w:rPr>
        <w:t>东莞市奋钧五金科技有限公司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破产清算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案</w:t>
      </w:r>
    </w:p>
    <w:p>
      <w:pPr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债权申报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材料、证据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清单</w:t>
      </w:r>
      <w:bookmarkStart w:id="0" w:name="_GoBack"/>
      <w:bookmarkEnd w:id="0"/>
    </w:p>
    <w:p>
      <w:pPr>
        <w:tabs>
          <w:tab w:val="left" w:pos="6953"/>
        </w:tabs>
        <w:jc w:val="left"/>
        <w:rPr>
          <w:rFonts w:ascii="仿宋_GB2312" w:hAnsi="宋体" w:eastAsia="仿宋_GB2312" w:cs="宋体"/>
          <w:b/>
          <w:bCs/>
          <w:sz w:val="24"/>
        </w:rPr>
      </w:pPr>
    </w:p>
    <w:p>
      <w:pPr>
        <w:tabs>
          <w:tab w:val="left" w:pos="6953"/>
        </w:tabs>
        <w:jc w:val="left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债权人姓名/名称：                                             编号：</w:t>
      </w:r>
    </w:p>
    <w:tbl>
      <w:tblPr>
        <w:tblStyle w:val="4"/>
        <w:tblW w:w="9884" w:type="dxa"/>
        <w:tblInd w:w="-5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2713"/>
        <w:gridCol w:w="3817"/>
        <w:gridCol w:w="1133"/>
        <w:gridCol w:w="1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序号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证据名称</w:t>
            </w: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证明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val="en-US" w:eastAsia="zh-CN"/>
              </w:rPr>
              <w:t>内容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页码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是否已提供原件核对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tabs>
                <w:tab w:val="left" w:pos="2926"/>
              </w:tabs>
              <w:jc w:val="left"/>
              <w:rPr>
                <w:rFonts w:hint="eastAsia" w:ascii="仿宋_GB2312" w:hAnsi="宋体" w:eastAsia="仿宋_GB2312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eastAsia="zh-CN"/>
              </w:rPr>
              <w:tab/>
            </w: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81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至</w:t>
            </w:r>
          </w:p>
        </w:tc>
        <w:tc>
          <w:tcPr>
            <w:tcW w:w="1484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</w:tbl>
    <w:p>
      <w:pPr>
        <w:spacing w:line="480" w:lineRule="exact"/>
        <w:ind w:left="-619" w:leftChars="-295" w:right="-619" w:rightChars="-295" w:firstLine="482" w:firstLineChars="200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提交人声明：</w:t>
      </w:r>
      <w:r>
        <w:rPr>
          <w:rFonts w:hint="eastAsia" w:ascii="仿宋_GB2312" w:hAnsi="宋体" w:eastAsia="仿宋_GB2312" w:cs="宋体"/>
          <w:sz w:val="24"/>
        </w:rPr>
        <w:t>提交人已完全知悉</w:t>
      </w:r>
      <w:r>
        <w:rPr>
          <w:rFonts w:hint="eastAsia" w:ascii="仿宋_GB2312" w:hAnsi="宋体" w:eastAsia="仿宋_GB2312" w:cs="宋体"/>
          <w:color w:val="auto"/>
          <w:sz w:val="24"/>
        </w:rPr>
        <w:t>（2</w:t>
      </w:r>
      <w:r>
        <w:rPr>
          <w:rFonts w:ascii="仿宋_GB2312" w:hAnsi="宋体" w:eastAsia="仿宋_GB2312" w:cs="宋体"/>
          <w:color w:val="auto"/>
          <w:sz w:val="24"/>
        </w:rPr>
        <w:t>02</w:t>
      </w:r>
      <w:r>
        <w:rPr>
          <w:rFonts w:hint="eastAsia" w:ascii="仿宋_GB2312" w:hAnsi="宋体" w:eastAsia="仿宋_GB2312" w:cs="宋体"/>
          <w:color w:val="auto"/>
          <w:sz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auto"/>
          <w:sz w:val="24"/>
        </w:rPr>
        <w:t>）</w:t>
      </w:r>
      <w:r>
        <w:rPr>
          <w:rFonts w:hint="eastAsia" w:ascii="仿宋_GB2312" w:hAnsi="宋体" w:eastAsia="仿宋_GB2312" w:cs="宋体"/>
          <w:color w:val="auto"/>
          <w:sz w:val="24"/>
          <w:lang w:val="en-US" w:eastAsia="zh-CN"/>
        </w:rPr>
        <w:t>奋钧</w:t>
      </w:r>
      <w:r>
        <w:rPr>
          <w:rFonts w:ascii="仿宋_GB2312" w:hAnsi="宋体" w:eastAsia="仿宋_GB2312" w:cs="宋体"/>
          <w:color w:val="auto"/>
          <w:sz w:val="24"/>
        </w:rPr>
        <w:t>破</w:t>
      </w:r>
      <w:r>
        <w:rPr>
          <w:rFonts w:hint="eastAsia" w:ascii="仿宋_GB2312" w:hAnsi="宋体" w:eastAsia="仿宋_GB2312" w:cs="宋体"/>
          <w:color w:val="auto"/>
          <w:sz w:val="24"/>
        </w:rPr>
        <w:t>管字</w:t>
      </w:r>
      <w:r>
        <w:rPr>
          <w:rFonts w:ascii="仿宋_GB2312" w:hAnsi="宋体" w:eastAsia="仿宋_GB2312" w:cs="宋体"/>
          <w:color w:val="auto"/>
          <w:sz w:val="24"/>
        </w:rPr>
        <w:t>第</w:t>
      </w:r>
      <w:r>
        <w:rPr>
          <w:rFonts w:hint="eastAsia" w:ascii="仿宋_GB2312" w:hAnsi="宋体" w:eastAsia="仿宋_GB2312" w:cs="宋体"/>
          <w:color w:val="auto"/>
          <w:sz w:val="24"/>
        </w:rPr>
        <w:t>1号</w:t>
      </w:r>
      <w:r>
        <w:rPr>
          <w:rFonts w:hint="eastAsia" w:ascii="仿宋_GB2312" w:hAnsi="宋体" w:eastAsia="仿宋_GB2312" w:cs="宋体"/>
          <w:bCs/>
          <w:color w:val="auto"/>
          <w:sz w:val="24"/>
          <w:lang w:eastAsia="zh-CN"/>
        </w:rPr>
        <w:t>东莞市奋钧五金科技有限公司</w:t>
      </w:r>
      <w:r>
        <w:rPr>
          <w:rFonts w:hint="eastAsia" w:ascii="仿宋_GB2312" w:hAnsi="宋体" w:eastAsia="仿宋_GB2312" w:cs="宋体"/>
          <w:bCs/>
          <w:sz w:val="24"/>
        </w:rPr>
        <w:t>破产清算</w:t>
      </w:r>
      <w:r>
        <w:rPr>
          <w:rFonts w:hint="eastAsia" w:ascii="仿宋_GB2312" w:hAnsi="宋体" w:eastAsia="仿宋_GB2312" w:cs="宋体"/>
          <w:bCs/>
          <w:sz w:val="24"/>
          <w:lang w:val="en-US" w:eastAsia="zh-CN"/>
        </w:rPr>
        <w:t>案</w:t>
      </w:r>
      <w:r>
        <w:rPr>
          <w:rFonts w:hint="eastAsia" w:ascii="仿宋_GB2312" w:hAnsi="宋体" w:eastAsia="仿宋_GB2312" w:cs="宋体"/>
          <w:bCs/>
          <w:sz w:val="24"/>
        </w:rPr>
        <w:t>债权申报通知</w:t>
      </w:r>
      <w:r>
        <w:rPr>
          <w:rFonts w:hint="eastAsia" w:ascii="仿宋_GB2312" w:hAnsi="宋体" w:eastAsia="仿宋_GB2312" w:cs="宋体"/>
          <w:sz w:val="24"/>
        </w:rPr>
        <w:t>的全部内容，并承诺所提交的上述证据材料完全真实，且来源合法，不存在伪造、变造等情形，否则愿承担由此产生的法律责任。</w:t>
      </w:r>
    </w:p>
    <w:p>
      <w:pPr>
        <w:spacing w:line="480" w:lineRule="exact"/>
        <w:ind w:left="-619" w:leftChars="-295" w:right="-619" w:rightChars="-295" w:firstLine="482" w:firstLineChars="200"/>
        <w:rPr>
          <w:rFonts w:ascii="仿宋_GB2312" w:hAnsi="宋体" w:eastAsia="仿宋_GB2312" w:cs="宋体"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管理人声明：</w:t>
      </w:r>
      <w:r>
        <w:rPr>
          <w:rFonts w:hint="eastAsia" w:ascii="仿宋_GB2312" w:hAnsi="宋体" w:eastAsia="仿宋_GB2312" w:cs="宋体"/>
          <w:sz w:val="24"/>
        </w:rPr>
        <w:t>管理人接收上述材料，不代表管理人对上述材料真实性、合法性、关联性及时效性的确认。</w:t>
      </w:r>
    </w:p>
    <w:p>
      <w:pPr>
        <w:spacing w:line="480" w:lineRule="exact"/>
        <w:ind w:left="-619" w:leftChars="-295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提交人：                                提交时间：</w:t>
      </w:r>
    </w:p>
    <w:p>
      <w:pPr>
        <w:spacing w:line="480" w:lineRule="exact"/>
        <w:ind w:left="-619" w:leftChars="-295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接收人：                                接收时间：</w:t>
      </w:r>
    </w:p>
    <w:p>
      <w:pPr>
        <w:spacing w:line="480" w:lineRule="exact"/>
        <w:ind w:left="-619" w:leftChars="-295"/>
        <w:rPr>
          <w:rFonts w:ascii="仿宋_GB2312" w:hAnsi="宋体" w:eastAsia="仿宋_GB2312" w:cs="宋体"/>
          <w:b/>
          <w:bCs/>
          <w:sz w:val="24"/>
        </w:rPr>
      </w:pPr>
      <w:r>
        <w:rPr>
          <w:rFonts w:hint="eastAsia" w:ascii="仿宋_GB2312" w:hAnsi="宋体" w:eastAsia="仿宋_GB2312" w:cs="宋体"/>
          <w:b/>
          <w:bCs/>
          <w:sz w:val="24"/>
        </w:rPr>
        <w:t>备注</w:t>
      </w:r>
      <w:r>
        <w:rPr>
          <w:rFonts w:ascii="仿宋_GB2312" w:hAnsi="宋体" w:eastAsia="仿宋_GB2312" w:cs="宋体"/>
          <w:b/>
          <w:bCs/>
          <w:sz w:val="24"/>
        </w:rPr>
        <w:t>：</w:t>
      </w:r>
      <w:r>
        <w:rPr>
          <w:rFonts w:hint="eastAsia" w:ascii="仿宋_GB2312" w:hAnsi="宋体" w:eastAsia="仿宋_GB2312" w:cs="宋体"/>
          <w:b/>
          <w:bCs/>
          <w:sz w:val="24"/>
        </w:rPr>
        <w:t>本</w:t>
      </w:r>
      <w:r>
        <w:rPr>
          <w:rFonts w:ascii="仿宋_GB2312" w:hAnsi="宋体" w:eastAsia="仿宋_GB2312" w:cs="宋体"/>
          <w:b/>
          <w:bCs/>
          <w:sz w:val="24"/>
        </w:rPr>
        <w:t>债权申报表一式三份，申报人执一份、管理人执两份，兼</w:t>
      </w:r>
      <w:r>
        <w:rPr>
          <w:rFonts w:hint="eastAsia" w:ascii="仿宋_GB2312" w:hAnsi="宋体" w:eastAsia="仿宋_GB2312" w:cs="宋体"/>
          <w:b/>
          <w:bCs/>
          <w:sz w:val="24"/>
        </w:rPr>
        <w:t>作</w:t>
      </w:r>
      <w:r>
        <w:rPr>
          <w:rFonts w:ascii="仿宋_GB2312" w:hAnsi="宋体" w:eastAsia="仿宋_GB2312" w:cs="宋体"/>
          <w:b/>
          <w:bCs/>
          <w:sz w:val="24"/>
        </w:rPr>
        <w:t>债权</w:t>
      </w:r>
      <w:r>
        <w:rPr>
          <w:rFonts w:hint="eastAsia" w:ascii="仿宋_GB2312" w:hAnsi="宋体" w:eastAsia="仿宋_GB2312" w:cs="宋体"/>
          <w:b/>
          <w:bCs/>
          <w:sz w:val="24"/>
        </w:rPr>
        <w:t>申报</w:t>
      </w:r>
      <w:r>
        <w:rPr>
          <w:rFonts w:ascii="仿宋_GB2312" w:hAnsi="宋体" w:eastAsia="仿宋_GB2312" w:cs="宋体"/>
          <w:b/>
          <w:bCs/>
          <w:sz w:val="24"/>
        </w:rPr>
        <w:t>回执。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东莞市奋钧五金科技有限公司</w:t>
    </w:r>
    <w:r>
      <w:rPr>
        <w:rFonts w:hint="eastAsia" w:ascii="仿宋_GB2312" w:eastAsia="仿宋_GB2312"/>
        <w:sz w:val="21"/>
        <w:szCs w:val="21"/>
      </w:rPr>
      <w:t>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3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hint="eastAsia" w:ascii="仿宋_GB2312" w:eastAsia="仿宋_GB2312"/>
        <w:sz w:val="21"/>
        <w:szCs w:val="21"/>
        <w:lang w:val="en-US" w:eastAsia="zh-CN"/>
      </w:rPr>
      <w:t>1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73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sz w:val="21"/>
        <w:szCs w:val="21"/>
      </w:rPr>
      <w:t xml:space="preserve">         </w:t>
    </w:r>
    <w:r>
      <w:rPr>
        <w:rFonts w:hint="eastAsia" w:ascii="仿宋_GB2312" w:eastAsia="仿宋_GB2312"/>
        <w:color w:val="auto"/>
        <w:sz w:val="21"/>
        <w:szCs w:val="21"/>
      </w:rPr>
      <w:t xml:space="preserve"> </w:t>
    </w:r>
    <w:r>
      <w:rPr>
        <w:rFonts w:hint="eastAsia" w:ascii="仿宋_GB2312" w:eastAsia="仿宋_GB2312"/>
        <w:color w:val="C00000"/>
        <w:sz w:val="21"/>
        <w:szCs w:val="21"/>
      </w:rPr>
      <w:t xml:space="preserve"> </w:t>
    </w:r>
    <w:r>
      <w:rPr>
        <w:rFonts w:hint="eastAsia" w:ascii="仿宋_GB2312" w:eastAsia="仿宋_GB2312"/>
        <w:sz w:val="21"/>
        <w:szCs w:val="21"/>
      </w:rPr>
      <w:t xml:space="preserve">                 附件2：债权申报材料、证据清单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9A7"/>
    <w:rsid w:val="0018703C"/>
    <w:rsid w:val="00187BAA"/>
    <w:rsid w:val="0019327A"/>
    <w:rsid w:val="0026419A"/>
    <w:rsid w:val="00374534"/>
    <w:rsid w:val="00383539"/>
    <w:rsid w:val="00392D53"/>
    <w:rsid w:val="003A7D90"/>
    <w:rsid w:val="00422A15"/>
    <w:rsid w:val="006459A5"/>
    <w:rsid w:val="0066517E"/>
    <w:rsid w:val="007522BD"/>
    <w:rsid w:val="007A4BBF"/>
    <w:rsid w:val="00854A82"/>
    <w:rsid w:val="008960FA"/>
    <w:rsid w:val="008D1E01"/>
    <w:rsid w:val="009C50A4"/>
    <w:rsid w:val="00AB4C97"/>
    <w:rsid w:val="00C368C5"/>
    <w:rsid w:val="00CE15DE"/>
    <w:rsid w:val="00D3046D"/>
    <w:rsid w:val="00DF305D"/>
    <w:rsid w:val="00E879A7"/>
    <w:rsid w:val="00E87A24"/>
    <w:rsid w:val="00FC3E68"/>
    <w:rsid w:val="013F4BCB"/>
    <w:rsid w:val="02B914B2"/>
    <w:rsid w:val="11AB29E3"/>
    <w:rsid w:val="121754B7"/>
    <w:rsid w:val="12B71CCD"/>
    <w:rsid w:val="16FC7E71"/>
    <w:rsid w:val="1F332F13"/>
    <w:rsid w:val="1FCE6759"/>
    <w:rsid w:val="266F784B"/>
    <w:rsid w:val="271C4E57"/>
    <w:rsid w:val="285B03E9"/>
    <w:rsid w:val="2F3938B1"/>
    <w:rsid w:val="31356DDB"/>
    <w:rsid w:val="3704559E"/>
    <w:rsid w:val="381B281C"/>
    <w:rsid w:val="3AEC30D9"/>
    <w:rsid w:val="42EF3050"/>
    <w:rsid w:val="46517890"/>
    <w:rsid w:val="47A1763E"/>
    <w:rsid w:val="48F85B8D"/>
    <w:rsid w:val="4D336039"/>
    <w:rsid w:val="58614C8D"/>
    <w:rsid w:val="59866839"/>
    <w:rsid w:val="5C2A6D56"/>
    <w:rsid w:val="5CE676CF"/>
    <w:rsid w:val="602A456C"/>
    <w:rsid w:val="63A75F2C"/>
    <w:rsid w:val="64EF365D"/>
    <w:rsid w:val="736E48E8"/>
    <w:rsid w:val="77512F4F"/>
    <w:rsid w:val="7921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</Words>
  <Characters>415</Characters>
  <Lines>3</Lines>
  <Paragraphs>1</Paragraphs>
  <TotalTime>6</TotalTime>
  <ScaleCrop>false</ScaleCrop>
  <LinksUpToDate>false</LinksUpToDate>
  <CharactersWithSpaces>486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卢远美</cp:lastModifiedBy>
  <dcterms:modified xsi:type="dcterms:W3CDTF">2021-09-08T08:45:58Z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E1A6B36BC2464E3DB1397E1E36561BA3</vt:lpwstr>
  </property>
</Properties>
</file>