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6384AF" w14:textId="5E94B18A" w:rsidR="00603893" w:rsidRDefault="004E2614" w:rsidP="008F649E">
      <w:pPr>
        <w:snapToGrid w:val="0"/>
        <w:spacing w:after="120" w:line="360" w:lineRule="auto"/>
        <w:jc w:val="center"/>
        <w:rPr>
          <w:rFonts w:asciiTheme="minorEastAsia" w:eastAsiaTheme="minorEastAsia" w:hAnsiTheme="minorEastAsia"/>
          <w:b/>
          <w:bCs/>
          <w:kern w:val="0"/>
          <w:sz w:val="36"/>
          <w:szCs w:val="36"/>
        </w:rPr>
      </w:pPr>
      <w:r>
        <w:rPr>
          <w:rFonts w:asciiTheme="minorEastAsia" w:eastAsiaTheme="minorEastAsia" w:hAnsiTheme="minorEastAsia" w:hint="eastAsia"/>
          <w:b/>
          <w:bCs/>
          <w:kern w:val="0"/>
          <w:sz w:val="36"/>
          <w:szCs w:val="36"/>
        </w:rPr>
        <w:t>广州福鸿投资管理有限公司</w:t>
      </w:r>
      <w:r w:rsidR="001873CA" w:rsidRPr="001873CA">
        <w:rPr>
          <w:rFonts w:asciiTheme="minorEastAsia" w:eastAsiaTheme="minorEastAsia" w:hAnsiTheme="minorEastAsia" w:hint="eastAsia"/>
          <w:b/>
          <w:bCs/>
          <w:kern w:val="0"/>
          <w:sz w:val="36"/>
          <w:szCs w:val="36"/>
        </w:rPr>
        <w:t>破产清算案</w:t>
      </w:r>
    </w:p>
    <w:p w14:paraId="691DFDCA" w14:textId="2CB35EE1" w:rsidR="00DC074E" w:rsidRDefault="000E4737" w:rsidP="001873CA">
      <w:pPr>
        <w:snapToGrid w:val="0"/>
        <w:spacing w:after="120" w:line="360" w:lineRule="auto"/>
        <w:jc w:val="center"/>
        <w:rPr>
          <w:rFonts w:asciiTheme="minorEastAsia" w:eastAsiaTheme="minorEastAsia" w:hAnsiTheme="minorEastAsia"/>
          <w:b/>
          <w:bCs/>
          <w:kern w:val="0"/>
          <w:sz w:val="36"/>
          <w:szCs w:val="36"/>
        </w:rPr>
      </w:pPr>
      <w:r w:rsidRPr="0010760C">
        <w:rPr>
          <w:rFonts w:asciiTheme="minorEastAsia" w:eastAsiaTheme="minorEastAsia" w:hAnsiTheme="minorEastAsia" w:hint="eastAsia"/>
          <w:b/>
          <w:bCs/>
          <w:color w:val="000000" w:themeColor="text1"/>
          <w:kern w:val="0"/>
          <w:sz w:val="36"/>
          <w:szCs w:val="36"/>
        </w:rPr>
        <w:t>第</w:t>
      </w:r>
      <w:r w:rsidR="004E2614">
        <w:rPr>
          <w:rFonts w:asciiTheme="minorEastAsia" w:eastAsiaTheme="minorEastAsia" w:hAnsiTheme="minorEastAsia" w:hint="eastAsia"/>
          <w:b/>
          <w:bCs/>
          <w:color w:val="000000" w:themeColor="text1"/>
          <w:kern w:val="0"/>
          <w:sz w:val="36"/>
          <w:szCs w:val="36"/>
        </w:rPr>
        <w:t>一</w:t>
      </w:r>
      <w:r w:rsidR="001873CA" w:rsidRPr="0010760C">
        <w:rPr>
          <w:rFonts w:asciiTheme="minorEastAsia" w:eastAsiaTheme="minorEastAsia" w:hAnsiTheme="minorEastAsia" w:hint="eastAsia"/>
          <w:b/>
          <w:bCs/>
          <w:color w:val="000000" w:themeColor="text1"/>
          <w:kern w:val="0"/>
          <w:sz w:val="36"/>
          <w:szCs w:val="36"/>
        </w:rPr>
        <w:t>次债权人会议</w:t>
      </w:r>
      <w:r w:rsidR="000B0611">
        <w:rPr>
          <w:rFonts w:asciiTheme="minorEastAsia" w:eastAsiaTheme="minorEastAsia" w:hAnsiTheme="minorEastAsia" w:hint="eastAsia"/>
          <w:b/>
          <w:bCs/>
          <w:color w:val="000000" w:themeColor="text1"/>
          <w:kern w:val="0"/>
          <w:sz w:val="36"/>
          <w:szCs w:val="36"/>
        </w:rPr>
        <w:t>债权核查结果</w:t>
      </w:r>
      <w:r w:rsidR="001873CA" w:rsidRPr="001873CA">
        <w:rPr>
          <w:rFonts w:asciiTheme="minorEastAsia" w:eastAsiaTheme="minorEastAsia" w:hAnsiTheme="minorEastAsia" w:hint="eastAsia"/>
          <w:b/>
          <w:bCs/>
          <w:kern w:val="0"/>
          <w:sz w:val="36"/>
          <w:szCs w:val="36"/>
        </w:rPr>
        <w:t>公</w:t>
      </w:r>
      <w:r w:rsidR="00000898">
        <w:rPr>
          <w:rFonts w:asciiTheme="minorEastAsia" w:eastAsiaTheme="minorEastAsia" w:hAnsiTheme="minorEastAsia" w:hint="eastAsia"/>
          <w:b/>
          <w:bCs/>
          <w:kern w:val="0"/>
          <w:sz w:val="36"/>
          <w:szCs w:val="36"/>
        </w:rPr>
        <w:t>示</w:t>
      </w:r>
    </w:p>
    <w:p w14:paraId="0AC09D7A" w14:textId="2D3BA4B8" w:rsidR="00C33F7D" w:rsidRPr="00425592" w:rsidRDefault="00C33F7D" w:rsidP="00C33F7D">
      <w:pPr>
        <w:snapToGrid w:val="0"/>
        <w:spacing w:before="240" w:after="240" w:line="360" w:lineRule="auto"/>
        <w:jc w:val="right"/>
        <w:rPr>
          <w:b/>
          <w:color w:val="000000" w:themeColor="text1"/>
          <w:sz w:val="24"/>
        </w:rPr>
      </w:pPr>
      <w:r w:rsidRPr="00425592">
        <w:rPr>
          <w:rFonts w:hint="eastAsia"/>
          <w:b/>
          <w:color w:val="000000" w:themeColor="text1"/>
          <w:sz w:val="24"/>
        </w:rPr>
        <w:t>（</w:t>
      </w:r>
      <w:r w:rsidRPr="00425592">
        <w:rPr>
          <w:rFonts w:hint="eastAsia"/>
          <w:b/>
          <w:color w:val="000000" w:themeColor="text1"/>
          <w:sz w:val="24"/>
        </w:rPr>
        <w:t>20</w:t>
      </w:r>
      <w:r w:rsidR="00997DC7" w:rsidRPr="00425592">
        <w:rPr>
          <w:b/>
          <w:color w:val="000000" w:themeColor="text1"/>
          <w:sz w:val="24"/>
        </w:rPr>
        <w:t>2</w:t>
      </w:r>
      <w:r w:rsidR="004E2614">
        <w:rPr>
          <w:rFonts w:hint="eastAsia"/>
          <w:b/>
          <w:color w:val="000000" w:themeColor="text1"/>
          <w:sz w:val="24"/>
        </w:rPr>
        <w:t>1</w:t>
      </w:r>
      <w:r w:rsidRPr="00425592">
        <w:rPr>
          <w:rFonts w:hint="eastAsia"/>
          <w:b/>
          <w:color w:val="000000" w:themeColor="text1"/>
          <w:sz w:val="24"/>
        </w:rPr>
        <w:t>）</w:t>
      </w:r>
      <w:r w:rsidR="004E2614">
        <w:rPr>
          <w:rFonts w:hint="eastAsia"/>
          <w:b/>
          <w:color w:val="000000" w:themeColor="text1"/>
          <w:sz w:val="24"/>
        </w:rPr>
        <w:t>福鸿</w:t>
      </w:r>
      <w:r w:rsidRPr="00425592">
        <w:rPr>
          <w:rFonts w:hint="eastAsia"/>
          <w:b/>
          <w:color w:val="000000" w:themeColor="text1"/>
          <w:sz w:val="24"/>
        </w:rPr>
        <w:t>破管字第</w:t>
      </w:r>
      <w:r w:rsidR="00651C14">
        <w:rPr>
          <w:b/>
          <w:color w:val="000000" w:themeColor="text1"/>
          <w:sz w:val="24"/>
        </w:rPr>
        <w:t>33</w:t>
      </w:r>
      <w:r w:rsidRPr="00425592">
        <w:rPr>
          <w:rFonts w:hint="eastAsia"/>
          <w:b/>
          <w:color w:val="000000" w:themeColor="text1"/>
          <w:sz w:val="24"/>
        </w:rPr>
        <w:t>号</w:t>
      </w:r>
    </w:p>
    <w:p w14:paraId="5DAA00CD" w14:textId="77777777" w:rsidR="0010760C" w:rsidRDefault="0010760C" w:rsidP="00DC074E">
      <w:pPr>
        <w:snapToGrid w:val="0"/>
        <w:spacing w:before="240" w:after="240" w:line="360" w:lineRule="auto"/>
        <w:rPr>
          <w:rFonts w:asciiTheme="majorEastAsia" w:eastAsiaTheme="majorEastAsia" w:hAnsiTheme="majorEastAsia"/>
          <w:sz w:val="24"/>
        </w:rPr>
      </w:pPr>
    </w:p>
    <w:p w14:paraId="4FB3AB4F" w14:textId="7097AF02" w:rsidR="00391049" w:rsidRDefault="00391049" w:rsidP="00DC074E">
      <w:pPr>
        <w:snapToGrid w:val="0"/>
        <w:spacing w:before="240" w:after="240" w:line="360" w:lineRule="auto"/>
        <w:rPr>
          <w:rFonts w:asciiTheme="majorEastAsia" w:eastAsiaTheme="majorEastAsia" w:hAnsiTheme="majorEastAsia"/>
          <w:sz w:val="24"/>
        </w:rPr>
      </w:pPr>
      <w:r>
        <w:rPr>
          <w:rFonts w:asciiTheme="majorEastAsia" w:eastAsiaTheme="majorEastAsia" w:hAnsiTheme="majorEastAsia" w:hint="eastAsia"/>
          <w:sz w:val="24"/>
        </w:rPr>
        <w:t>各债权人：</w:t>
      </w:r>
    </w:p>
    <w:p w14:paraId="4036FDE1" w14:textId="77777777" w:rsidR="00C11149" w:rsidRPr="00C11149" w:rsidRDefault="00C11149" w:rsidP="00C11149">
      <w:pPr>
        <w:snapToGrid w:val="0"/>
        <w:spacing w:after="120" w:line="360" w:lineRule="auto"/>
        <w:ind w:firstLineChars="200" w:firstLine="480"/>
        <w:rPr>
          <w:rFonts w:asciiTheme="majorEastAsia" w:eastAsiaTheme="majorEastAsia" w:hAnsiTheme="majorEastAsia" w:hint="eastAsia"/>
          <w:sz w:val="24"/>
        </w:rPr>
      </w:pPr>
      <w:r w:rsidRPr="00C11149">
        <w:rPr>
          <w:rFonts w:asciiTheme="majorEastAsia" w:eastAsiaTheme="majorEastAsia" w:hAnsiTheme="majorEastAsia" w:hint="eastAsia"/>
          <w:sz w:val="24"/>
        </w:rPr>
        <w:t>广东省广州市中级人民法院（下称“广州中院”）于2021年6月28日作出（2021）粤01破申213号民事裁定书，裁定受理对广州福鸿投资管理有限公司（下称“福鸿公司”）的破产清算申请，并于2021年7月13日作出（2021）粤01破201号决定书，指定德勤企业顾问（深圳）有限公司广州分公司担任福鸿公司管理人。</w:t>
      </w:r>
    </w:p>
    <w:p w14:paraId="15351E00" w14:textId="573CE9F1" w:rsidR="009C3DD2" w:rsidRDefault="00C11149" w:rsidP="00C11149">
      <w:pPr>
        <w:snapToGrid w:val="0"/>
        <w:spacing w:after="120" w:line="360" w:lineRule="auto"/>
        <w:ind w:firstLineChars="200" w:firstLine="480"/>
        <w:rPr>
          <w:rFonts w:asciiTheme="majorEastAsia" w:eastAsiaTheme="majorEastAsia" w:hAnsiTheme="majorEastAsia"/>
          <w:sz w:val="24"/>
        </w:rPr>
      </w:pPr>
      <w:r w:rsidRPr="00C11149">
        <w:rPr>
          <w:rFonts w:asciiTheme="majorEastAsia" w:eastAsiaTheme="majorEastAsia" w:hAnsiTheme="majorEastAsia" w:hint="eastAsia"/>
          <w:sz w:val="24"/>
        </w:rPr>
        <w:t>管理人收</w:t>
      </w:r>
      <w:r w:rsidR="00181042">
        <w:rPr>
          <w:rFonts w:asciiTheme="majorEastAsia" w:eastAsiaTheme="majorEastAsia" w:hAnsiTheme="majorEastAsia" w:hint="eastAsia"/>
          <w:sz w:val="24"/>
        </w:rPr>
        <w:t>到债权申报材料后，对申报的债权登记造册，逐一进行审查后，编制</w:t>
      </w:r>
      <w:r w:rsidRPr="00C11149">
        <w:rPr>
          <w:rFonts w:asciiTheme="majorEastAsia" w:eastAsiaTheme="majorEastAsia" w:hAnsiTheme="majorEastAsia" w:hint="eastAsia"/>
          <w:sz w:val="24"/>
        </w:rPr>
        <w:t>债权表</w:t>
      </w:r>
      <w:r w:rsidR="00181042">
        <w:rPr>
          <w:rFonts w:asciiTheme="majorEastAsia" w:eastAsiaTheme="majorEastAsia" w:hAnsiTheme="majorEastAsia" w:hint="eastAsia"/>
          <w:sz w:val="24"/>
        </w:rPr>
        <w:t>并</w:t>
      </w:r>
      <w:r w:rsidR="00E13094">
        <w:rPr>
          <w:rFonts w:asciiTheme="majorEastAsia" w:eastAsiaTheme="majorEastAsia" w:hAnsiTheme="majorEastAsia" w:hint="eastAsia"/>
          <w:sz w:val="24"/>
        </w:rPr>
        <w:t>提交第一次债权人会议核查</w:t>
      </w:r>
      <w:r w:rsidRPr="00C11149">
        <w:rPr>
          <w:rFonts w:asciiTheme="majorEastAsia" w:eastAsiaTheme="majorEastAsia" w:hAnsiTheme="majorEastAsia" w:hint="eastAsia"/>
          <w:sz w:val="24"/>
        </w:rPr>
        <w:t>。管理人现将债权申报</w:t>
      </w:r>
      <w:r w:rsidR="006303E8">
        <w:rPr>
          <w:rFonts w:asciiTheme="majorEastAsia" w:eastAsiaTheme="majorEastAsia" w:hAnsiTheme="majorEastAsia" w:hint="eastAsia"/>
          <w:sz w:val="24"/>
        </w:rPr>
        <w:t>与核查</w:t>
      </w:r>
      <w:r w:rsidRPr="00C11149">
        <w:rPr>
          <w:rFonts w:asciiTheme="majorEastAsia" w:eastAsiaTheme="majorEastAsia" w:hAnsiTheme="majorEastAsia" w:hint="eastAsia"/>
          <w:sz w:val="24"/>
        </w:rPr>
        <w:t>情况汇报如下：</w:t>
      </w:r>
    </w:p>
    <w:p w14:paraId="1524A119" w14:textId="1E7D9671" w:rsidR="00E13094" w:rsidRDefault="00E13094" w:rsidP="00E13094">
      <w:pPr>
        <w:snapToGrid w:val="0"/>
        <w:spacing w:after="120" w:line="360" w:lineRule="auto"/>
        <w:ind w:firstLineChars="200" w:firstLine="482"/>
        <w:rPr>
          <w:rFonts w:ascii="宋体" w:hAnsi="宋体"/>
          <w:b/>
          <w:sz w:val="24"/>
        </w:rPr>
      </w:pPr>
      <w:bookmarkStart w:id="0" w:name="_GoBack"/>
      <w:bookmarkEnd w:id="0"/>
      <w:r>
        <w:rPr>
          <w:rFonts w:ascii="宋体" w:hAnsi="宋体" w:cs="宋体" w:hint="eastAsia"/>
          <w:b/>
          <w:sz w:val="24"/>
        </w:rPr>
        <w:t>一、债权申报</w:t>
      </w:r>
      <w:r>
        <w:rPr>
          <w:rFonts w:ascii="宋体" w:hAnsi="宋体" w:cs="宋体" w:hint="eastAsia"/>
          <w:b/>
          <w:sz w:val="24"/>
        </w:rPr>
        <w:t>与审查</w:t>
      </w:r>
      <w:r>
        <w:rPr>
          <w:rFonts w:ascii="宋体" w:hAnsi="宋体" w:cs="宋体" w:hint="eastAsia"/>
          <w:b/>
          <w:sz w:val="24"/>
        </w:rPr>
        <w:t>情况</w:t>
      </w:r>
    </w:p>
    <w:p w14:paraId="34369EE9" w14:textId="48048C06" w:rsidR="00E13094" w:rsidRDefault="00E13094" w:rsidP="00181042">
      <w:pPr>
        <w:snapToGrid w:val="0"/>
        <w:spacing w:after="120" w:line="360" w:lineRule="auto"/>
        <w:ind w:firstLineChars="200" w:firstLine="480"/>
        <w:rPr>
          <w:rFonts w:ascii="宋体" w:hAnsi="宋体"/>
          <w:sz w:val="24"/>
        </w:rPr>
      </w:pPr>
      <w:r w:rsidRPr="00AF1C1D">
        <w:rPr>
          <w:rFonts w:asciiTheme="majorEastAsia" w:eastAsiaTheme="majorEastAsia" w:hAnsiTheme="majorEastAsia" w:hint="eastAsia"/>
          <w:sz w:val="24"/>
        </w:rPr>
        <w:t>截止</w:t>
      </w:r>
      <w:r>
        <w:rPr>
          <w:rFonts w:asciiTheme="majorEastAsia" w:eastAsiaTheme="majorEastAsia" w:hAnsiTheme="majorEastAsia" w:hint="eastAsia"/>
          <w:sz w:val="24"/>
        </w:rPr>
        <w:t>报告日</w:t>
      </w:r>
      <w:r w:rsidRPr="00AF1C1D">
        <w:rPr>
          <w:rFonts w:asciiTheme="majorEastAsia" w:eastAsiaTheme="majorEastAsia" w:hAnsiTheme="majorEastAsia" w:hint="eastAsia"/>
          <w:sz w:val="24"/>
        </w:rPr>
        <w:t>，共有</w:t>
      </w:r>
      <w:r>
        <w:rPr>
          <w:rFonts w:asciiTheme="majorEastAsia" w:eastAsiaTheme="majorEastAsia" w:hAnsiTheme="majorEastAsia" w:hint="eastAsia"/>
          <w:sz w:val="24"/>
        </w:rPr>
        <w:t>5</w:t>
      </w:r>
      <w:r w:rsidRPr="00AF1C1D">
        <w:rPr>
          <w:rFonts w:asciiTheme="majorEastAsia" w:eastAsiaTheme="majorEastAsia" w:hAnsiTheme="majorEastAsia" w:hint="eastAsia"/>
          <w:sz w:val="24"/>
        </w:rPr>
        <w:t>户债权人向</w:t>
      </w:r>
      <w:r>
        <w:rPr>
          <w:rFonts w:asciiTheme="majorEastAsia" w:eastAsiaTheme="majorEastAsia" w:hAnsiTheme="majorEastAsia" w:hint="eastAsia"/>
          <w:sz w:val="24"/>
        </w:rPr>
        <w:t>管理人</w:t>
      </w:r>
      <w:r w:rsidRPr="00AF1C1D">
        <w:rPr>
          <w:rFonts w:asciiTheme="majorEastAsia" w:eastAsiaTheme="majorEastAsia" w:hAnsiTheme="majorEastAsia" w:hint="eastAsia"/>
          <w:sz w:val="24"/>
        </w:rPr>
        <w:t>申报债权，申报债权总额合计</w:t>
      </w:r>
      <w:r>
        <w:rPr>
          <w:rFonts w:asciiTheme="majorEastAsia" w:eastAsiaTheme="majorEastAsia" w:hAnsiTheme="majorEastAsia" w:hint="eastAsia"/>
          <w:sz w:val="24"/>
        </w:rPr>
        <w:t>人民币</w:t>
      </w:r>
      <w:r w:rsidRPr="007A0151">
        <w:rPr>
          <w:rFonts w:asciiTheme="majorEastAsia" w:eastAsiaTheme="majorEastAsia" w:hAnsiTheme="majorEastAsia"/>
          <w:sz w:val="24"/>
        </w:rPr>
        <w:t>41,398,330.66</w:t>
      </w:r>
      <w:r w:rsidR="00181042">
        <w:rPr>
          <w:rFonts w:asciiTheme="majorEastAsia" w:eastAsiaTheme="majorEastAsia" w:hAnsiTheme="majorEastAsia" w:hint="eastAsia"/>
          <w:sz w:val="24"/>
        </w:rPr>
        <w:t>元。</w:t>
      </w:r>
      <w:r>
        <w:rPr>
          <w:rFonts w:ascii="宋体" w:hAnsi="宋体" w:hint="eastAsia"/>
          <w:sz w:val="24"/>
        </w:rPr>
        <w:t>管理人未发现有对债务人的特定财产享有担保权的债权人申报债权。管理人对申报的</w:t>
      </w:r>
      <w:r>
        <w:rPr>
          <w:rFonts w:ascii="宋体" w:hAnsi="宋体"/>
          <w:sz w:val="24"/>
        </w:rPr>
        <w:t>5</w:t>
      </w:r>
      <w:r>
        <w:rPr>
          <w:rFonts w:ascii="宋体" w:hAnsi="宋体" w:hint="eastAsia"/>
          <w:sz w:val="24"/>
        </w:rPr>
        <w:t>户债权人资格及债权性质、金额进行审查，审查结果如下：</w:t>
      </w:r>
    </w:p>
    <w:p w14:paraId="2E7B20E5" w14:textId="54FE8301" w:rsidR="00E13094" w:rsidRDefault="00E13094" w:rsidP="00E13094">
      <w:pPr>
        <w:pStyle w:val="ListParagraph"/>
        <w:numPr>
          <w:ilvl w:val="0"/>
          <w:numId w:val="12"/>
        </w:numPr>
        <w:snapToGrid w:val="0"/>
        <w:spacing w:after="120" w:line="360" w:lineRule="auto"/>
        <w:rPr>
          <w:rFonts w:ascii="宋体" w:hAnsi="宋体"/>
          <w:sz w:val="24"/>
        </w:rPr>
      </w:pPr>
      <w:r w:rsidRPr="00F0343D">
        <w:rPr>
          <w:rFonts w:ascii="宋体" w:hAnsi="宋体" w:hint="eastAsia"/>
          <w:sz w:val="24"/>
        </w:rPr>
        <w:t>确认债权</w:t>
      </w:r>
      <w:r>
        <w:rPr>
          <w:rFonts w:ascii="宋体" w:hAnsi="宋体" w:hint="eastAsia"/>
          <w:sz w:val="24"/>
        </w:rPr>
        <w:t>3</w:t>
      </w:r>
      <w:r w:rsidRPr="00F0343D">
        <w:rPr>
          <w:rFonts w:ascii="宋体" w:hAnsi="宋体" w:hint="eastAsia"/>
          <w:sz w:val="24"/>
        </w:rPr>
        <w:t>户</w:t>
      </w:r>
      <w:r>
        <w:rPr>
          <w:rFonts w:ascii="宋体" w:hAnsi="宋体" w:hint="eastAsia"/>
          <w:sz w:val="24"/>
        </w:rPr>
        <w:t>3笔</w:t>
      </w:r>
      <w:r w:rsidRPr="00F0343D">
        <w:rPr>
          <w:rFonts w:ascii="宋体" w:hAnsi="宋体" w:hint="eastAsia"/>
          <w:sz w:val="24"/>
        </w:rPr>
        <w:t>：</w:t>
      </w:r>
      <w:r w:rsidRPr="00F0343D">
        <w:rPr>
          <w:rFonts w:ascii="宋体" w:hAnsi="宋体"/>
          <w:sz w:val="24"/>
        </w:rPr>
        <w:t xml:space="preserve"> </w:t>
      </w:r>
    </w:p>
    <w:p w14:paraId="44A9B946" w14:textId="77777777" w:rsidR="00E13094" w:rsidRPr="00214153" w:rsidRDefault="00E13094" w:rsidP="00E13094">
      <w:pPr>
        <w:snapToGrid w:val="0"/>
        <w:spacing w:after="120" w:line="360" w:lineRule="auto"/>
        <w:ind w:firstLine="480"/>
        <w:rPr>
          <w:rFonts w:ascii="宋体" w:hAnsi="宋体"/>
          <w:sz w:val="24"/>
        </w:rPr>
      </w:pPr>
      <w:r>
        <w:rPr>
          <w:rFonts w:ascii="宋体" w:hAnsi="宋体" w:hint="eastAsia"/>
          <w:sz w:val="24"/>
        </w:rPr>
        <w:t>分别为</w:t>
      </w:r>
      <w:r w:rsidRPr="00214153">
        <w:rPr>
          <w:rFonts w:ascii="宋体" w:hAnsi="宋体" w:hint="eastAsia"/>
          <w:sz w:val="24"/>
        </w:rPr>
        <w:t>何燕华</w:t>
      </w:r>
      <w:r>
        <w:rPr>
          <w:rFonts w:ascii="宋体" w:hAnsi="宋体" w:hint="eastAsia"/>
          <w:sz w:val="24"/>
        </w:rPr>
        <w:t>、</w:t>
      </w:r>
      <w:r w:rsidRPr="00214153">
        <w:rPr>
          <w:rFonts w:ascii="宋体" w:hAnsi="宋体" w:hint="eastAsia"/>
          <w:sz w:val="24"/>
        </w:rPr>
        <w:t>林育彬</w:t>
      </w:r>
      <w:r>
        <w:rPr>
          <w:rFonts w:ascii="宋体" w:hAnsi="宋体" w:hint="eastAsia"/>
          <w:sz w:val="24"/>
        </w:rPr>
        <w:t>、</w:t>
      </w:r>
      <w:r w:rsidRPr="00214153">
        <w:rPr>
          <w:rFonts w:ascii="宋体" w:hAnsi="宋体" w:hint="eastAsia"/>
          <w:sz w:val="24"/>
        </w:rPr>
        <w:t>梁泽汉</w:t>
      </w:r>
      <w:r>
        <w:rPr>
          <w:rFonts w:ascii="宋体" w:hAnsi="宋体" w:hint="eastAsia"/>
          <w:sz w:val="24"/>
        </w:rPr>
        <w:t>的债权。经管理人审查确定的债权金额合计</w:t>
      </w:r>
      <w:r w:rsidRPr="00214153">
        <w:rPr>
          <w:rFonts w:ascii="宋体" w:hAnsi="宋体"/>
          <w:sz w:val="24"/>
        </w:rPr>
        <w:t>20,540,203.03</w:t>
      </w:r>
      <w:r>
        <w:rPr>
          <w:rFonts w:ascii="宋体" w:hAnsi="宋体" w:hint="eastAsia"/>
          <w:sz w:val="24"/>
        </w:rPr>
        <w:t>元，其中审查确定的本金为</w:t>
      </w:r>
      <w:r w:rsidRPr="00214153">
        <w:rPr>
          <w:rFonts w:ascii="宋体" w:hAnsi="宋体"/>
          <w:sz w:val="24"/>
        </w:rPr>
        <w:t>13,500,000.00</w:t>
      </w:r>
      <w:r>
        <w:rPr>
          <w:rFonts w:ascii="宋体" w:hAnsi="宋体" w:hint="eastAsia"/>
          <w:sz w:val="24"/>
        </w:rPr>
        <w:t>元，审查确定的利息为</w:t>
      </w:r>
      <w:r w:rsidRPr="00214153">
        <w:rPr>
          <w:rFonts w:ascii="宋体" w:hAnsi="宋体"/>
          <w:sz w:val="24"/>
        </w:rPr>
        <w:t>6,926,126.03</w:t>
      </w:r>
      <w:r>
        <w:rPr>
          <w:rFonts w:ascii="宋体" w:hAnsi="宋体" w:hint="eastAsia"/>
          <w:sz w:val="24"/>
        </w:rPr>
        <w:t>元，审查确定的其他损失为</w:t>
      </w:r>
      <w:r w:rsidRPr="00214153">
        <w:rPr>
          <w:rFonts w:ascii="宋体" w:hAnsi="宋体"/>
          <w:sz w:val="24"/>
        </w:rPr>
        <w:t>114,077.00</w:t>
      </w:r>
      <w:r>
        <w:rPr>
          <w:rFonts w:ascii="宋体" w:hAnsi="宋体" w:hint="eastAsia"/>
          <w:sz w:val="24"/>
        </w:rPr>
        <w:t>元，均为普通债权；</w:t>
      </w:r>
    </w:p>
    <w:p w14:paraId="3E35823B" w14:textId="77777777" w:rsidR="00E13094" w:rsidRDefault="00E13094" w:rsidP="00E13094">
      <w:pPr>
        <w:pStyle w:val="ListParagraph"/>
        <w:numPr>
          <w:ilvl w:val="0"/>
          <w:numId w:val="12"/>
        </w:numPr>
        <w:snapToGrid w:val="0"/>
        <w:spacing w:after="120" w:line="360" w:lineRule="auto"/>
        <w:rPr>
          <w:rFonts w:ascii="宋体" w:hAnsi="宋体"/>
          <w:sz w:val="24"/>
        </w:rPr>
      </w:pPr>
      <w:r>
        <w:rPr>
          <w:rFonts w:ascii="宋体" w:hAnsi="宋体" w:hint="eastAsia"/>
          <w:sz w:val="24"/>
        </w:rPr>
        <w:t>待定债权2户2笔：</w:t>
      </w:r>
      <w:r>
        <w:rPr>
          <w:rFonts w:ascii="宋体" w:hAnsi="宋体"/>
          <w:sz w:val="24"/>
        </w:rPr>
        <w:t xml:space="preserve"> </w:t>
      </w:r>
    </w:p>
    <w:p w14:paraId="25D1D612" w14:textId="77777777" w:rsidR="00E13094" w:rsidRDefault="00E13094" w:rsidP="00E13094">
      <w:pPr>
        <w:snapToGrid w:val="0"/>
        <w:spacing w:after="120" w:line="360" w:lineRule="auto"/>
        <w:rPr>
          <w:rFonts w:ascii="宋体" w:hAnsi="宋体"/>
          <w:sz w:val="24"/>
        </w:rPr>
      </w:pPr>
      <w:r>
        <w:rPr>
          <w:rFonts w:ascii="宋体" w:hAnsi="宋体"/>
          <w:sz w:val="24"/>
        </w:rPr>
        <w:t xml:space="preserve">     </w:t>
      </w:r>
      <w:r>
        <w:rPr>
          <w:rFonts w:ascii="宋体" w:hAnsi="宋体" w:hint="eastAsia"/>
          <w:sz w:val="24"/>
        </w:rPr>
        <w:t>分别为</w:t>
      </w:r>
      <w:r w:rsidRPr="00214153">
        <w:rPr>
          <w:rFonts w:ascii="宋体" w:hAnsi="宋体" w:hint="eastAsia"/>
          <w:sz w:val="24"/>
        </w:rPr>
        <w:t>陈廷丰</w:t>
      </w:r>
      <w:r>
        <w:rPr>
          <w:rFonts w:ascii="宋体" w:hAnsi="宋体" w:hint="eastAsia"/>
          <w:sz w:val="24"/>
        </w:rPr>
        <w:t>、</w:t>
      </w:r>
      <w:r w:rsidRPr="00214153">
        <w:rPr>
          <w:rFonts w:ascii="宋体" w:hAnsi="宋体" w:hint="eastAsia"/>
          <w:sz w:val="24"/>
        </w:rPr>
        <w:t>黄永滔</w:t>
      </w:r>
      <w:r>
        <w:rPr>
          <w:rFonts w:ascii="宋体" w:hAnsi="宋体" w:hint="eastAsia"/>
          <w:sz w:val="24"/>
        </w:rPr>
        <w:t>的债权，其申报的债权总额为</w:t>
      </w:r>
      <w:r w:rsidRPr="00214153">
        <w:rPr>
          <w:rFonts w:ascii="宋体" w:hAnsi="宋体"/>
          <w:sz w:val="24"/>
        </w:rPr>
        <w:t>20,315,583.81</w:t>
      </w:r>
      <w:r>
        <w:rPr>
          <w:rFonts w:ascii="宋体" w:hAnsi="宋体" w:hint="eastAsia"/>
          <w:sz w:val="24"/>
        </w:rPr>
        <w:t>元。其中陈廷丰因未能补充证据证明福鸿公司需承担连带担保责任，暂列为待定债权，</w:t>
      </w:r>
      <w:r>
        <w:rPr>
          <w:rFonts w:ascii="宋体" w:hAnsi="宋体" w:hint="eastAsia"/>
          <w:sz w:val="24"/>
        </w:rPr>
        <w:lastRenderedPageBreak/>
        <w:t>待补充资料后进行进一步债权审查。</w:t>
      </w:r>
      <w:r w:rsidRPr="00214153">
        <w:rPr>
          <w:rFonts w:ascii="宋体" w:hAnsi="宋体" w:hint="eastAsia"/>
          <w:sz w:val="24"/>
        </w:rPr>
        <w:t>黄永滔</w:t>
      </w:r>
      <w:r>
        <w:rPr>
          <w:rFonts w:ascii="宋体" w:hAnsi="宋体" w:hint="eastAsia"/>
          <w:sz w:val="24"/>
        </w:rPr>
        <w:t>的债权涉及尚未出具判决的诉讼，需待法院出具判决结果才能确定债权的具体数额，暂列为待定债权。</w:t>
      </w:r>
    </w:p>
    <w:p w14:paraId="7E0E32B3" w14:textId="5E5775CF" w:rsidR="00E13094" w:rsidRDefault="00E13094" w:rsidP="00E13094">
      <w:pPr>
        <w:pStyle w:val="ListParagraph"/>
        <w:numPr>
          <w:ilvl w:val="0"/>
          <w:numId w:val="12"/>
        </w:numPr>
        <w:snapToGrid w:val="0"/>
        <w:spacing w:after="120" w:line="360" w:lineRule="auto"/>
        <w:rPr>
          <w:rFonts w:ascii="宋体" w:hAnsi="宋体"/>
          <w:sz w:val="24"/>
        </w:rPr>
      </w:pPr>
      <w:r w:rsidRPr="00E13094">
        <w:rPr>
          <w:rFonts w:ascii="宋体" w:hAnsi="宋体" w:hint="eastAsia"/>
          <w:sz w:val="24"/>
        </w:rPr>
        <w:t>迟延履行利息</w:t>
      </w:r>
      <w:r>
        <w:rPr>
          <w:rFonts w:ascii="宋体" w:hAnsi="宋体" w:hint="eastAsia"/>
          <w:sz w:val="24"/>
        </w:rPr>
        <w:t>3户3笔：</w:t>
      </w:r>
    </w:p>
    <w:p w14:paraId="01BBE5C8" w14:textId="77777777" w:rsidR="00E13094" w:rsidRDefault="00E13094" w:rsidP="00E13094">
      <w:pPr>
        <w:snapToGrid w:val="0"/>
        <w:spacing w:after="120" w:line="360" w:lineRule="auto"/>
        <w:rPr>
          <w:rFonts w:ascii="宋体" w:hAnsi="宋体"/>
          <w:sz w:val="24"/>
        </w:rPr>
      </w:pPr>
      <w:r>
        <w:rPr>
          <w:rFonts w:ascii="宋体" w:hAnsi="宋体" w:hint="eastAsia"/>
          <w:sz w:val="24"/>
        </w:rPr>
        <w:t xml:space="preserve"> </w:t>
      </w:r>
      <w:r>
        <w:rPr>
          <w:rFonts w:ascii="宋体" w:hAnsi="宋体"/>
          <w:sz w:val="24"/>
        </w:rPr>
        <w:t xml:space="preserve">    </w:t>
      </w:r>
      <w:r>
        <w:rPr>
          <w:rFonts w:ascii="宋体" w:hAnsi="宋体" w:hint="eastAsia"/>
          <w:sz w:val="24"/>
        </w:rPr>
        <w:t>分别为</w:t>
      </w:r>
      <w:r w:rsidRPr="00D970B6">
        <w:rPr>
          <w:rFonts w:ascii="宋体" w:hAnsi="宋体" w:hint="eastAsia"/>
          <w:sz w:val="24"/>
        </w:rPr>
        <w:t>何燕华</w:t>
      </w:r>
      <w:r>
        <w:rPr>
          <w:rFonts w:ascii="宋体" w:hAnsi="宋体" w:hint="eastAsia"/>
          <w:sz w:val="24"/>
        </w:rPr>
        <w:t>、</w:t>
      </w:r>
      <w:r w:rsidRPr="00D970B6">
        <w:rPr>
          <w:rFonts w:ascii="宋体" w:hAnsi="宋体" w:hint="eastAsia"/>
          <w:sz w:val="24"/>
        </w:rPr>
        <w:t>林育彬</w:t>
      </w:r>
      <w:r>
        <w:rPr>
          <w:rFonts w:ascii="宋体" w:hAnsi="宋体" w:hint="eastAsia"/>
          <w:sz w:val="24"/>
        </w:rPr>
        <w:t>、</w:t>
      </w:r>
      <w:r w:rsidRPr="00D970B6">
        <w:rPr>
          <w:rFonts w:ascii="宋体" w:hAnsi="宋体" w:hint="eastAsia"/>
          <w:sz w:val="24"/>
        </w:rPr>
        <w:t>梁泽汉</w:t>
      </w:r>
      <w:r>
        <w:rPr>
          <w:rFonts w:ascii="宋体" w:hAnsi="宋体" w:hint="eastAsia"/>
          <w:sz w:val="24"/>
        </w:rPr>
        <w:t>申报的迟延履行利息合计</w:t>
      </w:r>
      <w:r w:rsidRPr="00D970B6">
        <w:rPr>
          <w:rFonts w:ascii="宋体" w:hAnsi="宋体"/>
          <w:sz w:val="24"/>
        </w:rPr>
        <w:t>392,262.50</w:t>
      </w:r>
      <w:r>
        <w:rPr>
          <w:rFonts w:ascii="宋体" w:hAnsi="宋体" w:hint="eastAsia"/>
          <w:sz w:val="24"/>
        </w:rPr>
        <w:t>元。</w:t>
      </w:r>
      <w:r w:rsidRPr="00D970B6">
        <w:rPr>
          <w:rFonts w:ascii="宋体" w:hAnsi="宋体" w:hint="eastAsia"/>
          <w:sz w:val="24"/>
        </w:rPr>
        <w:t>根据自2019年3月28日起施行的《最高人民法院关于适用《中华人民共和国企业破产法》若干问题的规定（三）》第三条之规定，并参照《最高人民法院关于执行程序中计算迟延履行期间的债务利息适用法律若干问题的解释》第四条，加倍支付的迟延利息不属于破产债权。</w:t>
      </w:r>
    </w:p>
    <w:p w14:paraId="7D10F1EF" w14:textId="77777777" w:rsidR="00181042" w:rsidRDefault="00E13094" w:rsidP="002816B1">
      <w:pPr>
        <w:snapToGrid w:val="0"/>
        <w:spacing w:after="120" w:line="360" w:lineRule="auto"/>
        <w:rPr>
          <w:rFonts w:ascii="宋体" w:hAnsi="宋体"/>
          <w:sz w:val="24"/>
        </w:rPr>
      </w:pPr>
      <w:r>
        <w:rPr>
          <w:rFonts w:ascii="宋体" w:hAnsi="宋体" w:hint="eastAsia"/>
          <w:sz w:val="24"/>
        </w:rPr>
        <w:t xml:space="preserve"> </w:t>
      </w:r>
      <w:r>
        <w:rPr>
          <w:rFonts w:ascii="宋体" w:hAnsi="宋体"/>
          <w:sz w:val="24"/>
        </w:rPr>
        <w:t xml:space="preserve">   </w:t>
      </w:r>
      <w:r w:rsidRPr="00D970B6">
        <w:rPr>
          <w:rFonts w:ascii="宋体" w:hAnsi="宋体" w:hint="eastAsia"/>
          <w:sz w:val="24"/>
        </w:rPr>
        <w:t>同时，依据《全国法院破产审判工作会议纪要》第28条：“破产财产依照企业破产法第一百一十三条规定的顺序清偿后仍有剩余的，可依次用于清偿破产受理前产生的民事惩罚性赔偿金、行政罚款、刑事罚金等惩罚性债权。”若</w:t>
      </w:r>
      <w:r>
        <w:rPr>
          <w:rFonts w:ascii="宋体" w:hAnsi="宋体" w:hint="eastAsia"/>
          <w:sz w:val="24"/>
        </w:rPr>
        <w:t>福鸿</w:t>
      </w:r>
      <w:r w:rsidRPr="00D970B6">
        <w:rPr>
          <w:rFonts w:ascii="宋体" w:hAnsi="宋体" w:hint="eastAsia"/>
          <w:sz w:val="24"/>
        </w:rPr>
        <w:t>公司的财产根据《中华人民共和国企业破产法》第一百一十三条的规定清偿完毕后仍有剩余的，再行对</w:t>
      </w:r>
      <w:r>
        <w:rPr>
          <w:rFonts w:ascii="宋体" w:hAnsi="宋体" w:hint="eastAsia"/>
          <w:sz w:val="24"/>
        </w:rPr>
        <w:t>上述</w:t>
      </w:r>
      <w:r w:rsidR="00181042">
        <w:rPr>
          <w:rFonts w:ascii="宋体" w:hAnsi="宋体" w:hint="eastAsia"/>
          <w:sz w:val="24"/>
        </w:rPr>
        <w:t>加倍支付的迟延利息进行认定、清偿。</w:t>
      </w:r>
    </w:p>
    <w:p w14:paraId="6831296F" w14:textId="77777777" w:rsidR="00181042" w:rsidRDefault="00181042" w:rsidP="002816B1">
      <w:pPr>
        <w:snapToGrid w:val="0"/>
        <w:spacing w:after="120" w:line="360" w:lineRule="auto"/>
        <w:rPr>
          <w:rFonts w:asciiTheme="majorEastAsia" w:eastAsiaTheme="majorEastAsia" w:hAnsiTheme="majorEastAsia"/>
          <w:sz w:val="24"/>
        </w:rPr>
      </w:pPr>
    </w:p>
    <w:p w14:paraId="6B82220E" w14:textId="3616BB78" w:rsidR="00BF077D" w:rsidRPr="00173CA8" w:rsidRDefault="007553F9" w:rsidP="002816B1">
      <w:pPr>
        <w:snapToGrid w:val="0"/>
        <w:spacing w:after="120" w:line="360" w:lineRule="auto"/>
        <w:rPr>
          <w:rFonts w:ascii="宋体" w:hAnsi="宋体"/>
          <w:b/>
          <w:sz w:val="24"/>
          <w:lang w:val="en-GB"/>
        </w:rPr>
      </w:pPr>
      <w:r w:rsidRPr="00173CA8">
        <w:rPr>
          <w:rFonts w:ascii="宋体" w:hAnsi="宋体" w:hint="eastAsia"/>
          <w:b/>
          <w:sz w:val="24"/>
          <w:lang w:val="en-GB"/>
        </w:rPr>
        <w:t>二</w:t>
      </w:r>
      <w:r w:rsidR="00BF077D" w:rsidRPr="00173CA8">
        <w:rPr>
          <w:rFonts w:ascii="宋体" w:hAnsi="宋体" w:hint="eastAsia"/>
          <w:b/>
          <w:sz w:val="24"/>
          <w:lang w:val="en-GB"/>
        </w:rPr>
        <w:t>、</w:t>
      </w:r>
      <w:r w:rsidR="00173CA8" w:rsidRPr="00173CA8">
        <w:rPr>
          <w:rFonts w:ascii="宋体" w:hAnsi="宋体" w:hint="eastAsia"/>
          <w:b/>
          <w:sz w:val="24"/>
          <w:lang w:val="en-GB"/>
        </w:rPr>
        <w:t>债权核查情况</w:t>
      </w:r>
    </w:p>
    <w:p w14:paraId="0313B940" w14:textId="327F4A97" w:rsidR="00E57E06" w:rsidRPr="00181042" w:rsidRDefault="00D93034" w:rsidP="00E57E06">
      <w:pPr>
        <w:snapToGrid w:val="0"/>
        <w:spacing w:after="120" w:line="360" w:lineRule="auto"/>
        <w:ind w:firstLineChars="200" w:firstLine="480"/>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根据</w:t>
      </w:r>
      <w:r w:rsidR="00F81FD9">
        <w:rPr>
          <w:rFonts w:asciiTheme="majorEastAsia" w:eastAsiaTheme="majorEastAsia" w:hAnsiTheme="majorEastAsia" w:hint="eastAsia"/>
          <w:color w:val="000000" w:themeColor="text1"/>
          <w:sz w:val="24"/>
        </w:rPr>
        <w:t>福鸿投资</w:t>
      </w:r>
      <w:r w:rsidRPr="00B85D7D">
        <w:rPr>
          <w:rFonts w:asciiTheme="majorEastAsia" w:eastAsiaTheme="majorEastAsia" w:hAnsiTheme="majorEastAsia" w:hint="eastAsia"/>
          <w:color w:val="000000" w:themeColor="text1"/>
          <w:sz w:val="24"/>
        </w:rPr>
        <w:t>公司第</w:t>
      </w:r>
      <w:r w:rsidR="00F81FD9">
        <w:rPr>
          <w:rFonts w:asciiTheme="majorEastAsia" w:eastAsiaTheme="majorEastAsia" w:hAnsiTheme="majorEastAsia" w:hint="eastAsia"/>
          <w:color w:val="000000" w:themeColor="text1"/>
          <w:sz w:val="24"/>
        </w:rPr>
        <w:t>一</w:t>
      </w:r>
      <w:r w:rsidRPr="00B85D7D">
        <w:rPr>
          <w:rFonts w:asciiTheme="majorEastAsia" w:eastAsiaTheme="majorEastAsia" w:hAnsiTheme="majorEastAsia" w:hint="eastAsia"/>
          <w:color w:val="000000" w:themeColor="text1"/>
          <w:sz w:val="24"/>
        </w:rPr>
        <w:t>次债权人会议</w:t>
      </w:r>
      <w:r w:rsidR="00E57E06">
        <w:rPr>
          <w:rFonts w:asciiTheme="majorEastAsia" w:eastAsiaTheme="majorEastAsia" w:hAnsiTheme="majorEastAsia" w:hint="eastAsia"/>
          <w:color w:val="000000" w:themeColor="text1"/>
          <w:sz w:val="24"/>
        </w:rPr>
        <w:t>于2</w:t>
      </w:r>
      <w:r w:rsidR="00E57E06">
        <w:rPr>
          <w:rFonts w:asciiTheme="majorEastAsia" w:eastAsiaTheme="majorEastAsia" w:hAnsiTheme="majorEastAsia"/>
          <w:color w:val="000000" w:themeColor="text1"/>
          <w:sz w:val="24"/>
        </w:rPr>
        <w:t>021</w:t>
      </w:r>
      <w:r w:rsidR="00E57E06">
        <w:rPr>
          <w:rFonts w:asciiTheme="majorEastAsia" w:eastAsiaTheme="majorEastAsia" w:hAnsiTheme="majorEastAsia" w:hint="eastAsia"/>
          <w:color w:val="000000" w:themeColor="text1"/>
          <w:sz w:val="24"/>
        </w:rPr>
        <w:t>年8月2</w:t>
      </w:r>
      <w:r w:rsidR="00E57E06">
        <w:rPr>
          <w:rFonts w:asciiTheme="majorEastAsia" w:eastAsiaTheme="majorEastAsia" w:hAnsiTheme="majorEastAsia"/>
          <w:color w:val="000000" w:themeColor="text1"/>
          <w:sz w:val="24"/>
        </w:rPr>
        <w:t>0</w:t>
      </w:r>
      <w:r w:rsidR="00E57E06">
        <w:rPr>
          <w:rFonts w:asciiTheme="majorEastAsia" w:eastAsiaTheme="majorEastAsia" w:hAnsiTheme="majorEastAsia" w:hint="eastAsia"/>
          <w:color w:val="000000" w:themeColor="text1"/>
          <w:sz w:val="24"/>
        </w:rPr>
        <w:t>日以网络会议形式召开。</w:t>
      </w:r>
      <w:r w:rsidR="00E57E06">
        <w:rPr>
          <w:rFonts w:asciiTheme="majorEastAsia" w:eastAsiaTheme="majorEastAsia" w:hAnsiTheme="majorEastAsia" w:hint="eastAsia"/>
          <w:color w:val="000000" w:themeColor="text1"/>
          <w:sz w:val="24"/>
        </w:rPr>
        <w:t>管理人</w:t>
      </w:r>
      <w:r w:rsidR="00E57E06">
        <w:rPr>
          <w:rFonts w:asciiTheme="majorEastAsia" w:eastAsiaTheme="majorEastAsia" w:hAnsiTheme="majorEastAsia" w:hint="eastAsia"/>
          <w:color w:val="000000" w:themeColor="text1"/>
          <w:sz w:val="24"/>
        </w:rPr>
        <w:t>将</w:t>
      </w:r>
      <w:r w:rsidR="00E57E06" w:rsidRPr="00E57E06">
        <w:rPr>
          <w:rFonts w:asciiTheme="majorEastAsia" w:eastAsiaTheme="majorEastAsia" w:hAnsiTheme="majorEastAsia" w:hint="eastAsia"/>
          <w:color w:val="000000" w:themeColor="text1"/>
          <w:sz w:val="24"/>
        </w:rPr>
        <w:t>为何燕华、林育彬、梁泽汉</w:t>
      </w:r>
      <w:r w:rsidR="00E57E06">
        <w:rPr>
          <w:rFonts w:asciiTheme="majorEastAsia" w:eastAsiaTheme="majorEastAsia" w:hAnsiTheme="majorEastAsia" w:hint="eastAsia"/>
          <w:color w:val="000000" w:themeColor="text1"/>
          <w:sz w:val="24"/>
        </w:rPr>
        <w:t>等申报的债权编入</w:t>
      </w:r>
      <w:r w:rsidR="00E57E06" w:rsidRPr="00181042">
        <w:rPr>
          <w:rFonts w:asciiTheme="majorEastAsia" w:eastAsiaTheme="majorEastAsia" w:hAnsiTheme="majorEastAsia" w:hint="eastAsia"/>
          <w:color w:val="000000" w:themeColor="text1"/>
          <w:sz w:val="24"/>
        </w:rPr>
        <w:t>债权表</w:t>
      </w:r>
      <w:r w:rsidR="00E57E06">
        <w:rPr>
          <w:rFonts w:asciiTheme="majorEastAsia" w:eastAsiaTheme="majorEastAsia" w:hAnsiTheme="majorEastAsia" w:hint="eastAsia"/>
          <w:color w:val="000000" w:themeColor="text1"/>
          <w:sz w:val="24"/>
        </w:rPr>
        <w:t>（详见附件一）</w:t>
      </w:r>
      <w:r w:rsidR="00E57E06" w:rsidRPr="00181042">
        <w:rPr>
          <w:rFonts w:asciiTheme="majorEastAsia" w:eastAsiaTheme="majorEastAsia" w:hAnsiTheme="majorEastAsia" w:hint="eastAsia"/>
          <w:color w:val="000000" w:themeColor="text1"/>
          <w:sz w:val="24"/>
        </w:rPr>
        <w:t>并提交第一次债权人会议核查。</w:t>
      </w:r>
    </w:p>
    <w:p w14:paraId="1C34C4E2" w14:textId="2BD33F10" w:rsidR="00787093" w:rsidRDefault="006A60C6" w:rsidP="006A60C6">
      <w:pPr>
        <w:snapToGrid w:val="0"/>
        <w:spacing w:after="120" w:line="360" w:lineRule="auto"/>
        <w:ind w:firstLineChars="200" w:firstLine="480"/>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各债权人对债权表记载的债权进行核查，经管理人审查确认的</w:t>
      </w:r>
      <w:r w:rsidRPr="006A60C6">
        <w:rPr>
          <w:rFonts w:asciiTheme="majorEastAsia" w:eastAsiaTheme="majorEastAsia" w:hAnsiTheme="majorEastAsia" w:hint="eastAsia"/>
          <w:color w:val="000000" w:themeColor="text1"/>
          <w:sz w:val="24"/>
        </w:rPr>
        <w:t>债权人为何燕华、林育彬、梁泽汉</w:t>
      </w:r>
      <w:r>
        <w:rPr>
          <w:rFonts w:asciiTheme="majorEastAsia" w:eastAsiaTheme="majorEastAsia" w:hAnsiTheme="majorEastAsia" w:hint="eastAsia"/>
          <w:color w:val="000000" w:themeColor="text1"/>
          <w:sz w:val="24"/>
        </w:rPr>
        <w:t>通过智破系统投票</w:t>
      </w:r>
      <w:r w:rsidR="00D6534F">
        <w:rPr>
          <w:rFonts w:asciiTheme="majorEastAsia" w:eastAsiaTheme="majorEastAsia" w:hAnsiTheme="majorEastAsia" w:hint="eastAsia"/>
          <w:color w:val="000000" w:themeColor="text1"/>
          <w:sz w:val="24"/>
        </w:rPr>
        <w:t>，</w:t>
      </w:r>
      <w:r>
        <w:rPr>
          <w:rFonts w:asciiTheme="majorEastAsia" w:eastAsiaTheme="majorEastAsia" w:hAnsiTheme="majorEastAsia" w:hint="eastAsia"/>
          <w:color w:val="000000" w:themeColor="text1"/>
          <w:sz w:val="24"/>
        </w:rPr>
        <w:t>均表示对其本人及其他债权人的债权无异议。</w:t>
      </w:r>
    </w:p>
    <w:p w14:paraId="4F892B33" w14:textId="756BE587" w:rsidR="00E03122" w:rsidRDefault="00E03122" w:rsidP="003A64B2">
      <w:pPr>
        <w:snapToGrid w:val="0"/>
        <w:spacing w:after="120" w:line="360" w:lineRule="auto"/>
        <w:rPr>
          <w:rFonts w:asciiTheme="majorEastAsia" w:eastAsiaTheme="majorEastAsia" w:hAnsiTheme="majorEastAsia"/>
          <w:b/>
          <w:sz w:val="24"/>
        </w:rPr>
      </w:pPr>
    </w:p>
    <w:p w14:paraId="47516CD8" w14:textId="69420856" w:rsidR="005947BE" w:rsidRPr="005947BE" w:rsidRDefault="00A36184" w:rsidP="005947BE">
      <w:pPr>
        <w:snapToGrid w:val="0"/>
        <w:spacing w:after="120" w:line="360" w:lineRule="auto"/>
        <w:ind w:firstLineChars="200" w:firstLine="480"/>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综上，经福鸿公司第一次债权人会议核查无异议的债权共3户3笔</w:t>
      </w:r>
      <w:r w:rsidR="005947BE" w:rsidRPr="005947BE">
        <w:rPr>
          <w:rFonts w:asciiTheme="majorEastAsia" w:eastAsiaTheme="majorEastAsia" w:hAnsiTheme="majorEastAsia" w:hint="eastAsia"/>
          <w:color w:val="000000" w:themeColor="text1"/>
          <w:sz w:val="24"/>
        </w:rPr>
        <w:t>，管理人将提请广州中院裁定确认</w:t>
      </w:r>
      <w:r w:rsidR="005947BE">
        <w:rPr>
          <w:rFonts w:asciiTheme="majorEastAsia" w:eastAsiaTheme="majorEastAsia" w:hAnsiTheme="majorEastAsia" w:hint="eastAsia"/>
          <w:color w:val="000000" w:themeColor="text1"/>
          <w:sz w:val="24"/>
        </w:rPr>
        <w:t>福鸿</w:t>
      </w:r>
      <w:r w:rsidR="005947BE" w:rsidRPr="005947BE">
        <w:rPr>
          <w:rFonts w:asciiTheme="majorEastAsia" w:eastAsiaTheme="majorEastAsia" w:hAnsiTheme="majorEastAsia" w:hint="eastAsia"/>
          <w:color w:val="000000" w:themeColor="text1"/>
          <w:sz w:val="24"/>
        </w:rPr>
        <w:t>公司第</w:t>
      </w:r>
      <w:r w:rsidR="005947BE">
        <w:rPr>
          <w:rFonts w:asciiTheme="majorEastAsia" w:eastAsiaTheme="majorEastAsia" w:hAnsiTheme="majorEastAsia" w:hint="eastAsia"/>
          <w:color w:val="000000" w:themeColor="text1"/>
          <w:sz w:val="24"/>
        </w:rPr>
        <w:t>一</w:t>
      </w:r>
      <w:r w:rsidR="005947BE" w:rsidRPr="005947BE">
        <w:rPr>
          <w:rFonts w:asciiTheme="majorEastAsia" w:eastAsiaTheme="majorEastAsia" w:hAnsiTheme="majorEastAsia" w:hint="eastAsia"/>
          <w:color w:val="000000" w:themeColor="text1"/>
          <w:sz w:val="24"/>
        </w:rPr>
        <w:t>次债权</w:t>
      </w:r>
      <w:r w:rsidR="00D6534F">
        <w:rPr>
          <w:rFonts w:asciiTheme="majorEastAsia" w:eastAsiaTheme="majorEastAsia" w:hAnsiTheme="majorEastAsia" w:hint="eastAsia"/>
          <w:color w:val="000000" w:themeColor="text1"/>
          <w:sz w:val="24"/>
        </w:rPr>
        <w:t>核查无异议的</w:t>
      </w:r>
      <w:r w:rsidR="005947BE" w:rsidRPr="005947BE">
        <w:rPr>
          <w:rFonts w:asciiTheme="majorEastAsia" w:eastAsiaTheme="majorEastAsia" w:hAnsiTheme="majorEastAsia" w:hint="eastAsia"/>
          <w:color w:val="000000" w:themeColor="text1"/>
          <w:sz w:val="24"/>
        </w:rPr>
        <w:t>债权</w:t>
      </w:r>
      <w:r w:rsidR="00D6534F">
        <w:rPr>
          <w:rFonts w:asciiTheme="majorEastAsia" w:eastAsiaTheme="majorEastAsia" w:hAnsiTheme="majorEastAsia" w:hint="eastAsia"/>
          <w:color w:val="000000" w:themeColor="text1"/>
          <w:sz w:val="24"/>
        </w:rPr>
        <w:t>（详见附件二）</w:t>
      </w:r>
      <w:r w:rsidR="005947BE">
        <w:rPr>
          <w:rFonts w:asciiTheme="majorEastAsia" w:eastAsiaTheme="majorEastAsia" w:hAnsiTheme="majorEastAsia" w:hint="eastAsia"/>
          <w:color w:val="000000" w:themeColor="text1"/>
          <w:sz w:val="24"/>
        </w:rPr>
        <w:t>。</w:t>
      </w:r>
    </w:p>
    <w:p w14:paraId="4C1AFD63" w14:textId="77777777" w:rsidR="006D5303" w:rsidRDefault="006D5303" w:rsidP="00E03122">
      <w:pPr>
        <w:snapToGrid w:val="0"/>
        <w:spacing w:after="120" w:line="360" w:lineRule="auto"/>
        <w:ind w:firstLineChars="200" w:firstLine="482"/>
        <w:rPr>
          <w:rFonts w:asciiTheme="majorEastAsia" w:eastAsiaTheme="majorEastAsia" w:hAnsiTheme="majorEastAsia"/>
          <w:b/>
          <w:sz w:val="24"/>
        </w:rPr>
      </w:pPr>
    </w:p>
    <w:p w14:paraId="1ABAE072" w14:textId="1FE494B7" w:rsidR="00532602" w:rsidRDefault="00E03122" w:rsidP="00E03122">
      <w:pPr>
        <w:snapToGrid w:val="0"/>
        <w:spacing w:after="120" w:line="360" w:lineRule="auto"/>
        <w:ind w:firstLineChars="200" w:firstLine="480"/>
        <w:rPr>
          <w:rFonts w:asciiTheme="majorEastAsia" w:eastAsiaTheme="majorEastAsia" w:hAnsiTheme="majorEastAsia"/>
          <w:sz w:val="24"/>
        </w:rPr>
      </w:pPr>
      <w:r w:rsidRPr="00325C04">
        <w:rPr>
          <w:rFonts w:asciiTheme="majorEastAsia" w:eastAsiaTheme="majorEastAsia" w:hAnsiTheme="majorEastAsia" w:hint="eastAsia"/>
          <w:sz w:val="24"/>
        </w:rPr>
        <w:t>特此公告。</w:t>
      </w:r>
    </w:p>
    <w:p w14:paraId="1F29E89B" w14:textId="77777777" w:rsidR="001F02F3" w:rsidRDefault="001F02F3" w:rsidP="00E03122">
      <w:pPr>
        <w:snapToGrid w:val="0"/>
        <w:spacing w:after="120" w:line="360" w:lineRule="auto"/>
        <w:ind w:firstLineChars="200" w:firstLine="480"/>
        <w:rPr>
          <w:rFonts w:asciiTheme="majorEastAsia" w:eastAsiaTheme="majorEastAsia" w:hAnsiTheme="majorEastAsia"/>
          <w:sz w:val="24"/>
        </w:rPr>
      </w:pPr>
    </w:p>
    <w:p w14:paraId="0F36BA6F" w14:textId="401662DB" w:rsidR="00AD0871" w:rsidRDefault="00612D32" w:rsidP="00603893">
      <w:pPr>
        <w:snapToGrid w:val="0"/>
        <w:spacing w:after="120" w:line="360" w:lineRule="auto"/>
        <w:ind w:right="139"/>
        <w:jc w:val="right"/>
        <w:rPr>
          <w:rFonts w:asciiTheme="majorEastAsia" w:eastAsiaTheme="majorEastAsia" w:hAnsiTheme="majorEastAsia"/>
          <w:sz w:val="24"/>
        </w:rPr>
      </w:pPr>
      <w:r>
        <w:rPr>
          <w:rFonts w:asciiTheme="majorEastAsia" w:eastAsiaTheme="majorEastAsia" w:hAnsiTheme="majorEastAsia" w:hint="eastAsia"/>
          <w:sz w:val="24"/>
        </w:rPr>
        <w:lastRenderedPageBreak/>
        <w:t>广州福鸿投资管理有限公司</w:t>
      </w:r>
    </w:p>
    <w:p w14:paraId="0274390E" w14:textId="12286006" w:rsidR="008D21C0" w:rsidRDefault="00527C77" w:rsidP="00D6534F">
      <w:pPr>
        <w:snapToGrid w:val="0"/>
        <w:spacing w:after="120" w:line="360" w:lineRule="auto"/>
        <w:ind w:firstLineChars="200" w:firstLine="480"/>
        <w:jc w:val="right"/>
        <w:rPr>
          <w:rFonts w:asciiTheme="majorEastAsia" w:eastAsiaTheme="majorEastAsia" w:hAnsiTheme="majorEastAsia"/>
          <w:sz w:val="24"/>
        </w:rPr>
      </w:pPr>
      <w:r w:rsidRPr="00D6534F">
        <w:rPr>
          <w:rFonts w:asciiTheme="majorEastAsia" w:eastAsiaTheme="majorEastAsia" w:hAnsiTheme="majorEastAsia"/>
          <w:sz w:val="24"/>
        </w:rPr>
        <w:t>20</w:t>
      </w:r>
      <w:r w:rsidR="008D21C0" w:rsidRPr="00D6534F">
        <w:rPr>
          <w:rFonts w:asciiTheme="majorEastAsia" w:eastAsiaTheme="majorEastAsia" w:hAnsiTheme="majorEastAsia"/>
          <w:sz w:val="24"/>
        </w:rPr>
        <w:t>2</w:t>
      </w:r>
      <w:r w:rsidR="003C7338" w:rsidRPr="00D6534F">
        <w:rPr>
          <w:rFonts w:asciiTheme="majorEastAsia" w:eastAsiaTheme="majorEastAsia" w:hAnsiTheme="majorEastAsia"/>
          <w:sz w:val="24"/>
        </w:rPr>
        <w:t>1</w:t>
      </w:r>
      <w:r w:rsidR="00A13B0D" w:rsidRPr="00D6534F">
        <w:rPr>
          <w:rFonts w:asciiTheme="majorEastAsia" w:eastAsiaTheme="majorEastAsia" w:hAnsiTheme="majorEastAsia" w:hint="eastAsia"/>
          <w:sz w:val="24"/>
        </w:rPr>
        <w:t>年</w:t>
      </w:r>
      <w:r w:rsidR="005947BE" w:rsidRPr="00D6534F">
        <w:rPr>
          <w:rFonts w:asciiTheme="majorEastAsia" w:eastAsiaTheme="majorEastAsia" w:hAnsiTheme="majorEastAsia"/>
          <w:sz w:val="24"/>
        </w:rPr>
        <w:t>9</w:t>
      </w:r>
      <w:r w:rsidR="00A13B0D" w:rsidRPr="00D6534F">
        <w:rPr>
          <w:rFonts w:asciiTheme="majorEastAsia" w:eastAsiaTheme="majorEastAsia" w:hAnsiTheme="majorEastAsia" w:hint="eastAsia"/>
          <w:sz w:val="24"/>
        </w:rPr>
        <w:t>月</w:t>
      </w:r>
      <w:r w:rsidR="005947BE" w:rsidRPr="00D6534F">
        <w:rPr>
          <w:rFonts w:asciiTheme="majorEastAsia" w:eastAsiaTheme="majorEastAsia" w:hAnsiTheme="majorEastAsia"/>
          <w:sz w:val="24"/>
        </w:rPr>
        <w:t>7</w:t>
      </w:r>
      <w:r w:rsidR="00A13B0D" w:rsidRPr="00D6534F">
        <w:rPr>
          <w:rFonts w:asciiTheme="majorEastAsia" w:eastAsiaTheme="majorEastAsia" w:hAnsiTheme="majorEastAsia" w:hint="eastAsia"/>
          <w:sz w:val="24"/>
        </w:rPr>
        <w:t>日</w:t>
      </w:r>
    </w:p>
    <w:p w14:paraId="4519D7E6" w14:textId="77777777" w:rsidR="00612D32" w:rsidRDefault="00612D32">
      <w:pPr>
        <w:widowControl/>
        <w:jc w:val="left"/>
        <w:rPr>
          <w:rFonts w:asciiTheme="majorEastAsia" w:eastAsiaTheme="majorEastAsia" w:hAnsiTheme="majorEastAsia"/>
          <w:sz w:val="24"/>
        </w:rPr>
      </w:pPr>
      <w:r>
        <w:rPr>
          <w:rFonts w:asciiTheme="majorEastAsia" w:eastAsiaTheme="majorEastAsia" w:hAnsiTheme="majorEastAsia"/>
          <w:sz w:val="24"/>
        </w:rPr>
        <w:br w:type="page"/>
      </w:r>
    </w:p>
    <w:p w14:paraId="3C280E14" w14:textId="0A9527B1" w:rsidR="0083057D" w:rsidRPr="000B0611" w:rsidRDefault="0083057D" w:rsidP="000B0611">
      <w:pPr>
        <w:rPr>
          <w:rFonts w:asciiTheme="majorEastAsia" w:eastAsiaTheme="majorEastAsia" w:hAnsiTheme="majorEastAsia"/>
          <w:sz w:val="24"/>
        </w:rPr>
        <w:sectPr w:rsidR="0083057D" w:rsidRPr="000B0611" w:rsidSect="00532602">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624" w:gutter="0"/>
          <w:cols w:space="425"/>
          <w:docGrid w:type="lines" w:linePitch="312"/>
        </w:sectPr>
      </w:pPr>
    </w:p>
    <w:p w14:paraId="238F8C3E" w14:textId="126425EE" w:rsidR="00D6534F" w:rsidRPr="00D6534F" w:rsidRDefault="00D6534F" w:rsidP="00D6534F">
      <w:pPr>
        <w:snapToGrid w:val="0"/>
        <w:spacing w:line="360" w:lineRule="auto"/>
        <w:jc w:val="left"/>
        <w:rPr>
          <w:rFonts w:ascii="宋体" w:hAnsi="宋体"/>
          <w:sz w:val="24"/>
          <w:szCs w:val="32"/>
        </w:rPr>
      </w:pPr>
      <w:r w:rsidRPr="00D6534F">
        <w:rPr>
          <w:rFonts w:ascii="宋体" w:hAnsi="宋体" w:hint="eastAsia"/>
          <w:sz w:val="24"/>
          <w:szCs w:val="32"/>
        </w:rPr>
        <w:lastRenderedPageBreak/>
        <w:t>附件一</w:t>
      </w:r>
    </w:p>
    <w:p w14:paraId="7C81E939" w14:textId="6746D613" w:rsidR="00D6534F" w:rsidRPr="00214153" w:rsidRDefault="00D6534F" w:rsidP="00D6534F">
      <w:pPr>
        <w:snapToGrid w:val="0"/>
        <w:spacing w:line="360" w:lineRule="auto"/>
        <w:jc w:val="center"/>
        <w:rPr>
          <w:rFonts w:ascii="宋体" w:hAnsi="宋体"/>
          <w:b/>
          <w:sz w:val="32"/>
          <w:szCs w:val="32"/>
        </w:rPr>
      </w:pPr>
      <w:r w:rsidRPr="00214153">
        <w:rPr>
          <w:rFonts w:ascii="宋体" w:hAnsi="宋体" w:hint="eastAsia"/>
          <w:b/>
          <w:sz w:val="32"/>
          <w:szCs w:val="32"/>
        </w:rPr>
        <w:t>广州福鸿投资管理有限公司</w:t>
      </w:r>
    </w:p>
    <w:p w14:paraId="1EDD1AC8" w14:textId="77777777" w:rsidR="00D6534F" w:rsidRPr="00214153" w:rsidRDefault="00D6534F" w:rsidP="00D6534F">
      <w:pPr>
        <w:snapToGrid w:val="0"/>
        <w:spacing w:line="360" w:lineRule="auto"/>
        <w:jc w:val="center"/>
        <w:rPr>
          <w:rFonts w:ascii="宋体" w:hAnsi="宋体"/>
          <w:b/>
          <w:sz w:val="32"/>
          <w:szCs w:val="32"/>
        </w:rPr>
      </w:pPr>
      <w:r w:rsidRPr="00214153">
        <w:rPr>
          <w:rFonts w:ascii="宋体" w:hAnsi="宋体" w:hint="eastAsia"/>
          <w:b/>
          <w:sz w:val="32"/>
          <w:szCs w:val="32"/>
        </w:rPr>
        <w:t>债权表</w:t>
      </w:r>
      <w:r>
        <w:rPr>
          <w:rFonts w:ascii="宋体" w:hAnsi="宋体" w:hint="eastAsia"/>
          <w:b/>
          <w:sz w:val="32"/>
          <w:szCs w:val="32"/>
        </w:rPr>
        <w:t>（提交第一次债权人会议核查）</w:t>
      </w:r>
    </w:p>
    <w:tbl>
      <w:tblPr>
        <w:tblW w:w="12915" w:type="dxa"/>
        <w:tblLook w:val="04A0" w:firstRow="1" w:lastRow="0" w:firstColumn="1" w:lastColumn="0" w:noHBand="0" w:noVBand="1"/>
      </w:tblPr>
      <w:tblGrid>
        <w:gridCol w:w="429"/>
        <w:gridCol w:w="826"/>
        <w:gridCol w:w="1530"/>
        <w:gridCol w:w="1530"/>
        <w:gridCol w:w="1350"/>
        <w:gridCol w:w="1350"/>
        <w:gridCol w:w="1530"/>
        <w:gridCol w:w="1170"/>
        <w:gridCol w:w="1350"/>
        <w:gridCol w:w="900"/>
        <w:gridCol w:w="950"/>
      </w:tblGrid>
      <w:tr w:rsidR="00D6534F" w:rsidRPr="0050404C" w14:paraId="7EA44FD1" w14:textId="77777777" w:rsidTr="00B93252">
        <w:trPr>
          <w:trHeight w:val="1104"/>
        </w:trPr>
        <w:tc>
          <w:tcPr>
            <w:tcW w:w="4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5933DD"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hint="eastAsia"/>
                <w:b/>
                <w:color w:val="000000"/>
                <w:kern w:val="0"/>
                <w:sz w:val="18"/>
                <w:szCs w:val="18"/>
              </w:rPr>
              <w:t>序</w:t>
            </w:r>
            <w:r w:rsidRPr="0050404C">
              <w:rPr>
                <w:rFonts w:asciiTheme="minorEastAsia" w:eastAsiaTheme="minorEastAsia" w:hAnsiTheme="minorEastAsia" w:cs="微软雅黑"/>
                <w:b/>
                <w:color w:val="000000"/>
                <w:kern w:val="0"/>
                <w:sz w:val="18"/>
                <w:szCs w:val="18"/>
              </w:rPr>
              <w:t>号</w:t>
            </w:r>
          </w:p>
        </w:tc>
        <w:tc>
          <w:tcPr>
            <w:tcW w:w="826" w:type="dxa"/>
            <w:tcBorders>
              <w:top w:val="single" w:sz="4" w:space="0" w:color="auto"/>
              <w:left w:val="nil"/>
              <w:bottom w:val="single" w:sz="4" w:space="0" w:color="auto"/>
              <w:right w:val="single" w:sz="4" w:space="0" w:color="auto"/>
            </w:tcBorders>
            <w:shd w:val="clear" w:color="auto" w:fill="auto"/>
            <w:vAlign w:val="center"/>
            <w:hideMark/>
          </w:tcPr>
          <w:p w14:paraId="30276A85"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债权人名称</w:t>
            </w:r>
          </w:p>
        </w:tc>
        <w:tc>
          <w:tcPr>
            <w:tcW w:w="1530" w:type="dxa"/>
            <w:tcBorders>
              <w:top w:val="single" w:sz="4" w:space="0" w:color="auto"/>
              <w:left w:val="nil"/>
              <w:bottom w:val="single" w:sz="4" w:space="0" w:color="auto"/>
              <w:right w:val="single" w:sz="4" w:space="0" w:color="auto"/>
            </w:tcBorders>
            <w:shd w:val="clear" w:color="auto" w:fill="auto"/>
            <w:vAlign w:val="center"/>
            <w:hideMark/>
          </w:tcPr>
          <w:p w14:paraId="732E43DC"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申报总额</w:t>
            </w:r>
          </w:p>
        </w:tc>
        <w:tc>
          <w:tcPr>
            <w:tcW w:w="1530" w:type="dxa"/>
            <w:tcBorders>
              <w:top w:val="single" w:sz="4" w:space="0" w:color="auto"/>
              <w:left w:val="nil"/>
              <w:bottom w:val="single" w:sz="4" w:space="0" w:color="auto"/>
              <w:right w:val="single" w:sz="4" w:space="0" w:color="auto"/>
            </w:tcBorders>
            <w:shd w:val="clear" w:color="auto" w:fill="auto"/>
            <w:vAlign w:val="center"/>
            <w:hideMark/>
          </w:tcPr>
          <w:p w14:paraId="50EE3D11"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hint="eastAsia"/>
                <w:b/>
                <w:color w:val="000000"/>
                <w:kern w:val="0"/>
                <w:sz w:val="18"/>
                <w:szCs w:val="18"/>
              </w:rPr>
              <w:t>确认</w:t>
            </w:r>
            <w:r w:rsidRPr="0050404C">
              <w:rPr>
                <w:rFonts w:asciiTheme="minorEastAsia" w:eastAsiaTheme="minorEastAsia" w:hAnsiTheme="minorEastAsia" w:cs="微软雅黑"/>
                <w:b/>
                <w:color w:val="000000"/>
                <w:kern w:val="0"/>
                <w:sz w:val="18"/>
                <w:szCs w:val="18"/>
              </w:rPr>
              <w:t>本金</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14:paraId="5EA98F9D"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hint="eastAsia"/>
                <w:b/>
                <w:color w:val="000000"/>
                <w:kern w:val="0"/>
                <w:sz w:val="18"/>
                <w:szCs w:val="18"/>
              </w:rPr>
              <w:t>确认</w:t>
            </w:r>
            <w:r w:rsidRPr="0050404C">
              <w:rPr>
                <w:rFonts w:asciiTheme="minorEastAsia" w:eastAsiaTheme="minorEastAsia" w:hAnsiTheme="minorEastAsia" w:cs="微软雅黑"/>
                <w:b/>
                <w:color w:val="000000"/>
                <w:kern w:val="0"/>
                <w:sz w:val="18"/>
                <w:szCs w:val="18"/>
              </w:rPr>
              <w:t>利息</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14:paraId="29F75D18"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hint="eastAsia"/>
                <w:b/>
                <w:color w:val="000000"/>
                <w:kern w:val="0"/>
                <w:sz w:val="18"/>
                <w:szCs w:val="18"/>
              </w:rPr>
              <w:t>确认</w:t>
            </w:r>
            <w:r w:rsidRPr="0050404C">
              <w:rPr>
                <w:rFonts w:asciiTheme="minorEastAsia" w:eastAsiaTheme="minorEastAsia" w:hAnsiTheme="minorEastAsia" w:cs="微软雅黑"/>
                <w:b/>
                <w:color w:val="000000"/>
                <w:kern w:val="0"/>
                <w:sz w:val="18"/>
                <w:szCs w:val="18"/>
              </w:rPr>
              <w:t>其他损失</w:t>
            </w:r>
          </w:p>
        </w:tc>
        <w:tc>
          <w:tcPr>
            <w:tcW w:w="1530" w:type="dxa"/>
            <w:tcBorders>
              <w:top w:val="single" w:sz="4" w:space="0" w:color="auto"/>
              <w:left w:val="nil"/>
              <w:bottom w:val="single" w:sz="4" w:space="0" w:color="auto"/>
              <w:right w:val="single" w:sz="4" w:space="0" w:color="auto"/>
            </w:tcBorders>
            <w:shd w:val="clear" w:color="auto" w:fill="auto"/>
            <w:vAlign w:val="center"/>
            <w:hideMark/>
          </w:tcPr>
          <w:p w14:paraId="11BB1A25"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hint="eastAsia"/>
                <w:b/>
                <w:color w:val="000000"/>
                <w:kern w:val="0"/>
                <w:sz w:val="18"/>
                <w:szCs w:val="18"/>
              </w:rPr>
              <w:t>确认</w:t>
            </w:r>
            <w:r w:rsidRPr="0050404C">
              <w:rPr>
                <w:rFonts w:asciiTheme="minorEastAsia" w:eastAsiaTheme="minorEastAsia" w:hAnsiTheme="minorEastAsia" w:cs="微软雅黑"/>
                <w:b/>
                <w:color w:val="000000"/>
                <w:kern w:val="0"/>
                <w:sz w:val="18"/>
                <w:szCs w:val="18"/>
              </w:rPr>
              <w:t>总额</w:t>
            </w:r>
          </w:p>
        </w:tc>
        <w:tc>
          <w:tcPr>
            <w:tcW w:w="1170" w:type="dxa"/>
            <w:tcBorders>
              <w:top w:val="single" w:sz="4" w:space="0" w:color="auto"/>
              <w:left w:val="nil"/>
              <w:bottom w:val="single" w:sz="4" w:space="0" w:color="auto"/>
              <w:right w:val="nil"/>
            </w:tcBorders>
            <w:vAlign w:val="center"/>
          </w:tcPr>
          <w:p w14:paraId="51E6A84D" w14:textId="77777777" w:rsidR="00D6534F" w:rsidRDefault="00D6534F" w:rsidP="00B93252">
            <w:pPr>
              <w:widowControl/>
              <w:jc w:val="center"/>
              <w:rPr>
                <w:rFonts w:asciiTheme="minorEastAsia" w:eastAsiaTheme="minorEastAsia" w:hAnsiTheme="minorEastAsia" w:cs="微软雅黑"/>
                <w:b/>
                <w:color w:val="000000"/>
                <w:kern w:val="0"/>
                <w:sz w:val="18"/>
                <w:szCs w:val="18"/>
              </w:rPr>
            </w:pPr>
            <w:r w:rsidRPr="0050404C">
              <w:rPr>
                <w:rFonts w:asciiTheme="minorEastAsia" w:eastAsiaTheme="minorEastAsia" w:hAnsiTheme="minorEastAsia" w:cs="微软雅黑" w:hint="eastAsia"/>
                <w:b/>
                <w:color w:val="000000"/>
                <w:kern w:val="0"/>
                <w:sz w:val="18"/>
                <w:szCs w:val="18"/>
              </w:rPr>
              <w:t>确认</w:t>
            </w:r>
            <w:r w:rsidRPr="0050404C">
              <w:rPr>
                <w:rFonts w:asciiTheme="minorEastAsia" w:eastAsiaTheme="minorEastAsia" w:hAnsiTheme="minorEastAsia" w:cs="微软雅黑"/>
                <w:b/>
                <w:color w:val="000000"/>
                <w:kern w:val="0"/>
                <w:sz w:val="18"/>
                <w:szCs w:val="18"/>
              </w:rPr>
              <w:t>迟延</w:t>
            </w:r>
          </w:p>
          <w:p w14:paraId="18D367EB" w14:textId="77777777" w:rsidR="00D6534F" w:rsidRPr="0050404C" w:rsidRDefault="00D6534F" w:rsidP="00B93252">
            <w:pPr>
              <w:widowControl/>
              <w:jc w:val="center"/>
              <w:rPr>
                <w:rFonts w:asciiTheme="minorEastAsia" w:eastAsiaTheme="minorEastAsia" w:hAnsiTheme="minorEastAsia" w:cs="微软雅黑"/>
                <w:b/>
                <w:color w:val="000000"/>
                <w:kern w:val="0"/>
                <w:sz w:val="18"/>
                <w:szCs w:val="18"/>
              </w:rPr>
            </w:pPr>
            <w:r w:rsidRPr="0050404C">
              <w:rPr>
                <w:rFonts w:asciiTheme="minorEastAsia" w:eastAsiaTheme="minorEastAsia" w:hAnsiTheme="minorEastAsia" w:cs="微软雅黑"/>
                <w:b/>
                <w:color w:val="000000"/>
                <w:kern w:val="0"/>
                <w:sz w:val="18"/>
                <w:szCs w:val="18"/>
              </w:rPr>
              <w:t>履行利息</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4662F7"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债权性质</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044F40E0"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是否超过诉讼时效</w:t>
            </w:r>
          </w:p>
        </w:tc>
        <w:tc>
          <w:tcPr>
            <w:tcW w:w="950" w:type="dxa"/>
            <w:tcBorders>
              <w:top w:val="single" w:sz="4" w:space="0" w:color="auto"/>
              <w:left w:val="nil"/>
              <w:bottom w:val="single" w:sz="4" w:space="0" w:color="auto"/>
              <w:right w:val="single" w:sz="4" w:space="0" w:color="auto"/>
            </w:tcBorders>
            <w:shd w:val="clear" w:color="auto" w:fill="auto"/>
            <w:vAlign w:val="center"/>
            <w:hideMark/>
          </w:tcPr>
          <w:p w14:paraId="6F788C1E"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是否超过强制执行期间</w:t>
            </w:r>
          </w:p>
        </w:tc>
      </w:tr>
      <w:tr w:rsidR="00D6534F" w:rsidRPr="0050404C" w14:paraId="2A6B5B46"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0096FBB1"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1</w:t>
            </w:r>
          </w:p>
        </w:tc>
        <w:tc>
          <w:tcPr>
            <w:tcW w:w="826" w:type="dxa"/>
            <w:tcBorders>
              <w:top w:val="nil"/>
              <w:left w:val="nil"/>
              <w:bottom w:val="single" w:sz="4" w:space="0" w:color="auto"/>
              <w:right w:val="single" w:sz="4" w:space="0" w:color="auto"/>
            </w:tcBorders>
            <w:shd w:val="clear" w:color="auto" w:fill="auto"/>
            <w:noWrap/>
            <w:vAlign w:val="center"/>
            <w:hideMark/>
          </w:tcPr>
          <w:p w14:paraId="3B426508"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何燕华</w:t>
            </w:r>
          </w:p>
        </w:tc>
        <w:tc>
          <w:tcPr>
            <w:tcW w:w="1530" w:type="dxa"/>
            <w:tcBorders>
              <w:top w:val="nil"/>
              <w:left w:val="nil"/>
              <w:bottom w:val="single" w:sz="4" w:space="0" w:color="auto"/>
              <w:right w:val="single" w:sz="4" w:space="0" w:color="auto"/>
            </w:tcBorders>
            <w:shd w:val="clear" w:color="auto" w:fill="auto"/>
            <w:noWrap/>
            <w:vAlign w:val="center"/>
            <w:hideMark/>
          </w:tcPr>
          <w:p w14:paraId="7D2AB26E"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5,700,506.85 </w:t>
            </w:r>
          </w:p>
        </w:tc>
        <w:tc>
          <w:tcPr>
            <w:tcW w:w="1530" w:type="dxa"/>
            <w:tcBorders>
              <w:top w:val="nil"/>
              <w:left w:val="nil"/>
              <w:bottom w:val="single" w:sz="4" w:space="0" w:color="auto"/>
              <w:right w:val="single" w:sz="4" w:space="0" w:color="auto"/>
            </w:tcBorders>
            <w:shd w:val="clear" w:color="auto" w:fill="auto"/>
            <w:noWrap/>
            <w:vAlign w:val="center"/>
            <w:hideMark/>
          </w:tcPr>
          <w:p w14:paraId="6A0C190C"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5,000,000.00 </w:t>
            </w:r>
          </w:p>
        </w:tc>
        <w:tc>
          <w:tcPr>
            <w:tcW w:w="1350" w:type="dxa"/>
            <w:tcBorders>
              <w:top w:val="nil"/>
              <w:left w:val="nil"/>
              <w:bottom w:val="single" w:sz="4" w:space="0" w:color="auto"/>
              <w:right w:val="single" w:sz="4" w:space="0" w:color="auto"/>
            </w:tcBorders>
            <w:shd w:val="clear" w:color="auto" w:fill="auto"/>
            <w:noWrap/>
            <w:vAlign w:val="center"/>
            <w:hideMark/>
          </w:tcPr>
          <w:p w14:paraId="6D29E18F"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700,506.85 </w:t>
            </w:r>
          </w:p>
        </w:tc>
        <w:tc>
          <w:tcPr>
            <w:tcW w:w="1350" w:type="dxa"/>
            <w:tcBorders>
              <w:top w:val="nil"/>
              <w:left w:val="nil"/>
              <w:bottom w:val="single" w:sz="4" w:space="0" w:color="auto"/>
              <w:right w:val="single" w:sz="4" w:space="0" w:color="auto"/>
            </w:tcBorders>
            <w:shd w:val="clear" w:color="auto" w:fill="auto"/>
            <w:noWrap/>
            <w:vAlign w:val="center"/>
            <w:hideMark/>
          </w:tcPr>
          <w:p w14:paraId="7ABF22FB"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530" w:type="dxa"/>
            <w:tcBorders>
              <w:top w:val="nil"/>
              <w:left w:val="nil"/>
              <w:bottom w:val="single" w:sz="4" w:space="0" w:color="auto"/>
              <w:right w:val="single" w:sz="4" w:space="0" w:color="auto"/>
            </w:tcBorders>
            <w:shd w:val="clear" w:color="auto" w:fill="auto"/>
            <w:noWrap/>
            <w:vAlign w:val="center"/>
            <w:hideMark/>
          </w:tcPr>
          <w:p w14:paraId="11ADF717"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5,700,506.85 </w:t>
            </w:r>
          </w:p>
        </w:tc>
        <w:tc>
          <w:tcPr>
            <w:tcW w:w="1170" w:type="dxa"/>
            <w:tcBorders>
              <w:top w:val="single" w:sz="4" w:space="0" w:color="auto"/>
              <w:left w:val="nil"/>
              <w:bottom w:val="single" w:sz="4" w:space="0" w:color="auto"/>
              <w:right w:val="nil"/>
            </w:tcBorders>
            <w:vAlign w:val="center"/>
          </w:tcPr>
          <w:p w14:paraId="59ECE33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6FD618E9"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普通债权</w:t>
            </w:r>
          </w:p>
        </w:tc>
        <w:tc>
          <w:tcPr>
            <w:tcW w:w="900" w:type="dxa"/>
            <w:tcBorders>
              <w:top w:val="nil"/>
              <w:left w:val="nil"/>
              <w:bottom w:val="single" w:sz="4" w:space="0" w:color="auto"/>
              <w:right w:val="single" w:sz="4" w:space="0" w:color="auto"/>
            </w:tcBorders>
            <w:shd w:val="clear" w:color="auto" w:fill="auto"/>
            <w:noWrap/>
            <w:vAlign w:val="center"/>
            <w:hideMark/>
          </w:tcPr>
          <w:p w14:paraId="0386919E"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c>
          <w:tcPr>
            <w:tcW w:w="950" w:type="dxa"/>
            <w:tcBorders>
              <w:top w:val="nil"/>
              <w:left w:val="nil"/>
              <w:bottom w:val="single" w:sz="4" w:space="0" w:color="auto"/>
              <w:right w:val="single" w:sz="4" w:space="0" w:color="auto"/>
            </w:tcBorders>
            <w:shd w:val="clear" w:color="auto" w:fill="auto"/>
            <w:noWrap/>
            <w:vAlign w:val="center"/>
            <w:hideMark/>
          </w:tcPr>
          <w:p w14:paraId="5C8D0E53"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r>
      <w:tr w:rsidR="00D6534F" w:rsidRPr="0050404C" w14:paraId="7FBC48AB"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73994D17"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2</w:t>
            </w:r>
          </w:p>
        </w:tc>
        <w:tc>
          <w:tcPr>
            <w:tcW w:w="826" w:type="dxa"/>
            <w:tcBorders>
              <w:top w:val="nil"/>
              <w:left w:val="nil"/>
              <w:bottom w:val="single" w:sz="4" w:space="0" w:color="auto"/>
              <w:right w:val="single" w:sz="4" w:space="0" w:color="auto"/>
            </w:tcBorders>
            <w:shd w:val="clear" w:color="auto" w:fill="auto"/>
            <w:noWrap/>
            <w:vAlign w:val="center"/>
            <w:hideMark/>
          </w:tcPr>
          <w:p w14:paraId="5B2F6231"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林育彬</w:t>
            </w:r>
          </w:p>
        </w:tc>
        <w:tc>
          <w:tcPr>
            <w:tcW w:w="1530" w:type="dxa"/>
            <w:tcBorders>
              <w:top w:val="nil"/>
              <w:left w:val="nil"/>
              <w:bottom w:val="single" w:sz="4" w:space="0" w:color="auto"/>
              <w:right w:val="single" w:sz="4" w:space="0" w:color="auto"/>
            </w:tcBorders>
            <w:shd w:val="clear" w:color="auto" w:fill="auto"/>
            <w:noWrap/>
            <w:vAlign w:val="center"/>
            <w:hideMark/>
          </w:tcPr>
          <w:p w14:paraId="43D6CEF0"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4,449,240.00 </w:t>
            </w:r>
          </w:p>
        </w:tc>
        <w:tc>
          <w:tcPr>
            <w:tcW w:w="1530" w:type="dxa"/>
            <w:tcBorders>
              <w:top w:val="nil"/>
              <w:left w:val="nil"/>
              <w:bottom w:val="single" w:sz="4" w:space="0" w:color="auto"/>
              <w:right w:val="single" w:sz="4" w:space="0" w:color="auto"/>
            </w:tcBorders>
            <w:shd w:val="clear" w:color="auto" w:fill="auto"/>
            <w:noWrap/>
            <w:vAlign w:val="center"/>
            <w:hideMark/>
          </w:tcPr>
          <w:p w14:paraId="22CD9E90"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3,500,000.00 </w:t>
            </w:r>
          </w:p>
        </w:tc>
        <w:tc>
          <w:tcPr>
            <w:tcW w:w="1350" w:type="dxa"/>
            <w:tcBorders>
              <w:top w:val="nil"/>
              <w:left w:val="nil"/>
              <w:bottom w:val="single" w:sz="4" w:space="0" w:color="auto"/>
              <w:right w:val="single" w:sz="4" w:space="0" w:color="auto"/>
            </w:tcBorders>
            <w:shd w:val="clear" w:color="auto" w:fill="auto"/>
            <w:noWrap/>
            <w:vAlign w:val="center"/>
            <w:hideMark/>
          </w:tcPr>
          <w:p w14:paraId="4548B7D4"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495,619.18 </w:t>
            </w:r>
          </w:p>
        </w:tc>
        <w:tc>
          <w:tcPr>
            <w:tcW w:w="1350" w:type="dxa"/>
            <w:tcBorders>
              <w:top w:val="nil"/>
              <w:left w:val="nil"/>
              <w:bottom w:val="single" w:sz="4" w:space="0" w:color="auto"/>
              <w:right w:val="single" w:sz="4" w:space="0" w:color="auto"/>
            </w:tcBorders>
            <w:shd w:val="clear" w:color="auto" w:fill="auto"/>
            <w:noWrap/>
            <w:vAlign w:val="center"/>
            <w:hideMark/>
          </w:tcPr>
          <w:p w14:paraId="11C11EB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114,077.00 </w:t>
            </w:r>
          </w:p>
        </w:tc>
        <w:tc>
          <w:tcPr>
            <w:tcW w:w="1530" w:type="dxa"/>
            <w:tcBorders>
              <w:top w:val="nil"/>
              <w:left w:val="nil"/>
              <w:bottom w:val="single" w:sz="4" w:space="0" w:color="auto"/>
              <w:right w:val="single" w:sz="4" w:space="0" w:color="auto"/>
            </w:tcBorders>
            <w:shd w:val="clear" w:color="auto" w:fill="auto"/>
            <w:noWrap/>
            <w:vAlign w:val="center"/>
            <w:hideMark/>
          </w:tcPr>
          <w:p w14:paraId="38C48FD3"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4,109,696.18 </w:t>
            </w:r>
          </w:p>
        </w:tc>
        <w:tc>
          <w:tcPr>
            <w:tcW w:w="1170" w:type="dxa"/>
            <w:tcBorders>
              <w:top w:val="single" w:sz="4" w:space="0" w:color="auto"/>
              <w:left w:val="nil"/>
              <w:bottom w:val="single" w:sz="4" w:space="0" w:color="auto"/>
              <w:right w:val="nil"/>
            </w:tcBorders>
            <w:vAlign w:val="center"/>
          </w:tcPr>
          <w:p w14:paraId="67CE6BB7"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7507320E"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普通债权</w:t>
            </w:r>
          </w:p>
        </w:tc>
        <w:tc>
          <w:tcPr>
            <w:tcW w:w="900" w:type="dxa"/>
            <w:tcBorders>
              <w:top w:val="nil"/>
              <w:left w:val="nil"/>
              <w:bottom w:val="single" w:sz="4" w:space="0" w:color="auto"/>
              <w:right w:val="single" w:sz="4" w:space="0" w:color="auto"/>
            </w:tcBorders>
            <w:shd w:val="clear" w:color="auto" w:fill="auto"/>
            <w:noWrap/>
            <w:vAlign w:val="center"/>
            <w:hideMark/>
          </w:tcPr>
          <w:p w14:paraId="3018367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c>
          <w:tcPr>
            <w:tcW w:w="950" w:type="dxa"/>
            <w:tcBorders>
              <w:top w:val="nil"/>
              <w:left w:val="nil"/>
              <w:bottom w:val="single" w:sz="4" w:space="0" w:color="auto"/>
              <w:right w:val="single" w:sz="4" w:space="0" w:color="auto"/>
            </w:tcBorders>
            <w:shd w:val="clear" w:color="auto" w:fill="auto"/>
            <w:noWrap/>
            <w:vAlign w:val="center"/>
            <w:hideMark/>
          </w:tcPr>
          <w:p w14:paraId="2BEEB5AC"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r>
      <w:tr w:rsidR="00D6534F" w:rsidRPr="0050404C" w14:paraId="627FD845"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753CC95F"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3</w:t>
            </w:r>
          </w:p>
        </w:tc>
        <w:tc>
          <w:tcPr>
            <w:tcW w:w="826" w:type="dxa"/>
            <w:tcBorders>
              <w:top w:val="nil"/>
              <w:left w:val="nil"/>
              <w:bottom w:val="single" w:sz="4" w:space="0" w:color="auto"/>
              <w:right w:val="single" w:sz="4" w:space="0" w:color="auto"/>
            </w:tcBorders>
            <w:shd w:val="clear" w:color="auto" w:fill="auto"/>
            <w:noWrap/>
            <w:vAlign w:val="center"/>
            <w:hideMark/>
          </w:tcPr>
          <w:p w14:paraId="38062817"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梁泽汉</w:t>
            </w:r>
          </w:p>
        </w:tc>
        <w:tc>
          <w:tcPr>
            <w:tcW w:w="1530" w:type="dxa"/>
            <w:tcBorders>
              <w:top w:val="nil"/>
              <w:left w:val="nil"/>
              <w:bottom w:val="single" w:sz="4" w:space="0" w:color="auto"/>
              <w:right w:val="single" w:sz="4" w:space="0" w:color="auto"/>
            </w:tcBorders>
            <w:shd w:val="clear" w:color="auto" w:fill="auto"/>
            <w:noWrap/>
            <w:vAlign w:val="center"/>
            <w:hideMark/>
          </w:tcPr>
          <w:p w14:paraId="5F3CC775"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10,730,000.00 </w:t>
            </w:r>
          </w:p>
        </w:tc>
        <w:tc>
          <w:tcPr>
            <w:tcW w:w="1530" w:type="dxa"/>
            <w:tcBorders>
              <w:top w:val="nil"/>
              <w:left w:val="nil"/>
              <w:bottom w:val="single" w:sz="4" w:space="0" w:color="auto"/>
              <w:right w:val="single" w:sz="4" w:space="0" w:color="auto"/>
            </w:tcBorders>
            <w:shd w:val="clear" w:color="auto" w:fill="auto"/>
            <w:noWrap/>
            <w:vAlign w:val="center"/>
            <w:hideMark/>
          </w:tcPr>
          <w:p w14:paraId="39BCA9D2"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5,000,000.00 </w:t>
            </w:r>
          </w:p>
        </w:tc>
        <w:tc>
          <w:tcPr>
            <w:tcW w:w="1350" w:type="dxa"/>
            <w:tcBorders>
              <w:top w:val="nil"/>
              <w:left w:val="nil"/>
              <w:bottom w:val="single" w:sz="4" w:space="0" w:color="auto"/>
              <w:right w:val="single" w:sz="4" w:space="0" w:color="auto"/>
            </w:tcBorders>
            <w:shd w:val="clear" w:color="auto" w:fill="auto"/>
            <w:noWrap/>
            <w:vAlign w:val="center"/>
            <w:hideMark/>
          </w:tcPr>
          <w:p w14:paraId="15CBC0B9"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5,730,000.00 </w:t>
            </w:r>
          </w:p>
        </w:tc>
        <w:tc>
          <w:tcPr>
            <w:tcW w:w="1350" w:type="dxa"/>
            <w:tcBorders>
              <w:top w:val="nil"/>
              <w:left w:val="nil"/>
              <w:bottom w:val="single" w:sz="4" w:space="0" w:color="auto"/>
              <w:right w:val="single" w:sz="4" w:space="0" w:color="auto"/>
            </w:tcBorders>
            <w:shd w:val="clear" w:color="auto" w:fill="auto"/>
            <w:noWrap/>
            <w:vAlign w:val="center"/>
            <w:hideMark/>
          </w:tcPr>
          <w:p w14:paraId="44AD2E1B"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530" w:type="dxa"/>
            <w:tcBorders>
              <w:top w:val="nil"/>
              <w:left w:val="nil"/>
              <w:bottom w:val="single" w:sz="4" w:space="0" w:color="auto"/>
              <w:right w:val="single" w:sz="4" w:space="0" w:color="auto"/>
            </w:tcBorders>
            <w:shd w:val="clear" w:color="auto" w:fill="auto"/>
            <w:noWrap/>
            <w:vAlign w:val="center"/>
            <w:hideMark/>
          </w:tcPr>
          <w:p w14:paraId="42CEA4C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10,730,000.00 </w:t>
            </w:r>
          </w:p>
        </w:tc>
        <w:tc>
          <w:tcPr>
            <w:tcW w:w="1170" w:type="dxa"/>
            <w:tcBorders>
              <w:top w:val="single" w:sz="4" w:space="0" w:color="auto"/>
              <w:left w:val="nil"/>
              <w:bottom w:val="single" w:sz="4" w:space="0" w:color="auto"/>
              <w:right w:val="nil"/>
            </w:tcBorders>
            <w:vAlign w:val="center"/>
          </w:tcPr>
          <w:p w14:paraId="0C94B134"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3F5EC6DF"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普通债权</w:t>
            </w:r>
          </w:p>
        </w:tc>
        <w:tc>
          <w:tcPr>
            <w:tcW w:w="900" w:type="dxa"/>
            <w:tcBorders>
              <w:top w:val="nil"/>
              <w:left w:val="nil"/>
              <w:bottom w:val="single" w:sz="4" w:space="0" w:color="auto"/>
              <w:right w:val="single" w:sz="4" w:space="0" w:color="auto"/>
            </w:tcBorders>
            <w:shd w:val="clear" w:color="auto" w:fill="auto"/>
            <w:noWrap/>
            <w:vAlign w:val="center"/>
            <w:hideMark/>
          </w:tcPr>
          <w:p w14:paraId="32002E95"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c>
          <w:tcPr>
            <w:tcW w:w="950" w:type="dxa"/>
            <w:tcBorders>
              <w:top w:val="nil"/>
              <w:left w:val="nil"/>
              <w:bottom w:val="single" w:sz="4" w:space="0" w:color="auto"/>
              <w:right w:val="single" w:sz="4" w:space="0" w:color="auto"/>
            </w:tcBorders>
            <w:shd w:val="clear" w:color="auto" w:fill="auto"/>
            <w:noWrap/>
            <w:vAlign w:val="center"/>
            <w:hideMark/>
          </w:tcPr>
          <w:p w14:paraId="4C07CE3D"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r>
      <w:tr w:rsidR="00D6534F" w:rsidRPr="0050404C" w14:paraId="4B3B93E1"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5D98AE4C"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c>
          <w:tcPr>
            <w:tcW w:w="826" w:type="dxa"/>
            <w:tcBorders>
              <w:top w:val="nil"/>
              <w:left w:val="nil"/>
              <w:bottom w:val="single" w:sz="4" w:space="0" w:color="auto"/>
              <w:right w:val="single" w:sz="4" w:space="0" w:color="auto"/>
            </w:tcBorders>
            <w:shd w:val="clear" w:color="auto" w:fill="auto"/>
            <w:noWrap/>
            <w:vAlign w:val="center"/>
            <w:hideMark/>
          </w:tcPr>
          <w:p w14:paraId="456394A4"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小计</w:t>
            </w:r>
          </w:p>
        </w:tc>
        <w:tc>
          <w:tcPr>
            <w:tcW w:w="1530" w:type="dxa"/>
            <w:tcBorders>
              <w:top w:val="nil"/>
              <w:left w:val="nil"/>
              <w:bottom w:val="single" w:sz="4" w:space="0" w:color="auto"/>
              <w:right w:val="single" w:sz="4" w:space="0" w:color="auto"/>
            </w:tcBorders>
            <w:shd w:val="clear" w:color="auto" w:fill="auto"/>
            <w:noWrap/>
            <w:vAlign w:val="center"/>
            <w:hideMark/>
          </w:tcPr>
          <w:p w14:paraId="184A3B29"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 20,879,746.85 </w:t>
            </w:r>
          </w:p>
        </w:tc>
        <w:tc>
          <w:tcPr>
            <w:tcW w:w="1530" w:type="dxa"/>
            <w:tcBorders>
              <w:top w:val="nil"/>
              <w:left w:val="nil"/>
              <w:bottom w:val="single" w:sz="4" w:space="0" w:color="auto"/>
              <w:right w:val="single" w:sz="4" w:space="0" w:color="auto"/>
            </w:tcBorders>
            <w:shd w:val="clear" w:color="auto" w:fill="auto"/>
            <w:noWrap/>
            <w:vAlign w:val="center"/>
            <w:hideMark/>
          </w:tcPr>
          <w:p w14:paraId="72CC56BA"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13,500,000.00 </w:t>
            </w:r>
          </w:p>
        </w:tc>
        <w:tc>
          <w:tcPr>
            <w:tcW w:w="1350" w:type="dxa"/>
            <w:tcBorders>
              <w:top w:val="nil"/>
              <w:left w:val="nil"/>
              <w:bottom w:val="single" w:sz="4" w:space="0" w:color="auto"/>
              <w:right w:val="single" w:sz="4" w:space="0" w:color="auto"/>
            </w:tcBorders>
            <w:shd w:val="clear" w:color="auto" w:fill="auto"/>
            <w:noWrap/>
            <w:vAlign w:val="center"/>
            <w:hideMark/>
          </w:tcPr>
          <w:p w14:paraId="24281EAC"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6,926,126.03 </w:t>
            </w:r>
          </w:p>
        </w:tc>
        <w:tc>
          <w:tcPr>
            <w:tcW w:w="1350" w:type="dxa"/>
            <w:tcBorders>
              <w:top w:val="nil"/>
              <w:left w:val="nil"/>
              <w:bottom w:val="single" w:sz="4" w:space="0" w:color="auto"/>
              <w:right w:val="single" w:sz="4" w:space="0" w:color="auto"/>
            </w:tcBorders>
            <w:shd w:val="clear" w:color="auto" w:fill="auto"/>
            <w:noWrap/>
            <w:vAlign w:val="center"/>
            <w:hideMark/>
          </w:tcPr>
          <w:p w14:paraId="322D8520"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114,077.00 </w:t>
            </w:r>
          </w:p>
        </w:tc>
        <w:tc>
          <w:tcPr>
            <w:tcW w:w="1530" w:type="dxa"/>
            <w:tcBorders>
              <w:top w:val="nil"/>
              <w:left w:val="nil"/>
              <w:bottom w:val="single" w:sz="4" w:space="0" w:color="auto"/>
              <w:right w:val="single" w:sz="4" w:space="0" w:color="auto"/>
            </w:tcBorders>
            <w:shd w:val="clear" w:color="auto" w:fill="auto"/>
            <w:noWrap/>
            <w:vAlign w:val="center"/>
            <w:hideMark/>
          </w:tcPr>
          <w:p w14:paraId="1758F1E5"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 20,540,203.</w:t>
            </w:r>
            <w:r w:rsidRPr="0050404C">
              <w:rPr>
                <w:rFonts w:asciiTheme="minorEastAsia" w:eastAsiaTheme="minorEastAsia" w:hAnsiTheme="minorEastAsia" w:hint="eastAsia"/>
                <w:b/>
                <w:color w:val="000000"/>
                <w:kern w:val="0"/>
                <w:sz w:val="18"/>
                <w:szCs w:val="18"/>
              </w:rPr>
              <w:t>0</w:t>
            </w:r>
            <w:r w:rsidRPr="0050404C">
              <w:rPr>
                <w:rFonts w:asciiTheme="minorEastAsia" w:eastAsiaTheme="minorEastAsia" w:hAnsiTheme="minorEastAsia"/>
                <w:b/>
                <w:color w:val="000000"/>
                <w:kern w:val="0"/>
                <w:sz w:val="18"/>
                <w:szCs w:val="18"/>
              </w:rPr>
              <w:t xml:space="preserve">3 </w:t>
            </w:r>
          </w:p>
        </w:tc>
        <w:tc>
          <w:tcPr>
            <w:tcW w:w="1170" w:type="dxa"/>
            <w:tcBorders>
              <w:top w:val="single" w:sz="4" w:space="0" w:color="auto"/>
              <w:left w:val="nil"/>
              <w:bottom w:val="single" w:sz="4" w:space="0" w:color="auto"/>
              <w:right w:val="nil"/>
            </w:tcBorders>
            <w:vAlign w:val="center"/>
          </w:tcPr>
          <w:p w14:paraId="4A44ACC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47A5AFFA"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c>
          <w:tcPr>
            <w:tcW w:w="900" w:type="dxa"/>
            <w:tcBorders>
              <w:top w:val="nil"/>
              <w:left w:val="nil"/>
              <w:bottom w:val="single" w:sz="4" w:space="0" w:color="auto"/>
              <w:right w:val="single" w:sz="4" w:space="0" w:color="auto"/>
            </w:tcBorders>
            <w:shd w:val="clear" w:color="auto" w:fill="auto"/>
            <w:noWrap/>
            <w:vAlign w:val="center"/>
            <w:hideMark/>
          </w:tcPr>
          <w:p w14:paraId="3A5CE78E"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14:paraId="192C1558"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r>
      <w:tr w:rsidR="00D6534F" w:rsidRPr="0050404C" w14:paraId="685B2DDE"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47A50072"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4</w:t>
            </w:r>
          </w:p>
        </w:tc>
        <w:tc>
          <w:tcPr>
            <w:tcW w:w="826" w:type="dxa"/>
            <w:tcBorders>
              <w:top w:val="nil"/>
              <w:left w:val="nil"/>
              <w:bottom w:val="single" w:sz="4" w:space="0" w:color="auto"/>
              <w:right w:val="single" w:sz="4" w:space="0" w:color="auto"/>
            </w:tcBorders>
            <w:shd w:val="clear" w:color="auto" w:fill="auto"/>
            <w:noWrap/>
            <w:vAlign w:val="center"/>
            <w:hideMark/>
          </w:tcPr>
          <w:p w14:paraId="200EE9DC"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陈廷丰</w:t>
            </w:r>
          </w:p>
        </w:tc>
        <w:tc>
          <w:tcPr>
            <w:tcW w:w="1530" w:type="dxa"/>
            <w:tcBorders>
              <w:top w:val="nil"/>
              <w:left w:val="nil"/>
              <w:bottom w:val="single" w:sz="4" w:space="0" w:color="auto"/>
              <w:right w:val="single" w:sz="4" w:space="0" w:color="auto"/>
            </w:tcBorders>
            <w:shd w:val="clear" w:color="auto" w:fill="auto"/>
            <w:noWrap/>
            <w:vAlign w:val="center"/>
            <w:hideMark/>
          </w:tcPr>
          <w:p w14:paraId="772E6B98"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5,053,666.00 </w:t>
            </w:r>
          </w:p>
        </w:tc>
        <w:tc>
          <w:tcPr>
            <w:tcW w:w="1530" w:type="dxa"/>
            <w:tcBorders>
              <w:top w:val="nil"/>
              <w:left w:val="nil"/>
              <w:bottom w:val="single" w:sz="4" w:space="0" w:color="auto"/>
              <w:right w:val="single" w:sz="4" w:space="0" w:color="auto"/>
            </w:tcBorders>
            <w:shd w:val="clear" w:color="auto" w:fill="auto"/>
            <w:noWrap/>
            <w:vAlign w:val="center"/>
            <w:hideMark/>
          </w:tcPr>
          <w:p w14:paraId="4AE29BC8"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nil"/>
              <w:bottom w:val="single" w:sz="4" w:space="0" w:color="auto"/>
              <w:right w:val="single" w:sz="4" w:space="0" w:color="auto"/>
            </w:tcBorders>
            <w:shd w:val="clear" w:color="auto" w:fill="auto"/>
            <w:noWrap/>
            <w:vAlign w:val="center"/>
            <w:hideMark/>
          </w:tcPr>
          <w:p w14:paraId="727F2158"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nil"/>
              <w:bottom w:val="single" w:sz="4" w:space="0" w:color="auto"/>
              <w:right w:val="single" w:sz="4" w:space="0" w:color="auto"/>
            </w:tcBorders>
            <w:shd w:val="clear" w:color="auto" w:fill="auto"/>
            <w:noWrap/>
            <w:vAlign w:val="center"/>
            <w:hideMark/>
          </w:tcPr>
          <w:p w14:paraId="122F1712"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530" w:type="dxa"/>
            <w:tcBorders>
              <w:top w:val="nil"/>
              <w:left w:val="nil"/>
              <w:bottom w:val="single" w:sz="4" w:space="0" w:color="auto"/>
              <w:right w:val="single" w:sz="4" w:space="0" w:color="auto"/>
            </w:tcBorders>
            <w:shd w:val="clear" w:color="auto" w:fill="auto"/>
            <w:noWrap/>
            <w:vAlign w:val="center"/>
            <w:hideMark/>
          </w:tcPr>
          <w:p w14:paraId="3394C8CF"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170" w:type="dxa"/>
            <w:tcBorders>
              <w:top w:val="single" w:sz="4" w:space="0" w:color="auto"/>
              <w:left w:val="nil"/>
              <w:bottom w:val="single" w:sz="4" w:space="0" w:color="auto"/>
              <w:right w:val="nil"/>
            </w:tcBorders>
            <w:vAlign w:val="center"/>
          </w:tcPr>
          <w:p w14:paraId="6DE87AAC"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0AB711A6"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待定债权</w:t>
            </w:r>
          </w:p>
        </w:tc>
        <w:tc>
          <w:tcPr>
            <w:tcW w:w="900" w:type="dxa"/>
            <w:tcBorders>
              <w:top w:val="nil"/>
              <w:left w:val="nil"/>
              <w:bottom w:val="single" w:sz="4" w:space="0" w:color="auto"/>
              <w:right w:val="single" w:sz="4" w:space="0" w:color="auto"/>
            </w:tcBorders>
            <w:shd w:val="clear" w:color="auto" w:fill="auto"/>
            <w:noWrap/>
            <w:vAlign w:val="center"/>
            <w:hideMark/>
          </w:tcPr>
          <w:p w14:paraId="2C2CB5D8"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c>
          <w:tcPr>
            <w:tcW w:w="950" w:type="dxa"/>
            <w:tcBorders>
              <w:top w:val="nil"/>
              <w:left w:val="nil"/>
              <w:bottom w:val="single" w:sz="4" w:space="0" w:color="auto"/>
              <w:right w:val="single" w:sz="4" w:space="0" w:color="auto"/>
            </w:tcBorders>
            <w:shd w:val="clear" w:color="auto" w:fill="auto"/>
            <w:noWrap/>
            <w:vAlign w:val="center"/>
            <w:hideMark/>
          </w:tcPr>
          <w:p w14:paraId="4A48DD36"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r>
      <w:tr w:rsidR="00D6534F" w:rsidRPr="0050404C" w14:paraId="21717685"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0CFB81E8"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5</w:t>
            </w:r>
          </w:p>
        </w:tc>
        <w:tc>
          <w:tcPr>
            <w:tcW w:w="826" w:type="dxa"/>
            <w:tcBorders>
              <w:top w:val="nil"/>
              <w:left w:val="nil"/>
              <w:bottom w:val="single" w:sz="4" w:space="0" w:color="auto"/>
              <w:right w:val="single" w:sz="4" w:space="0" w:color="auto"/>
            </w:tcBorders>
            <w:shd w:val="clear" w:color="auto" w:fill="auto"/>
            <w:noWrap/>
            <w:vAlign w:val="center"/>
            <w:hideMark/>
          </w:tcPr>
          <w:p w14:paraId="27B3561C"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黄永滔</w:t>
            </w:r>
          </w:p>
        </w:tc>
        <w:tc>
          <w:tcPr>
            <w:tcW w:w="1530" w:type="dxa"/>
            <w:tcBorders>
              <w:top w:val="nil"/>
              <w:left w:val="nil"/>
              <w:bottom w:val="single" w:sz="4" w:space="0" w:color="auto"/>
              <w:right w:val="single" w:sz="4" w:space="0" w:color="auto"/>
            </w:tcBorders>
            <w:shd w:val="clear" w:color="auto" w:fill="auto"/>
            <w:noWrap/>
            <w:vAlign w:val="center"/>
            <w:hideMark/>
          </w:tcPr>
          <w:p w14:paraId="25FB25D3"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15,261,917.81 </w:t>
            </w:r>
          </w:p>
        </w:tc>
        <w:tc>
          <w:tcPr>
            <w:tcW w:w="1530" w:type="dxa"/>
            <w:tcBorders>
              <w:top w:val="nil"/>
              <w:left w:val="nil"/>
              <w:bottom w:val="single" w:sz="4" w:space="0" w:color="auto"/>
              <w:right w:val="single" w:sz="4" w:space="0" w:color="auto"/>
            </w:tcBorders>
            <w:shd w:val="clear" w:color="auto" w:fill="auto"/>
            <w:noWrap/>
            <w:vAlign w:val="center"/>
            <w:hideMark/>
          </w:tcPr>
          <w:p w14:paraId="2EE6C53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hint="eastAsia"/>
                <w:color w:val="000000"/>
                <w:kern w:val="0"/>
                <w:sz w:val="18"/>
                <w:szCs w:val="18"/>
              </w:rPr>
              <w:t>-</w:t>
            </w:r>
          </w:p>
        </w:tc>
        <w:tc>
          <w:tcPr>
            <w:tcW w:w="1350" w:type="dxa"/>
            <w:tcBorders>
              <w:top w:val="nil"/>
              <w:left w:val="nil"/>
              <w:bottom w:val="single" w:sz="4" w:space="0" w:color="auto"/>
              <w:right w:val="single" w:sz="4" w:space="0" w:color="auto"/>
            </w:tcBorders>
            <w:shd w:val="clear" w:color="auto" w:fill="auto"/>
            <w:noWrap/>
            <w:vAlign w:val="center"/>
            <w:hideMark/>
          </w:tcPr>
          <w:p w14:paraId="66291709"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nil"/>
              <w:bottom w:val="single" w:sz="4" w:space="0" w:color="auto"/>
              <w:right w:val="single" w:sz="4" w:space="0" w:color="auto"/>
            </w:tcBorders>
            <w:shd w:val="clear" w:color="auto" w:fill="auto"/>
            <w:noWrap/>
            <w:vAlign w:val="center"/>
            <w:hideMark/>
          </w:tcPr>
          <w:p w14:paraId="5165B3B9"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530" w:type="dxa"/>
            <w:tcBorders>
              <w:top w:val="nil"/>
              <w:left w:val="nil"/>
              <w:bottom w:val="single" w:sz="4" w:space="0" w:color="auto"/>
              <w:right w:val="single" w:sz="4" w:space="0" w:color="auto"/>
            </w:tcBorders>
            <w:shd w:val="clear" w:color="auto" w:fill="auto"/>
            <w:noWrap/>
            <w:vAlign w:val="center"/>
            <w:hideMark/>
          </w:tcPr>
          <w:p w14:paraId="45AC98EC"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w:t>
            </w:r>
            <w:r w:rsidRPr="0050404C">
              <w:rPr>
                <w:rFonts w:asciiTheme="minorEastAsia" w:eastAsiaTheme="minorEastAsia" w:hAnsiTheme="minorEastAsia" w:hint="eastAsia"/>
                <w:color w:val="000000"/>
                <w:kern w:val="0"/>
                <w:sz w:val="18"/>
                <w:szCs w:val="18"/>
              </w:rPr>
              <w:t>-</w:t>
            </w:r>
          </w:p>
        </w:tc>
        <w:tc>
          <w:tcPr>
            <w:tcW w:w="1170" w:type="dxa"/>
            <w:tcBorders>
              <w:top w:val="single" w:sz="4" w:space="0" w:color="auto"/>
              <w:left w:val="nil"/>
              <w:bottom w:val="single" w:sz="4" w:space="0" w:color="auto"/>
              <w:right w:val="nil"/>
            </w:tcBorders>
            <w:vAlign w:val="center"/>
          </w:tcPr>
          <w:p w14:paraId="097371F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2CE827F0"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待定债权</w:t>
            </w:r>
          </w:p>
        </w:tc>
        <w:tc>
          <w:tcPr>
            <w:tcW w:w="900" w:type="dxa"/>
            <w:tcBorders>
              <w:top w:val="nil"/>
              <w:left w:val="nil"/>
              <w:bottom w:val="single" w:sz="4" w:space="0" w:color="auto"/>
              <w:right w:val="single" w:sz="4" w:space="0" w:color="auto"/>
            </w:tcBorders>
            <w:shd w:val="clear" w:color="auto" w:fill="auto"/>
            <w:noWrap/>
            <w:vAlign w:val="center"/>
            <w:hideMark/>
          </w:tcPr>
          <w:p w14:paraId="6150EACB"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c>
          <w:tcPr>
            <w:tcW w:w="950" w:type="dxa"/>
            <w:tcBorders>
              <w:top w:val="nil"/>
              <w:left w:val="nil"/>
              <w:bottom w:val="single" w:sz="4" w:space="0" w:color="auto"/>
              <w:right w:val="single" w:sz="4" w:space="0" w:color="auto"/>
            </w:tcBorders>
            <w:shd w:val="clear" w:color="auto" w:fill="auto"/>
            <w:noWrap/>
            <w:vAlign w:val="center"/>
            <w:hideMark/>
          </w:tcPr>
          <w:p w14:paraId="784C47F5"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r>
      <w:tr w:rsidR="00D6534F" w:rsidRPr="0050404C" w14:paraId="112B6EA8"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18DC912E"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w:t>
            </w:r>
          </w:p>
        </w:tc>
        <w:tc>
          <w:tcPr>
            <w:tcW w:w="826" w:type="dxa"/>
            <w:tcBorders>
              <w:top w:val="nil"/>
              <w:left w:val="nil"/>
              <w:bottom w:val="single" w:sz="4" w:space="0" w:color="auto"/>
              <w:right w:val="single" w:sz="4" w:space="0" w:color="auto"/>
            </w:tcBorders>
            <w:shd w:val="clear" w:color="auto" w:fill="auto"/>
            <w:noWrap/>
            <w:vAlign w:val="center"/>
            <w:hideMark/>
          </w:tcPr>
          <w:p w14:paraId="60BA426A"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小计</w:t>
            </w:r>
          </w:p>
        </w:tc>
        <w:tc>
          <w:tcPr>
            <w:tcW w:w="1530" w:type="dxa"/>
            <w:tcBorders>
              <w:top w:val="nil"/>
              <w:left w:val="nil"/>
              <w:bottom w:val="single" w:sz="4" w:space="0" w:color="auto"/>
              <w:right w:val="single" w:sz="4" w:space="0" w:color="auto"/>
            </w:tcBorders>
            <w:shd w:val="clear" w:color="auto" w:fill="auto"/>
            <w:noWrap/>
            <w:vAlign w:val="center"/>
            <w:hideMark/>
          </w:tcPr>
          <w:p w14:paraId="6492B8E4"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 20,315,583.81 </w:t>
            </w:r>
          </w:p>
        </w:tc>
        <w:tc>
          <w:tcPr>
            <w:tcW w:w="1530" w:type="dxa"/>
            <w:tcBorders>
              <w:top w:val="nil"/>
              <w:left w:val="nil"/>
              <w:bottom w:val="single" w:sz="4" w:space="0" w:color="auto"/>
              <w:right w:val="single" w:sz="4" w:space="0" w:color="auto"/>
            </w:tcBorders>
            <w:shd w:val="clear" w:color="auto" w:fill="auto"/>
            <w:noWrap/>
            <w:vAlign w:val="center"/>
            <w:hideMark/>
          </w:tcPr>
          <w:p w14:paraId="6BCC019B"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hint="eastAsia"/>
                <w:b/>
                <w:color w:val="000000"/>
                <w:kern w:val="0"/>
                <w:sz w:val="18"/>
                <w:szCs w:val="18"/>
              </w:rPr>
              <w:t>-</w:t>
            </w:r>
          </w:p>
        </w:tc>
        <w:tc>
          <w:tcPr>
            <w:tcW w:w="1350" w:type="dxa"/>
            <w:tcBorders>
              <w:top w:val="nil"/>
              <w:left w:val="nil"/>
              <w:bottom w:val="single" w:sz="4" w:space="0" w:color="auto"/>
              <w:right w:val="single" w:sz="4" w:space="0" w:color="auto"/>
            </w:tcBorders>
            <w:shd w:val="clear" w:color="auto" w:fill="auto"/>
            <w:noWrap/>
            <w:vAlign w:val="center"/>
            <w:hideMark/>
          </w:tcPr>
          <w:p w14:paraId="0C667E0A"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       -   </w:t>
            </w:r>
          </w:p>
        </w:tc>
        <w:tc>
          <w:tcPr>
            <w:tcW w:w="1350" w:type="dxa"/>
            <w:tcBorders>
              <w:top w:val="nil"/>
              <w:left w:val="nil"/>
              <w:bottom w:val="single" w:sz="4" w:space="0" w:color="auto"/>
              <w:right w:val="single" w:sz="4" w:space="0" w:color="auto"/>
            </w:tcBorders>
            <w:shd w:val="clear" w:color="auto" w:fill="auto"/>
            <w:noWrap/>
            <w:vAlign w:val="center"/>
            <w:hideMark/>
          </w:tcPr>
          <w:p w14:paraId="52FDFA4E"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   -   </w:t>
            </w:r>
          </w:p>
        </w:tc>
        <w:tc>
          <w:tcPr>
            <w:tcW w:w="1530" w:type="dxa"/>
            <w:tcBorders>
              <w:top w:val="nil"/>
              <w:left w:val="nil"/>
              <w:bottom w:val="single" w:sz="4" w:space="0" w:color="auto"/>
              <w:right w:val="single" w:sz="4" w:space="0" w:color="auto"/>
            </w:tcBorders>
            <w:shd w:val="clear" w:color="auto" w:fill="auto"/>
            <w:noWrap/>
            <w:vAlign w:val="center"/>
            <w:hideMark/>
          </w:tcPr>
          <w:p w14:paraId="747876C6"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 </w:t>
            </w:r>
            <w:r w:rsidRPr="0050404C">
              <w:rPr>
                <w:rFonts w:asciiTheme="minorEastAsia" w:eastAsiaTheme="minorEastAsia" w:hAnsiTheme="minorEastAsia" w:hint="eastAsia"/>
                <w:b/>
                <w:color w:val="000000"/>
                <w:kern w:val="0"/>
                <w:sz w:val="18"/>
                <w:szCs w:val="18"/>
              </w:rPr>
              <w:t>-</w:t>
            </w:r>
          </w:p>
        </w:tc>
        <w:tc>
          <w:tcPr>
            <w:tcW w:w="1170" w:type="dxa"/>
            <w:tcBorders>
              <w:top w:val="single" w:sz="4" w:space="0" w:color="auto"/>
              <w:left w:val="nil"/>
              <w:bottom w:val="single" w:sz="4" w:space="0" w:color="auto"/>
              <w:right w:val="nil"/>
            </w:tcBorders>
            <w:vAlign w:val="center"/>
          </w:tcPr>
          <w:p w14:paraId="4C716E1C"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3699FC78"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c>
          <w:tcPr>
            <w:tcW w:w="900" w:type="dxa"/>
            <w:tcBorders>
              <w:top w:val="nil"/>
              <w:left w:val="nil"/>
              <w:bottom w:val="single" w:sz="4" w:space="0" w:color="auto"/>
              <w:right w:val="single" w:sz="4" w:space="0" w:color="auto"/>
            </w:tcBorders>
            <w:shd w:val="clear" w:color="auto" w:fill="auto"/>
            <w:noWrap/>
            <w:vAlign w:val="center"/>
            <w:hideMark/>
          </w:tcPr>
          <w:p w14:paraId="4C774855"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14:paraId="171EBC53"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r>
      <w:tr w:rsidR="00D6534F" w:rsidRPr="0050404C" w14:paraId="08D7BCEA"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4A40E6D7"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6</w:t>
            </w:r>
          </w:p>
        </w:tc>
        <w:tc>
          <w:tcPr>
            <w:tcW w:w="826" w:type="dxa"/>
            <w:tcBorders>
              <w:top w:val="nil"/>
              <w:left w:val="nil"/>
              <w:bottom w:val="single" w:sz="4" w:space="0" w:color="auto"/>
              <w:right w:val="single" w:sz="4" w:space="0" w:color="auto"/>
            </w:tcBorders>
            <w:shd w:val="clear" w:color="auto" w:fill="auto"/>
            <w:noWrap/>
            <w:vAlign w:val="center"/>
            <w:hideMark/>
          </w:tcPr>
          <w:p w14:paraId="36E4AEB5"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何燕华</w:t>
            </w:r>
          </w:p>
        </w:tc>
        <w:tc>
          <w:tcPr>
            <w:tcW w:w="1530" w:type="dxa"/>
            <w:tcBorders>
              <w:top w:val="nil"/>
              <w:left w:val="nil"/>
              <w:bottom w:val="single" w:sz="4" w:space="0" w:color="auto"/>
              <w:right w:val="single" w:sz="4" w:space="0" w:color="auto"/>
            </w:tcBorders>
            <w:shd w:val="clear" w:color="auto" w:fill="auto"/>
            <w:noWrap/>
            <w:vAlign w:val="center"/>
            <w:hideMark/>
          </w:tcPr>
          <w:p w14:paraId="7E0F1F1B"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69,125.00 </w:t>
            </w:r>
          </w:p>
        </w:tc>
        <w:tc>
          <w:tcPr>
            <w:tcW w:w="1530" w:type="dxa"/>
            <w:tcBorders>
              <w:top w:val="nil"/>
              <w:left w:val="nil"/>
              <w:bottom w:val="single" w:sz="4" w:space="0" w:color="auto"/>
              <w:right w:val="single" w:sz="4" w:space="0" w:color="auto"/>
            </w:tcBorders>
            <w:shd w:val="clear" w:color="auto" w:fill="auto"/>
            <w:noWrap/>
            <w:vAlign w:val="center"/>
            <w:hideMark/>
          </w:tcPr>
          <w:p w14:paraId="25294858"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nil"/>
              <w:bottom w:val="single" w:sz="4" w:space="0" w:color="auto"/>
              <w:right w:val="single" w:sz="4" w:space="0" w:color="auto"/>
            </w:tcBorders>
            <w:shd w:val="clear" w:color="auto" w:fill="auto"/>
            <w:noWrap/>
            <w:vAlign w:val="center"/>
            <w:hideMark/>
          </w:tcPr>
          <w:p w14:paraId="3BC9236C"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nil"/>
              <w:bottom w:val="single" w:sz="4" w:space="0" w:color="auto"/>
              <w:right w:val="single" w:sz="4" w:space="0" w:color="auto"/>
            </w:tcBorders>
            <w:shd w:val="clear" w:color="auto" w:fill="auto"/>
            <w:noWrap/>
            <w:vAlign w:val="center"/>
            <w:hideMark/>
          </w:tcPr>
          <w:p w14:paraId="2E60BCB4"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530" w:type="dxa"/>
            <w:tcBorders>
              <w:top w:val="nil"/>
              <w:left w:val="nil"/>
              <w:bottom w:val="single" w:sz="4" w:space="0" w:color="auto"/>
              <w:right w:val="single" w:sz="4" w:space="0" w:color="auto"/>
            </w:tcBorders>
            <w:shd w:val="clear" w:color="auto" w:fill="auto"/>
            <w:noWrap/>
            <w:vAlign w:val="center"/>
            <w:hideMark/>
          </w:tcPr>
          <w:p w14:paraId="50341065"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170" w:type="dxa"/>
            <w:tcBorders>
              <w:top w:val="single" w:sz="4" w:space="0" w:color="auto"/>
              <w:left w:val="nil"/>
              <w:bottom w:val="single" w:sz="4" w:space="0" w:color="auto"/>
              <w:right w:val="nil"/>
            </w:tcBorders>
            <w:vAlign w:val="center"/>
          </w:tcPr>
          <w:p w14:paraId="7865C5B5"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69,125.00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735EBAD8"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hint="eastAsia"/>
                <w:color w:val="000000"/>
                <w:kern w:val="0"/>
                <w:sz w:val="18"/>
                <w:szCs w:val="18"/>
              </w:rPr>
              <w:t>迟延履行利息</w:t>
            </w:r>
          </w:p>
        </w:tc>
        <w:tc>
          <w:tcPr>
            <w:tcW w:w="900" w:type="dxa"/>
            <w:tcBorders>
              <w:top w:val="nil"/>
              <w:left w:val="nil"/>
              <w:bottom w:val="single" w:sz="4" w:space="0" w:color="auto"/>
              <w:right w:val="single" w:sz="4" w:space="0" w:color="auto"/>
            </w:tcBorders>
            <w:shd w:val="clear" w:color="auto" w:fill="auto"/>
            <w:noWrap/>
            <w:vAlign w:val="center"/>
            <w:hideMark/>
          </w:tcPr>
          <w:p w14:paraId="1432E7AF"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c>
          <w:tcPr>
            <w:tcW w:w="950" w:type="dxa"/>
            <w:tcBorders>
              <w:top w:val="nil"/>
              <w:left w:val="nil"/>
              <w:bottom w:val="single" w:sz="4" w:space="0" w:color="auto"/>
              <w:right w:val="single" w:sz="4" w:space="0" w:color="auto"/>
            </w:tcBorders>
            <w:shd w:val="clear" w:color="auto" w:fill="auto"/>
            <w:noWrap/>
            <w:vAlign w:val="center"/>
            <w:hideMark/>
          </w:tcPr>
          <w:p w14:paraId="7FEED7BF"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r>
      <w:tr w:rsidR="00D6534F" w:rsidRPr="0050404C" w14:paraId="52D8CB9D"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577720AB"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7</w:t>
            </w:r>
          </w:p>
        </w:tc>
        <w:tc>
          <w:tcPr>
            <w:tcW w:w="826" w:type="dxa"/>
            <w:tcBorders>
              <w:top w:val="nil"/>
              <w:left w:val="nil"/>
              <w:bottom w:val="single" w:sz="4" w:space="0" w:color="auto"/>
              <w:right w:val="single" w:sz="4" w:space="0" w:color="auto"/>
            </w:tcBorders>
            <w:shd w:val="clear" w:color="auto" w:fill="auto"/>
            <w:noWrap/>
            <w:vAlign w:val="center"/>
            <w:hideMark/>
          </w:tcPr>
          <w:p w14:paraId="102D1AC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林育彬</w:t>
            </w:r>
          </w:p>
        </w:tc>
        <w:tc>
          <w:tcPr>
            <w:tcW w:w="1530" w:type="dxa"/>
            <w:tcBorders>
              <w:top w:val="nil"/>
              <w:left w:val="nil"/>
              <w:bottom w:val="single" w:sz="4" w:space="0" w:color="auto"/>
              <w:right w:val="single" w:sz="4" w:space="0" w:color="auto"/>
            </w:tcBorders>
            <w:shd w:val="clear" w:color="auto" w:fill="auto"/>
            <w:noWrap/>
            <w:vAlign w:val="center"/>
            <w:hideMark/>
          </w:tcPr>
          <w:p w14:paraId="2D69629E"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hint="eastAsia"/>
                <w:color w:val="000000"/>
                <w:kern w:val="0"/>
                <w:sz w:val="18"/>
                <w:szCs w:val="18"/>
              </w:rPr>
              <w:t>-</w:t>
            </w:r>
          </w:p>
        </w:tc>
        <w:tc>
          <w:tcPr>
            <w:tcW w:w="1530" w:type="dxa"/>
            <w:tcBorders>
              <w:top w:val="nil"/>
              <w:left w:val="nil"/>
              <w:bottom w:val="single" w:sz="4" w:space="0" w:color="auto"/>
              <w:right w:val="single" w:sz="4" w:space="0" w:color="auto"/>
            </w:tcBorders>
            <w:shd w:val="clear" w:color="auto" w:fill="auto"/>
            <w:noWrap/>
            <w:vAlign w:val="center"/>
            <w:hideMark/>
          </w:tcPr>
          <w:p w14:paraId="3EF919D2"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nil"/>
              <w:bottom w:val="single" w:sz="4" w:space="0" w:color="auto"/>
              <w:right w:val="single" w:sz="4" w:space="0" w:color="auto"/>
            </w:tcBorders>
            <w:shd w:val="clear" w:color="auto" w:fill="auto"/>
            <w:noWrap/>
            <w:vAlign w:val="center"/>
            <w:hideMark/>
          </w:tcPr>
          <w:p w14:paraId="75605FA2"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w:t>
            </w:r>
          </w:p>
        </w:tc>
        <w:tc>
          <w:tcPr>
            <w:tcW w:w="1350" w:type="dxa"/>
            <w:tcBorders>
              <w:top w:val="nil"/>
              <w:left w:val="nil"/>
              <w:bottom w:val="single" w:sz="4" w:space="0" w:color="auto"/>
              <w:right w:val="single" w:sz="4" w:space="0" w:color="auto"/>
            </w:tcBorders>
            <w:shd w:val="clear" w:color="auto" w:fill="auto"/>
            <w:noWrap/>
            <w:vAlign w:val="center"/>
            <w:hideMark/>
          </w:tcPr>
          <w:p w14:paraId="0D41BB99"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530" w:type="dxa"/>
            <w:tcBorders>
              <w:top w:val="nil"/>
              <w:left w:val="nil"/>
              <w:bottom w:val="single" w:sz="4" w:space="0" w:color="auto"/>
              <w:right w:val="single" w:sz="4" w:space="0" w:color="auto"/>
            </w:tcBorders>
            <w:shd w:val="clear" w:color="auto" w:fill="auto"/>
            <w:noWrap/>
            <w:vAlign w:val="center"/>
            <w:hideMark/>
          </w:tcPr>
          <w:p w14:paraId="2DC685DE"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w:t>
            </w:r>
          </w:p>
        </w:tc>
        <w:tc>
          <w:tcPr>
            <w:tcW w:w="1170" w:type="dxa"/>
            <w:tcBorders>
              <w:top w:val="single" w:sz="4" w:space="0" w:color="auto"/>
              <w:left w:val="nil"/>
              <w:bottom w:val="single" w:sz="4" w:space="0" w:color="auto"/>
              <w:right w:val="nil"/>
            </w:tcBorders>
            <w:vAlign w:val="center"/>
          </w:tcPr>
          <w:p w14:paraId="340A72B6"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189,262.50 </w:t>
            </w:r>
          </w:p>
        </w:tc>
        <w:tc>
          <w:tcPr>
            <w:tcW w:w="1350" w:type="dxa"/>
            <w:tcBorders>
              <w:top w:val="nil"/>
              <w:left w:val="single" w:sz="4" w:space="0" w:color="auto"/>
              <w:bottom w:val="single" w:sz="4" w:space="0" w:color="auto"/>
              <w:right w:val="single" w:sz="4" w:space="0" w:color="auto"/>
            </w:tcBorders>
            <w:shd w:val="clear" w:color="auto" w:fill="auto"/>
            <w:noWrap/>
            <w:hideMark/>
          </w:tcPr>
          <w:p w14:paraId="0FDF7A86"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hint="eastAsia"/>
                <w:color w:val="000000"/>
                <w:kern w:val="0"/>
                <w:sz w:val="18"/>
                <w:szCs w:val="18"/>
              </w:rPr>
              <w:t>迟延履行利息</w:t>
            </w:r>
          </w:p>
        </w:tc>
        <w:tc>
          <w:tcPr>
            <w:tcW w:w="900" w:type="dxa"/>
            <w:tcBorders>
              <w:top w:val="nil"/>
              <w:left w:val="nil"/>
              <w:bottom w:val="single" w:sz="4" w:space="0" w:color="auto"/>
              <w:right w:val="single" w:sz="4" w:space="0" w:color="auto"/>
            </w:tcBorders>
            <w:shd w:val="clear" w:color="auto" w:fill="auto"/>
            <w:noWrap/>
            <w:vAlign w:val="center"/>
            <w:hideMark/>
          </w:tcPr>
          <w:p w14:paraId="0B6C2852"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c>
          <w:tcPr>
            <w:tcW w:w="950" w:type="dxa"/>
            <w:tcBorders>
              <w:top w:val="nil"/>
              <w:left w:val="nil"/>
              <w:bottom w:val="single" w:sz="4" w:space="0" w:color="auto"/>
              <w:right w:val="single" w:sz="4" w:space="0" w:color="auto"/>
            </w:tcBorders>
            <w:shd w:val="clear" w:color="auto" w:fill="auto"/>
            <w:noWrap/>
            <w:vAlign w:val="center"/>
            <w:hideMark/>
          </w:tcPr>
          <w:p w14:paraId="4F5389C3"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r>
      <w:tr w:rsidR="00D6534F" w:rsidRPr="0050404C" w14:paraId="13E94330"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620834B4"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8</w:t>
            </w:r>
          </w:p>
        </w:tc>
        <w:tc>
          <w:tcPr>
            <w:tcW w:w="826" w:type="dxa"/>
            <w:tcBorders>
              <w:top w:val="nil"/>
              <w:left w:val="nil"/>
              <w:bottom w:val="single" w:sz="4" w:space="0" w:color="auto"/>
              <w:right w:val="single" w:sz="4" w:space="0" w:color="auto"/>
            </w:tcBorders>
            <w:shd w:val="clear" w:color="auto" w:fill="auto"/>
            <w:noWrap/>
            <w:vAlign w:val="center"/>
            <w:hideMark/>
          </w:tcPr>
          <w:p w14:paraId="6FDAC217"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梁泽汉</w:t>
            </w:r>
          </w:p>
        </w:tc>
        <w:tc>
          <w:tcPr>
            <w:tcW w:w="1530" w:type="dxa"/>
            <w:tcBorders>
              <w:top w:val="nil"/>
              <w:left w:val="nil"/>
              <w:bottom w:val="single" w:sz="4" w:space="0" w:color="auto"/>
              <w:right w:val="single" w:sz="4" w:space="0" w:color="auto"/>
            </w:tcBorders>
            <w:shd w:val="clear" w:color="auto" w:fill="auto"/>
            <w:noWrap/>
            <w:vAlign w:val="center"/>
            <w:hideMark/>
          </w:tcPr>
          <w:p w14:paraId="3654F15B"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133,875.00 </w:t>
            </w:r>
          </w:p>
        </w:tc>
        <w:tc>
          <w:tcPr>
            <w:tcW w:w="1530" w:type="dxa"/>
            <w:tcBorders>
              <w:top w:val="nil"/>
              <w:left w:val="nil"/>
              <w:bottom w:val="single" w:sz="4" w:space="0" w:color="auto"/>
              <w:right w:val="single" w:sz="4" w:space="0" w:color="auto"/>
            </w:tcBorders>
            <w:shd w:val="clear" w:color="auto" w:fill="auto"/>
            <w:noWrap/>
            <w:vAlign w:val="center"/>
            <w:hideMark/>
          </w:tcPr>
          <w:p w14:paraId="73BBF36B"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nil"/>
              <w:bottom w:val="single" w:sz="4" w:space="0" w:color="auto"/>
              <w:right w:val="single" w:sz="4" w:space="0" w:color="auto"/>
            </w:tcBorders>
            <w:shd w:val="clear" w:color="auto" w:fill="auto"/>
            <w:noWrap/>
            <w:vAlign w:val="center"/>
            <w:hideMark/>
          </w:tcPr>
          <w:p w14:paraId="0C763507"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w:t>
            </w:r>
          </w:p>
        </w:tc>
        <w:tc>
          <w:tcPr>
            <w:tcW w:w="1350" w:type="dxa"/>
            <w:tcBorders>
              <w:top w:val="nil"/>
              <w:left w:val="nil"/>
              <w:bottom w:val="single" w:sz="4" w:space="0" w:color="auto"/>
              <w:right w:val="single" w:sz="4" w:space="0" w:color="auto"/>
            </w:tcBorders>
            <w:shd w:val="clear" w:color="auto" w:fill="auto"/>
            <w:noWrap/>
            <w:vAlign w:val="center"/>
            <w:hideMark/>
          </w:tcPr>
          <w:p w14:paraId="2DDD096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530" w:type="dxa"/>
            <w:tcBorders>
              <w:top w:val="nil"/>
              <w:left w:val="nil"/>
              <w:bottom w:val="single" w:sz="4" w:space="0" w:color="auto"/>
              <w:right w:val="single" w:sz="4" w:space="0" w:color="auto"/>
            </w:tcBorders>
            <w:shd w:val="clear" w:color="auto" w:fill="auto"/>
            <w:noWrap/>
            <w:vAlign w:val="center"/>
            <w:hideMark/>
          </w:tcPr>
          <w:p w14:paraId="13BEE002"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w:t>
            </w:r>
          </w:p>
        </w:tc>
        <w:tc>
          <w:tcPr>
            <w:tcW w:w="1170" w:type="dxa"/>
            <w:tcBorders>
              <w:top w:val="single" w:sz="4" w:space="0" w:color="auto"/>
              <w:left w:val="nil"/>
              <w:bottom w:val="single" w:sz="4" w:space="0" w:color="auto"/>
              <w:right w:val="nil"/>
            </w:tcBorders>
            <w:vAlign w:val="center"/>
          </w:tcPr>
          <w:p w14:paraId="1CA45E8E"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133,875.00 </w:t>
            </w:r>
          </w:p>
        </w:tc>
        <w:tc>
          <w:tcPr>
            <w:tcW w:w="1350" w:type="dxa"/>
            <w:tcBorders>
              <w:top w:val="nil"/>
              <w:left w:val="single" w:sz="4" w:space="0" w:color="auto"/>
              <w:bottom w:val="single" w:sz="4" w:space="0" w:color="auto"/>
              <w:right w:val="single" w:sz="4" w:space="0" w:color="auto"/>
            </w:tcBorders>
            <w:shd w:val="clear" w:color="auto" w:fill="auto"/>
            <w:noWrap/>
            <w:hideMark/>
          </w:tcPr>
          <w:p w14:paraId="68CC3F68"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hint="eastAsia"/>
                <w:color w:val="000000"/>
                <w:kern w:val="0"/>
                <w:sz w:val="18"/>
                <w:szCs w:val="18"/>
              </w:rPr>
              <w:t>迟延履行利息</w:t>
            </w:r>
          </w:p>
        </w:tc>
        <w:tc>
          <w:tcPr>
            <w:tcW w:w="900" w:type="dxa"/>
            <w:tcBorders>
              <w:top w:val="nil"/>
              <w:left w:val="nil"/>
              <w:bottom w:val="single" w:sz="4" w:space="0" w:color="auto"/>
              <w:right w:val="single" w:sz="4" w:space="0" w:color="auto"/>
            </w:tcBorders>
            <w:shd w:val="clear" w:color="auto" w:fill="auto"/>
            <w:noWrap/>
            <w:vAlign w:val="center"/>
            <w:hideMark/>
          </w:tcPr>
          <w:p w14:paraId="7EA9601B"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c>
          <w:tcPr>
            <w:tcW w:w="950" w:type="dxa"/>
            <w:tcBorders>
              <w:top w:val="nil"/>
              <w:left w:val="nil"/>
              <w:bottom w:val="single" w:sz="4" w:space="0" w:color="auto"/>
              <w:right w:val="single" w:sz="4" w:space="0" w:color="auto"/>
            </w:tcBorders>
            <w:shd w:val="clear" w:color="auto" w:fill="auto"/>
            <w:noWrap/>
            <w:vAlign w:val="center"/>
            <w:hideMark/>
          </w:tcPr>
          <w:p w14:paraId="42D8D828"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r>
      <w:tr w:rsidR="00D6534F" w:rsidRPr="0050404C" w14:paraId="3F783C37"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76C334F1"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c>
          <w:tcPr>
            <w:tcW w:w="826" w:type="dxa"/>
            <w:tcBorders>
              <w:top w:val="nil"/>
              <w:left w:val="nil"/>
              <w:bottom w:val="single" w:sz="4" w:space="0" w:color="auto"/>
              <w:right w:val="single" w:sz="4" w:space="0" w:color="auto"/>
            </w:tcBorders>
            <w:shd w:val="clear" w:color="auto" w:fill="auto"/>
            <w:noWrap/>
            <w:vAlign w:val="center"/>
            <w:hideMark/>
          </w:tcPr>
          <w:p w14:paraId="39D2FDB5"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小计</w:t>
            </w:r>
          </w:p>
        </w:tc>
        <w:tc>
          <w:tcPr>
            <w:tcW w:w="1530" w:type="dxa"/>
            <w:tcBorders>
              <w:top w:val="nil"/>
              <w:left w:val="nil"/>
              <w:bottom w:val="single" w:sz="4" w:space="0" w:color="auto"/>
              <w:right w:val="single" w:sz="4" w:space="0" w:color="auto"/>
            </w:tcBorders>
            <w:shd w:val="clear" w:color="auto" w:fill="auto"/>
            <w:noWrap/>
            <w:vAlign w:val="center"/>
            <w:hideMark/>
          </w:tcPr>
          <w:p w14:paraId="6E5BE1D7"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203,000.00</w:t>
            </w:r>
          </w:p>
        </w:tc>
        <w:tc>
          <w:tcPr>
            <w:tcW w:w="1530" w:type="dxa"/>
            <w:tcBorders>
              <w:top w:val="nil"/>
              <w:left w:val="nil"/>
              <w:bottom w:val="single" w:sz="4" w:space="0" w:color="auto"/>
              <w:right w:val="single" w:sz="4" w:space="0" w:color="auto"/>
            </w:tcBorders>
            <w:shd w:val="clear" w:color="auto" w:fill="auto"/>
            <w:noWrap/>
            <w:vAlign w:val="center"/>
            <w:hideMark/>
          </w:tcPr>
          <w:p w14:paraId="55F3F42F"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            -   </w:t>
            </w:r>
          </w:p>
        </w:tc>
        <w:tc>
          <w:tcPr>
            <w:tcW w:w="1350" w:type="dxa"/>
            <w:tcBorders>
              <w:top w:val="nil"/>
              <w:left w:val="nil"/>
              <w:bottom w:val="single" w:sz="4" w:space="0" w:color="auto"/>
              <w:right w:val="single" w:sz="4" w:space="0" w:color="auto"/>
            </w:tcBorders>
            <w:shd w:val="clear" w:color="auto" w:fill="auto"/>
            <w:noWrap/>
            <w:vAlign w:val="center"/>
            <w:hideMark/>
          </w:tcPr>
          <w:p w14:paraId="0AEB8B51"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          -   </w:t>
            </w:r>
          </w:p>
        </w:tc>
        <w:tc>
          <w:tcPr>
            <w:tcW w:w="1350" w:type="dxa"/>
            <w:tcBorders>
              <w:top w:val="nil"/>
              <w:left w:val="nil"/>
              <w:bottom w:val="single" w:sz="4" w:space="0" w:color="auto"/>
              <w:right w:val="single" w:sz="4" w:space="0" w:color="auto"/>
            </w:tcBorders>
            <w:shd w:val="clear" w:color="auto" w:fill="auto"/>
            <w:noWrap/>
            <w:vAlign w:val="center"/>
            <w:hideMark/>
          </w:tcPr>
          <w:p w14:paraId="094C468B"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        -   </w:t>
            </w:r>
          </w:p>
        </w:tc>
        <w:tc>
          <w:tcPr>
            <w:tcW w:w="1530" w:type="dxa"/>
            <w:tcBorders>
              <w:top w:val="nil"/>
              <w:left w:val="nil"/>
              <w:bottom w:val="single" w:sz="4" w:space="0" w:color="auto"/>
              <w:right w:val="single" w:sz="4" w:space="0" w:color="auto"/>
            </w:tcBorders>
            <w:shd w:val="clear" w:color="auto" w:fill="auto"/>
            <w:noWrap/>
            <w:vAlign w:val="center"/>
            <w:hideMark/>
          </w:tcPr>
          <w:p w14:paraId="4E3B0B1A"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color w:val="000000"/>
                <w:kern w:val="0"/>
                <w:sz w:val="18"/>
                <w:szCs w:val="18"/>
              </w:rPr>
              <w:t xml:space="preserve">           -</w:t>
            </w:r>
          </w:p>
        </w:tc>
        <w:tc>
          <w:tcPr>
            <w:tcW w:w="1170" w:type="dxa"/>
            <w:tcBorders>
              <w:top w:val="single" w:sz="4" w:space="0" w:color="auto"/>
              <w:left w:val="nil"/>
              <w:bottom w:val="single" w:sz="4" w:space="0" w:color="auto"/>
              <w:right w:val="nil"/>
            </w:tcBorders>
            <w:vAlign w:val="center"/>
          </w:tcPr>
          <w:p w14:paraId="4A25BEA9"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392,262.50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2510278C"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p>
        </w:tc>
        <w:tc>
          <w:tcPr>
            <w:tcW w:w="900" w:type="dxa"/>
            <w:tcBorders>
              <w:top w:val="nil"/>
              <w:left w:val="nil"/>
              <w:bottom w:val="single" w:sz="4" w:space="0" w:color="auto"/>
              <w:right w:val="single" w:sz="4" w:space="0" w:color="auto"/>
            </w:tcBorders>
            <w:shd w:val="clear" w:color="auto" w:fill="auto"/>
            <w:noWrap/>
            <w:vAlign w:val="center"/>
            <w:hideMark/>
          </w:tcPr>
          <w:p w14:paraId="77C9EAA4"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14:paraId="183B8C0B"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p>
        </w:tc>
      </w:tr>
      <w:tr w:rsidR="00D6534F" w:rsidRPr="0050404C" w14:paraId="16C01E3C"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02AAE8FE"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c>
          <w:tcPr>
            <w:tcW w:w="826" w:type="dxa"/>
            <w:tcBorders>
              <w:top w:val="nil"/>
              <w:left w:val="nil"/>
              <w:bottom w:val="single" w:sz="4" w:space="0" w:color="auto"/>
              <w:right w:val="single" w:sz="4" w:space="0" w:color="auto"/>
            </w:tcBorders>
            <w:shd w:val="clear" w:color="auto" w:fill="auto"/>
            <w:noWrap/>
            <w:vAlign w:val="center"/>
            <w:hideMark/>
          </w:tcPr>
          <w:p w14:paraId="71B91809"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合计</w:t>
            </w:r>
          </w:p>
        </w:tc>
        <w:tc>
          <w:tcPr>
            <w:tcW w:w="1530" w:type="dxa"/>
            <w:tcBorders>
              <w:top w:val="nil"/>
              <w:left w:val="nil"/>
              <w:bottom w:val="single" w:sz="4" w:space="0" w:color="auto"/>
              <w:right w:val="single" w:sz="4" w:space="0" w:color="auto"/>
            </w:tcBorders>
            <w:shd w:val="clear" w:color="auto" w:fill="auto"/>
            <w:noWrap/>
            <w:vAlign w:val="center"/>
            <w:hideMark/>
          </w:tcPr>
          <w:p w14:paraId="64DC0136"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 41,398,330.66</w:t>
            </w:r>
          </w:p>
        </w:tc>
        <w:tc>
          <w:tcPr>
            <w:tcW w:w="1530" w:type="dxa"/>
            <w:tcBorders>
              <w:top w:val="nil"/>
              <w:left w:val="nil"/>
              <w:bottom w:val="single" w:sz="4" w:space="0" w:color="auto"/>
              <w:right w:val="single" w:sz="4" w:space="0" w:color="auto"/>
            </w:tcBorders>
            <w:shd w:val="clear" w:color="auto" w:fill="auto"/>
            <w:noWrap/>
            <w:vAlign w:val="center"/>
            <w:hideMark/>
          </w:tcPr>
          <w:p w14:paraId="672773C5"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13,500,000.00</w:t>
            </w:r>
          </w:p>
        </w:tc>
        <w:tc>
          <w:tcPr>
            <w:tcW w:w="1350" w:type="dxa"/>
            <w:tcBorders>
              <w:top w:val="nil"/>
              <w:left w:val="nil"/>
              <w:bottom w:val="single" w:sz="4" w:space="0" w:color="auto"/>
              <w:right w:val="single" w:sz="4" w:space="0" w:color="auto"/>
            </w:tcBorders>
            <w:shd w:val="clear" w:color="auto" w:fill="auto"/>
            <w:noWrap/>
            <w:vAlign w:val="center"/>
            <w:hideMark/>
          </w:tcPr>
          <w:p w14:paraId="6F912FC5"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6,926,126.03</w:t>
            </w:r>
          </w:p>
        </w:tc>
        <w:tc>
          <w:tcPr>
            <w:tcW w:w="1350" w:type="dxa"/>
            <w:tcBorders>
              <w:top w:val="nil"/>
              <w:left w:val="nil"/>
              <w:bottom w:val="single" w:sz="4" w:space="0" w:color="auto"/>
              <w:right w:val="single" w:sz="4" w:space="0" w:color="auto"/>
            </w:tcBorders>
            <w:shd w:val="clear" w:color="auto" w:fill="auto"/>
            <w:noWrap/>
            <w:vAlign w:val="center"/>
            <w:hideMark/>
          </w:tcPr>
          <w:p w14:paraId="2FE2854A"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114,077.00 </w:t>
            </w:r>
          </w:p>
        </w:tc>
        <w:tc>
          <w:tcPr>
            <w:tcW w:w="1530" w:type="dxa"/>
            <w:tcBorders>
              <w:top w:val="nil"/>
              <w:left w:val="nil"/>
              <w:bottom w:val="single" w:sz="4" w:space="0" w:color="auto"/>
              <w:right w:val="single" w:sz="4" w:space="0" w:color="auto"/>
            </w:tcBorders>
            <w:shd w:val="clear" w:color="auto" w:fill="auto"/>
            <w:noWrap/>
            <w:vAlign w:val="center"/>
            <w:hideMark/>
          </w:tcPr>
          <w:p w14:paraId="202030F1"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20,540,203.</w:t>
            </w:r>
            <w:r w:rsidRPr="0050404C">
              <w:rPr>
                <w:rFonts w:asciiTheme="minorEastAsia" w:eastAsiaTheme="minorEastAsia" w:hAnsiTheme="minorEastAsia" w:hint="eastAsia"/>
                <w:b/>
                <w:color w:val="000000"/>
                <w:kern w:val="0"/>
                <w:sz w:val="18"/>
                <w:szCs w:val="18"/>
              </w:rPr>
              <w:t>0</w:t>
            </w:r>
            <w:r w:rsidRPr="0050404C">
              <w:rPr>
                <w:rFonts w:asciiTheme="minorEastAsia" w:eastAsiaTheme="minorEastAsia" w:hAnsiTheme="minorEastAsia"/>
                <w:b/>
                <w:color w:val="000000"/>
                <w:kern w:val="0"/>
                <w:sz w:val="18"/>
                <w:szCs w:val="18"/>
              </w:rPr>
              <w:t>3</w:t>
            </w:r>
          </w:p>
        </w:tc>
        <w:tc>
          <w:tcPr>
            <w:tcW w:w="1170" w:type="dxa"/>
            <w:tcBorders>
              <w:top w:val="single" w:sz="4" w:space="0" w:color="auto"/>
              <w:left w:val="nil"/>
              <w:bottom w:val="single" w:sz="4" w:space="0" w:color="auto"/>
              <w:right w:val="nil"/>
            </w:tcBorders>
            <w:vAlign w:val="center"/>
          </w:tcPr>
          <w:p w14:paraId="0E0244DA"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392,262.50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0818149F"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c>
          <w:tcPr>
            <w:tcW w:w="900" w:type="dxa"/>
            <w:tcBorders>
              <w:top w:val="nil"/>
              <w:left w:val="nil"/>
              <w:bottom w:val="single" w:sz="4" w:space="0" w:color="auto"/>
              <w:right w:val="single" w:sz="4" w:space="0" w:color="auto"/>
            </w:tcBorders>
            <w:shd w:val="clear" w:color="auto" w:fill="auto"/>
            <w:noWrap/>
            <w:vAlign w:val="center"/>
            <w:hideMark/>
          </w:tcPr>
          <w:p w14:paraId="1EDBDECC"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14:paraId="73FEF313"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r>
    </w:tbl>
    <w:p w14:paraId="7F26CF2F" w14:textId="49B0C791" w:rsidR="00D6534F" w:rsidRDefault="00D6534F">
      <w:pPr>
        <w:widowControl/>
        <w:jc w:val="left"/>
        <w:rPr>
          <w:rFonts w:asciiTheme="majorEastAsia" w:eastAsiaTheme="majorEastAsia" w:hAnsiTheme="majorEastAsia"/>
          <w:sz w:val="24"/>
        </w:rPr>
      </w:pPr>
      <w:r>
        <w:rPr>
          <w:rFonts w:asciiTheme="majorEastAsia" w:eastAsiaTheme="majorEastAsia" w:hAnsiTheme="majorEastAsia"/>
          <w:sz w:val="24"/>
        </w:rPr>
        <w:br w:type="page"/>
      </w:r>
    </w:p>
    <w:p w14:paraId="1DE4E37D" w14:textId="67D75FE6" w:rsidR="001B7E27" w:rsidRDefault="00D6534F">
      <w:pPr>
        <w:widowControl/>
        <w:jc w:val="left"/>
        <w:rPr>
          <w:rFonts w:asciiTheme="majorEastAsia" w:eastAsiaTheme="majorEastAsia" w:hAnsiTheme="majorEastAsia"/>
          <w:sz w:val="24"/>
        </w:rPr>
      </w:pPr>
      <w:r>
        <w:rPr>
          <w:rFonts w:asciiTheme="majorEastAsia" w:eastAsiaTheme="majorEastAsia" w:hAnsiTheme="majorEastAsia" w:hint="eastAsia"/>
          <w:sz w:val="24"/>
        </w:rPr>
        <w:lastRenderedPageBreak/>
        <w:t>附件二</w:t>
      </w:r>
    </w:p>
    <w:p w14:paraId="4C86EE9E" w14:textId="6F7D0B19" w:rsidR="00D6534F" w:rsidRDefault="00D6534F">
      <w:pPr>
        <w:widowControl/>
        <w:jc w:val="left"/>
        <w:rPr>
          <w:rFonts w:asciiTheme="majorEastAsia" w:eastAsiaTheme="majorEastAsia" w:hAnsiTheme="majorEastAsia"/>
          <w:sz w:val="24"/>
        </w:rPr>
      </w:pPr>
    </w:p>
    <w:p w14:paraId="7852F09D" w14:textId="77777777" w:rsidR="00D6534F" w:rsidRPr="00214153" w:rsidRDefault="00D6534F" w:rsidP="00D6534F">
      <w:pPr>
        <w:snapToGrid w:val="0"/>
        <w:spacing w:line="360" w:lineRule="auto"/>
        <w:jc w:val="center"/>
        <w:rPr>
          <w:rFonts w:ascii="宋体" w:hAnsi="宋体"/>
          <w:b/>
          <w:sz w:val="32"/>
          <w:szCs w:val="32"/>
        </w:rPr>
      </w:pPr>
      <w:r w:rsidRPr="00214153">
        <w:rPr>
          <w:rFonts w:ascii="宋体" w:hAnsi="宋体" w:hint="eastAsia"/>
          <w:b/>
          <w:sz w:val="32"/>
          <w:szCs w:val="32"/>
        </w:rPr>
        <w:t>广州福鸿投资管理有限公司</w:t>
      </w:r>
    </w:p>
    <w:p w14:paraId="20E5AB2D" w14:textId="1EA6DAEE" w:rsidR="00D6534F" w:rsidRPr="00214153" w:rsidRDefault="00D6534F" w:rsidP="00D6534F">
      <w:pPr>
        <w:snapToGrid w:val="0"/>
        <w:spacing w:line="360" w:lineRule="auto"/>
        <w:jc w:val="center"/>
        <w:rPr>
          <w:rFonts w:ascii="宋体" w:hAnsi="宋体"/>
          <w:b/>
          <w:sz w:val="32"/>
          <w:szCs w:val="32"/>
        </w:rPr>
      </w:pPr>
      <w:r>
        <w:rPr>
          <w:rFonts w:ascii="宋体" w:hAnsi="宋体" w:hint="eastAsia"/>
          <w:b/>
          <w:sz w:val="32"/>
          <w:szCs w:val="32"/>
        </w:rPr>
        <w:t>无异议</w:t>
      </w:r>
      <w:r w:rsidRPr="00214153">
        <w:rPr>
          <w:rFonts w:ascii="宋体" w:hAnsi="宋体" w:hint="eastAsia"/>
          <w:b/>
          <w:sz w:val="32"/>
          <w:szCs w:val="32"/>
        </w:rPr>
        <w:t>债权表</w:t>
      </w:r>
      <w:r>
        <w:rPr>
          <w:rFonts w:ascii="宋体" w:hAnsi="宋体" w:hint="eastAsia"/>
          <w:b/>
          <w:sz w:val="32"/>
          <w:szCs w:val="32"/>
        </w:rPr>
        <w:t>（</w:t>
      </w:r>
      <w:r>
        <w:rPr>
          <w:rFonts w:ascii="宋体" w:hAnsi="宋体" w:hint="eastAsia"/>
          <w:b/>
          <w:sz w:val="32"/>
          <w:szCs w:val="32"/>
        </w:rPr>
        <w:t>经</w:t>
      </w:r>
      <w:r>
        <w:rPr>
          <w:rFonts w:ascii="宋体" w:hAnsi="宋体" w:hint="eastAsia"/>
          <w:b/>
          <w:sz w:val="32"/>
          <w:szCs w:val="32"/>
        </w:rPr>
        <w:t>第一次债权人会议核查）</w:t>
      </w:r>
    </w:p>
    <w:tbl>
      <w:tblPr>
        <w:tblW w:w="12915" w:type="dxa"/>
        <w:tblLook w:val="04A0" w:firstRow="1" w:lastRow="0" w:firstColumn="1" w:lastColumn="0" w:noHBand="0" w:noVBand="1"/>
      </w:tblPr>
      <w:tblGrid>
        <w:gridCol w:w="429"/>
        <w:gridCol w:w="826"/>
        <w:gridCol w:w="1530"/>
        <w:gridCol w:w="1530"/>
        <w:gridCol w:w="1350"/>
        <w:gridCol w:w="1350"/>
        <w:gridCol w:w="1530"/>
        <w:gridCol w:w="1170"/>
        <w:gridCol w:w="1350"/>
        <w:gridCol w:w="900"/>
        <w:gridCol w:w="950"/>
      </w:tblGrid>
      <w:tr w:rsidR="00D6534F" w:rsidRPr="0050404C" w14:paraId="34354041" w14:textId="77777777" w:rsidTr="00B93252">
        <w:trPr>
          <w:trHeight w:val="1104"/>
        </w:trPr>
        <w:tc>
          <w:tcPr>
            <w:tcW w:w="4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F7932B"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hint="eastAsia"/>
                <w:b/>
                <w:color w:val="000000"/>
                <w:kern w:val="0"/>
                <w:sz w:val="18"/>
                <w:szCs w:val="18"/>
              </w:rPr>
              <w:t>序</w:t>
            </w:r>
            <w:r w:rsidRPr="0050404C">
              <w:rPr>
                <w:rFonts w:asciiTheme="minorEastAsia" w:eastAsiaTheme="minorEastAsia" w:hAnsiTheme="minorEastAsia" w:cs="微软雅黑"/>
                <w:b/>
                <w:color w:val="000000"/>
                <w:kern w:val="0"/>
                <w:sz w:val="18"/>
                <w:szCs w:val="18"/>
              </w:rPr>
              <w:t>号</w:t>
            </w:r>
          </w:p>
        </w:tc>
        <w:tc>
          <w:tcPr>
            <w:tcW w:w="826" w:type="dxa"/>
            <w:tcBorders>
              <w:top w:val="single" w:sz="4" w:space="0" w:color="auto"/>
              <w:left w:val="nil"/>
              <w:bottom w:val="single" w:sz="4" w:space="0" w:color="auto"/>
              <w:right w:val="single" w:sz="4" w:space="0" w:color="auto"/>
            </w:tcBorders>
            <w:shd w:val="clear" w:color="auto" w:fill="auto"/>
            <w:vAlign w:val="center"/>
            <w:hideMark/>
          </w:tcPr>
          <w:p w14:paraId="3DD59E9B"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债权人名称</w:t>
            </w:r>
          </w:p>
        </w:tc>
        <w:tc>
          <w:tcPr>
            <w:tcW w:w="1530" w:type="dxa"/>
            <w:tcBorders>
              <w:top w:val="single" w:sz="4" w:space="0" w:color="auto"/>
              <w:left w:val="nil"/>
              <w:bottom w:val="single" w:sz="4" w:space="0" w:color="auto"/>
              <w:right w:val="single" w:sz="4" w:space="0" w:color="auto"/>
            </w:tcBorders>
            <w:shd w:val="clear" w:color="auto" w:fill="auto"/>
            <w:vAlign w:val="center"/>
            <w:hideMark/>
          </w:tcPr>
          <w:p w14:paraId="47326CCF"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申报总额</w:t>
            </w:r>
          </w:p>
        </w:tc>
        <w:tc>
          <w:tcPr>
            <w:tcW w:w="1530" w:type="dxa"/>
            <w:tcBorders>
              <w:top w:val="single" w:sz="4" w:space="0" w:color="auto"/>
              <w:left w:val="nil"/>
              <w:bottom w:val="single" w:sz="4" w:space="0" w:color="auto"/>
              <w:right w:val="single" w:sz="4" w:space="0" w:color="auto"/>
            </w:tcBorders>
            <w:shd w:val="clear" w:color="auto" w:fill="auto"/>
            <w:vAlign w:val="center"/>
            <w:hideMark/>
          </w:tcPr>
          <w:p w14:paraId="74852C7E"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hint="eastAsia"/>
                <w:b/>
                <w:color w:val="000000"/>
                <w:kern w:val="0"/>
                <w:sz w:val="18"/>
                <w:szCs w:val="18"/>
              </w:rPr>
              <w:t>确认</w:t>
            </w:r>
            <w:r w:rsidRPr="0050404C">
              <w:rPr>
                <w:rFonts w:asciiTheme="minorEastAsia" w:eastAsiaTheme="minorEastAsia" w:hAnsiTheme="minorEastAsia" w:cs="微软雅黑"/>
                <w:b/>
                <w:color w:val="000000"/>
                <w:kern w:val="0"/>
                <w:sz w:val="18"/>
                <w:szCs w:val="18"/>
              </w:rPr>
              <w:t>本金</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14:paraId="3408E22C"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hint="eastAsia"/>
                <w:b/>
                <w:color w:val="000000"/>
                <w:kern w:val="0"/>
                <w:sz w:val="18"/>
                <w:szCs w:val="18"/>
              </w:rPr>
              <w:t>确认</w:t>
            </w:r>
            <w:r w:rsidRPr="0050404C">
              <w:rPr>
                <w:rFonts w:asciiTheme="minorEastAsia" w:eastAsiaTheme="minorEastAsia" w:hAnsiTheme="minorEastAsia" w:cs="微软雅黑"/>
                <w:b/>
                <w:color w:val="000000"/>
                <w:kern w:val="0"/>
                <w:sz w:val="18"/>
                <w:szCs w:val="18"/>
              </w:rPr>
              <w:t>利息</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14:paraId="53D98A53"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hint="eastAsia"/>
                <w:b/>
                <w:color w:val="000000"/>
                <w:kern w:val="0"/>
                <w:sz w:val="18"/>
                <w:szCs w:val="18"/>
              </w:rPr>
              <w:t>确认</w:t>
            </w:r>
            <w:r w:rsidRPr="0050404C">
              <w:rPr>
                <w:rFonts w:asciiTheme="minorEastAsia" w:eastAsiaTheme="minorEastAsia" w:hAnsiTheme="minorEastAsia" w:cs="微软雅黑"/>
                <w:b/>
                <w:color w:val="000000"/>
                <w:kern w:val="0"/>
                <w:sz w:val="18"/>
                <w:szCs w:val="18"/>
              </w:rPr>
              <w:t>其他损失</w:t>
            </w:r>
          </w:p>
        </w:tc>
        <w:tc>
          <w:tcPr>
            <w:tcW w:w="1530" w:type="dxa"/>
            <w:tcBorders>
              <w:top w:val="single" w:sz="4" w:space="0" w:color="auto"/>
              <w:left w:val="nil"/>
              <w:bottom w:val="single" w:sz="4" w:space="0" w:color="auto"/>
              <w:right w:val="single" w:sz="4" w:space="0" w:color="auto"/>
            </w:tcBorders>
            <w:shd w:val="clear" w:color="auto" w:fill="auto"/>
            <w:vAlign w:val="center"/>
            <w:hideMark/>
          </w:tcPr>
          <w:p w14:paraId="5B9C71E9"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hint="eastAsia"/>
                <w:b/>
                <w:color w:val="000000"/>
                <w:kern w:val="0"/>
                <w:sz w:val="18"/>
                <w:szCs w:val="18"/>
              </w:rPr>
              <w:t>确认</w:t>
            </w:r>
            <w:r w:rsidRPr="0050404C">
              <w:rPr>
                <w:rFonts w:asciiTheme="minorEastAsia" w:eastAsiaTheme="minorEastAsia" w:hAnsiTheme="minorEastAsia" w:cs="微软雅黑"/>
                <w:b/>
                <w:color w:val="000000"/>
                <w:kern w:val="0"/>
                <w:sz w:val="18"/>
                <w:szCs w:val="18"/>
              </w:rPr>
              <w:t>总额</w:t>
            </w:r>
          </w:p>
        </w:tc>
        <w:tc>
          <w:tcPr>
            <w:tcW w:w="1170" w:type="dxa"/>
            <w:tcBorders>
              <w:top w:val="single" w:sz="4" w:space="0" w:color="auto"/>
              <w:left w:val="nil"/>
              <w:bottom w:val="single" w:sz="4" w:space="0" w:color="auto"/>
              <w:right w:val="nil"/>
            </w:tcBorders>
            <w:vAlign w:val="center"/>
          </w:tcPr>
          <w:p w14:paraId="1BCAD6BB" w14:textId="77777777" w:rsidR="00D6534F" w:rsidRDefault="00D6534F" w:rsidP="00B93252">
            <w:pPr>
              <w:widowControl/>
              <w:jc w:val="center"/>
              <w:rPr>
                <w:rFonts w:asciiTheme="minorEastAsia" w:eastAsiaTheme="minorEastAsia" w:hAnsiTheme="minorEastAsia" w:cs="微软雅黑"/>
                <w:b/>
                <w:color w:val="000000"/>
                <w:kern w:val="0"/>
                <w:sz w:val="18"/>
                <w:szCs w:val="18"/>
              </w:rPr>
            </w:pPr>
            <w:r w:rsidRPr="0050404C">
              <w:rPr>
                <w:rFonts w:asciiTheme="minorEastAsia" w:eastAsiaTheme="minorEastAsia" w:hAnsiTheme="minorEastAsia" w:cs="微软雅黑" w:hint="eastAsia"/>
                <w:b/>
                <w:color w:val="000000"/>
                <w:kern w:val="0"/>
                <w:sz w:val="18"/>
                <w:szCs w:val="18"/>
              </w:rPr>
              <w:t>确认</w:t>
            </w:r>
            <w:r w:rsidRPr="0050404C">
              <w:rPr>
                <w:rFonts w:asciiTheme="minorEastAsia" w:eastAsiaTheme="minorEastAsia" w:hAnsiTheme="minorEastAsia" w:cs="微软雅黑"/>
                <w:b/>
                <w:color w:val="000000"/>
                <w:kern w:val="0"/>
                <w:sz w:val="18"/>
                <w:szCs w:val="18"/>
              </w:rPr>
              <w:t>迟延</w:t>
            </w:r>
          </w:p>
          <w:p w14:paraId="4F9C8AAA" w14:textId="77777777" w:rsidR="00D6534F" w:rsidRPr="0050404C" w:rsidRDefault="00D6534F" w:rsidP="00B93252">
            <w:pPr>
              <w:widowControl/>
              <w:jc w:val="center"/>
              <w:rPr>
                <w:rFonts w:asciiTheme="minorEastAsia" w:eastAsiaTheme="minorEastAsia" w:hAnsiTheme="minorEastAsia" w:cs="微软雅黑"/>
                <w:b/>
                <w:color w:val="000000"/>
                <w:kern w:val="0"/>
                <w:sz w:val="18"/>
                <w:szCs w:val="18"/>
              </w:rPr>
            </w:pPr>
            <w:r w:rsidRPr="0050404C">
              <w:rPr>
                <w:rFonts w:asciiTheme="minorEastAsia" w:eastAsiaTheme="minorEastAsia" w:hAnsiTheme="minorEastAsia" w:cs="微软雅黑"/>
                <w:b/>
                <w:color w:val="000000"/>
                <w:kern w:val="0"/>
                <w:sz w:val="18"/>
                <w:szCs w:val="18"/>
              </w:rPr>
              <w:t>履行利息</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808794"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债权性质</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34DE2137"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是否超过诉讼时效</w:t>
            </w:r>
          </w:p>
        </w:tc>
        <w:tc>
          <w:tcPr>
            <w:tcW w:w="950" w:type="dxa"/>
            <w:tcBorders>
              <w:top w:val="single" w:sz="4" w:space="0" w:color="auto"/>
              <w:left w:val="nil"/>
              <w:bottom w:val="single" w:sz="4" w:space="0" w:color="auto"/>
              <w:right w:val="single" w:sz="4" w:space="0" w:color="auto"/>
            </w:tcBorders>
            <w:shd w:val="clear" w:color="auto" w:fill="auto"/>
            <w:vAlign w:val="center"/>
            <w:hideMark/>
          </w:tcPr>
          <w:p w14:paraId="48AD1CC3" w14:textId="77777777" w:rsidR="00D6534F" w:rsidRPr="0050404C" w:rsidRDefault="00D6534F" w:rsidP="00B93252">
            <w:pPr>
              <w:widowControl/>
              <w:jc w:val="center"/>
              <w:rPr>
                <w:rFonts w:asciiTheme="minorEastAsia" w:eastAsiaTheme="minorEastAsia" w:hAnsiTheme="minorEastAsia"/>
                <w:b/>
                <w:color w:val="000000"/>
                <w:kern w:val="0"/>
                <w:sz w:val="18"/>
                <w:szCs w:val="18"/>
              </w:rPr>
            </w:pPr>
            <w:r w:rsidRPr="0050404C">
              <w:rPr>
                <w:rFonts w:asciiTheme="minorEastAsia" w:eastAsiaTheme="minorEastAsia" w:hAnsiTheme="minorEastAsia" w:cs="微软雅黑"/>
                <w:b/>
                <w:color w:val="000000"/>
                <w:kern w:val="0"/>
                <w:sz w:val="18"/>
                <w:szCs w:val="18"/>
              </w:rPr>
              <w:t>是否超过强制执行期间</w:t>
            </w:r>
          </w:p>
        </w:tc>
      </w:tr>
      <w:tr w:rsidR="00D6534F" w:rsidRPr="0050404C" w14:paraId="3FEEBFC0"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79EEC82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1</w:t>
            </w:r>
          </w:p>
        </w:tc>
        <w:tc>
          <w:tcPr>
            <w:tcW w:w="826" w:type="dxa"/>
            <w:tcBorders>
              <w:top w:val="nil"/>
              <w:left w:val="nil"/>
              <w:bottom w:val="single" w:sz="4" w:space="0" w:color="auto"/>
              <w:right w:val="single" w:sz="4" w:space="0" w:color="auto"/>
            </w:tcBorders>
            <w:shd w:val="clear" w:color="auto" w:fill="auto"/>
            <w:noWrap/>
            <w:vAlign w:val="center"/>
            <w:hideMark/>
          </w:tcPr>
          <w:p w14:paraId="5881E932"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何燕华</w:t>
            </w:r>
          </w:p>
        </w:tc>
        <w:tc>
          <w:tcPr>
            <w:tcW w:w="1530" w:type="dxa"/>
            <w:tcBorders>
              <w:top w:val="nil"/>
              <w:left w:val="nil"/>
              <w:bottom w:val="single" w:sz="4" w:space="0" w:color="auto"/>
              <w:right w:val="single" w:sz="4" w:space="0" w:color="auto"/>
            </w:tcBorders>
            <w:shd w:val="clear" w:color="auto" w:fill="auto"/>
            <w:noWrap/>
            <w:vAlign w:val="center"/>
            <w:hideMark/>
          </w:tcPr>
          <w:p w14:paraId="0ADBF969"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5,700,506.85 </w:t>
            </w:r>
          </w:p>
        </w:tc>
        <w:tc>
          <w:tcPr>
            <w:tcW w:w="1530" w:type="dxa"/>
            <w:tcBorders>
              <w:top w:val="nil"/>
              <w:left w:val="nil"/>
              <w:bottom w:val="single" w:sz="4" w:space="0" w:color="auto"/>
              <w:right w:val="single" w:sz="4" w:space="0" w:color="auto"/>
            </w:tcBorders>
            <w:shd w:val="clear" w:color="auto" w:fill="auto"/>
            <w:noWrap/>
            <w:vAlign w:val="center"/>
            <w:hideMark/>
          </w:tcPr>
          <w:p w14:paraId="33FBE73E"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5,000,000.00 </w:t>
            </w:r>
          </w:p>
        </w:tc>
        <w:tc>
          <w:tcPr>
            <w:tcW w:w="1350" w:type="dxa"/>
            <w:tcBorders>
              <w:top w:val="nil"/>
              <w:left w:val="nil"/>
              <w:bottom w:val="single" w:sz="4" w:space="0" w:color="auto"/>
              <w:right w:val="single" w:sz="4" w:space="0" w:color="auto"/>
            </w:tcBorders>
            <w:shd w:val="clear" w:color="auto" w:fill="auto"/>
            <w:noWrap/>
            <w:vAlign w:val="center"/>
            <w:hideMark/>
          </w:tcPr>
          <w:p w14:paraId="61E314E8"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700,506.85 </w:t>
            </w:r>
          </w:p>
        </w:tc>
        <w:tc>
          <w:tcPr>
            <w:tcW w:w="1350" w:type="dxa"/>
            <w:tcBorders>
              <w:top w:val="nil"/>
              <w:left w:val="nil"/>
              <w:bottom w:val="single" w:sz="4" w:space="0" w:color="auto"/>
              <w:right w:val="single" w:sz="4" w:space="0" w:color="auto"/>
            </w:tcBorders>
            <w:shd w:val="clear" w:color="auto" w:fill="auto"/>
            <w:noWrap/>
            <w:vAlign w:val="center"/>
            <w:hideMark/>
          </w:tcPr>
          <w:p w14:paraId="5FA5EAE3"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530" w:type="dxa"/>
            <w:tcBorders>
              <w:top w:val="nil"/>
              <w:left w:val="nil"/>
              <w:bottom w:val="single" w:sz="4" w:space="0" w:color="auto"/>
              <w:right w:val="single" w:sz="4" w:space="0" w:color="auto"/>
            </w:tcBorders>
            <w:shd w:val="clear" w:color="auto" w:fill="auto"/>
            <w:noWrap/>
            <w:vAlign w:val="center"/>
            <w:hideMark/>
          </w:tcPr>
          <w:p w14:paraId="7B30E1CD"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5,700,506.85 </w:t>
            </w:r>
          </w:p>
        </w:tc>
        <w:tc>
          <w:tcPr>
            <w:tcW w:w="1170" w:type="dxa"/>
            <w:tcBorders>
              <w:top w:val="single" w:sz="4" w:space="0" w:color="auto"/>
              <w:left w:val="nil"/>
              <w:bottom w:val="single" w:sz="4" w:space="0" w:color="auto"/>
              <w:right w:val="nil"/>
            </w:tcBorders>
            <w:vAlign w:val="center"/>
          </w:tcPr>
          <w:p w14:paraId="1D535F6C"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22808615"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普通债权</w:t>
            </w:r>
          </w:p>
        </w:tc>
        <w:tc>
          <w:tcPr>
            <w:tcW w:w="900" w:type="dxa"/>
            <w:tcBorders>
              <w:top w:val="nil"/>
              <w:left w:val="nil"/>
              <w:bottom w:val="single" w:sz="4" w:space="0" w:color="auto"/>
              <w:right w:val="single" w:sz="4" w:space="0" w:color="auto"/>
            </w:tcBorders>
            <w:shd w:val="clear" w:color="auto" w:fill="auto"/>
            <w:noWrap/>
            <w:vAlign w:val="center"/>
            <w:hideMark/>
          </w:tcPr>
          <w:p w14:paraId="37A490EC"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c>
          <w:tcPr>
            <w:tcW w:w="950" w:type="dxa"/>
            <w:tcBorders>
              <w:top w:val="nil"/>
              <w:left w:val="nil"/>
              <w:bottom w:val="single" w:sz="4" w:space="0" w:color="auto"/>
              <w:right w:val="single" w:sz="4" w:space="0" w:color="auto"/>
            </w:tcBorders>
            <w:shd w:val="clear" w:color="auto" w:fill="auto"/>
            <w:noWrap/>
            <w:vAlign w:val="center"/>
            <w:hideMark/>
          </w:tcPr>
          <w:p w14:paraId="3F58778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r>
      <w:tr w:rsidR="00D6534F" w:rsidRPr="0050404C" w14:paraId="255502CD"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453F01B1"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2</w:t>
            </w:r>
          </w:p>
        </w:tc>
        <w:tc>
          <w:tcPr>
            <w:tcW w:w="826" w:type="dxa"/>
            <w:tcBorders>
              <w:top w:val="nil"/>
              <w:left w:val="nil"/>
              <w:bottom w:val="single" w:sz="4" w:space="0" w:color="auto"/>
              <w:right w:val="single" w:sz="4" w:space="0" w:color="auto"/>
            </w:tcBorders>
            <w:shd w:val="clear" w:color="auto" w:fill="auto"/>
            <w:noWrap/>
            <w:vAlign w:val="center"/>
            <w:hideMark/>
          </w:tcPr>
          <w:p w14:paraId="1D30AE15"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林育彬</w:t>
            </w:r>
          </w:p>
        </w:tc>
        <w:tc>
          <w:tcPr>
            <w:tcW w:w="1530" w:type="dxa"/>
            <w:tcBorders>
              <w:top w:val="nil"/>
              <w:left w:val="nil"/>
              <w:bottom w:val="single" w:sz="4" w:space="0" w:color="auto"/>
              <w:right w:val="single" w:sz="4" w:space="0" w:color="auto"/>
            </w:tcBorders>
            <w:shd w:val="clear" w:color="auto" w:fill="auto"/>
            <w:noWrap/>
            <w:vAlign w:val="center"/>
            <w:hideMark/>
          </w:tcPr>
          <w:p w14:paraId="6F9319BE"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4,449,240.00 </w:t>
            </w:r>
          </w:p>
        </w:tc>
        <w:tc>
          <w:tcPr>
            <w:tcW w:w="1530" w:type="dxa"/>
            <w:tcBorders>
              <w:top w:val="nil"/>
              <w:left w:val="nil"/>
              <w:bottom w:val="single" w:sz="4" w:space="0" w:color="auto"/>
              <w:right w:val="single" w:sz="4" w:space="0" w:color="auto"/>
            </w:tcBorders>
            <w:shd w:val="clear" w:color="auto" w:fill="auto"/>
            <w:noWrap/>
            <w:vAlign w:val="center"/>
            <w:hideMark/>
          </w:tcPr>
          <w:p w14:paraId="794F7E1D"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3,500,000.00 </w:t>
            </w:r>
          </w:p>
        </w:tc>
        <w:tc>
          <w:tcPr>
            <w:tcW w:w="1350" w:type="dxa"/>
            <w:tcBorders>
              <w:top w:val="nil"/>
              <w:left w:val="nil"/>
              <w:bottom w:val="single" w:sz="4" w:space="0" w:color="auto"/>
              <w:right w:val="single" w:sz="4" w:space="0" w:color="auto"/>
            </w:tcBorders>
            <w:shd w:val="clear" w:color="auto" w:fill="auto"/>
            <w:noWrap/>
            <w:vAlign w:val="center"/>
            <w:hideMark/>
          </w:tcPr>
          <w:p w14:paraId="79A6148B"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495,619.18 </w:t>
            </w:r>
          </w:p>
        </w:tc>
        <w:tc>
          <w:tcPr>
            <w:tcW w:w="1350" w:type="dxa"/>
            <w:tcBorders>
              <w:top w:val="nil"/>
              <w:left w:val="nil"/>
              <w:bottom w:val="single" w:sz="4" w:space="0" w:color="auto"/>
              <w:right w:val="single" w:sz="4" w:space="0" w:color="auto"/>
            </w:tcBorders>
            <w:shd w:val="clear" w:color="auto" w:fill="auto"/>
            <w:noWrap/>
            <w:vAlign w:val="center"/>
            <w:hideMark/>
          </w:tcPr>
          <w:p w14:paraId="736F1BFE"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114,077.00 </w:t>
            </w:r>
          </w:p>
        </w:tc>
        <w:tc>
          <w:tcPr>
            <w:tcW w:w="1530" w:type="dxa"/>
            <w:tcBorders>
              <w:top w:val="nil"/>
              <w:left w:val="nil"/>
              <w:bottom w:val="single" w:sz="4" w:space="0" w:color="auto"/>
              <w:right w:val="single" w:sz="4" w:space="0" w:color="auto"/>
            </w:tcBorders>
            <w:shd w:val="clear" w:color="auto" w:fill="auto"/>
            <w:noWrap/>
            <w:vAlign w:val="center"/>
            <w:hideMark/>
          </w:tcPr>
          <w:p w14:paraId="0891D716"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4,109,696.18 </w:t>
            </w:r>
          </w:p>
        </w:tc>
        <w:tc>
          <w:tcPr>
            <w:tcW w:w="1170" w:type="dxa"/>
            <w:tcBorders>
              <w:top w:val="single" w:sz="4" w:space="0" w:color="auto"/>
              <w:left w:val="nil"/>
              <w:bottom w:val="single" w:sz="4" w:space="0" w:color="auto"/>
              <w:right w:val="nil"/>
            </w:tcBorders>
            <w:vAlign w:val="center"/>
          </w:tcPr>
          <w:p w14:paraId="5DF52B8D"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2194A1C8"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普通债权</w:t>
            </w:r>
          </w:p>
        </w:tc>
        <w:tc>
          <w:tcPr>
            <w:tcW w:w="900" w:type="dxa"/>
            <w:tcBorders>
              <w:top w:val="nil"/>
              <w:left w:val="nil"/>
              <w:bottom w:val="single" w:sz="4" w:space="0" w:color="auto"/>
              <w:right w:val="single" w:sz="4" w:space="0" w:color="auto"/>
            </w:tcBorders>
            <w:shd w:val="clear" w:color="auto" w:fill="auto"/>
            <w:noWrap/>
            <w:vAlign w:val="center"/>
            <w:hideMark/>
          </w:tcPr>
          <w:p w14:paraId="5E0F3C2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c>
          <w:tcPr>
            <w:tcW w:w="950" w:type="dxa"/>
            <w:tcBorders>
              <w:top w:val="nil"/>
              <w:left w:val="nil"/>
              <w:bottom w:val="single" w:sz="4" w:space="0" w:color="auto"/>
              <w:right w:val="single" w:sz="4" w:space="0" w:color="auto"/>
            </w:tcBorders>
            <w:shd w:val="clear" w:color="auto" w:fill="auto"/>
            <w:noWrap/>
            <w:vAlign w:val="center"/>
            <w:hideMark/>
          </w:tcPr>
          <w:p w14:paraId="0983EE2E"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r>
      <w:tr w:rsidR="00D6534F" w:rsidRPr="0050404C" w14:paraId="2C17EE00"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49592CC4"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3</w:t>
            </w:r>
          </w:p>
        </w:tc>
        <w:tc>
          <w:tcPr>
            <w:tcW w:w="826" w:type="dxa"/>
            <w:tcBorders>
              <w:top w:val="nil"/>
              <w:left w:val="nil"/>
              <w:bottom w:val="single" w:sz="4" w:space="0" w:color="auto"/>
              <w:right w:val="single" w:sz="4" w:space="0" w:color="auto"/>
            </w:tcBorders>
            <w:shd w:val="clear" w:color="auto" w:fill="auto"/>
            <w:noWrap/>
            <w:vAlign w:val="center"/>
            <w:hideMark/>
          </w:tcPr>
          <w:p w14:paraId="7D17412D"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梁泽汉</w:t>
            </w:r>
          </w:p>
        </w:tc>
        <w:tc>
          <w:tcPr>
            <w:tcW w:w="1530" w:type="dxa"/>
            <w:tcBorders>
              <w:top w:val="nil"/>
              <w:left w:val="nil"/>
              <w:bottom w:val="single" w:sz="4" w:space="0" w:color="auto"/>
              <w:right w:val="single" w:sz="4" w:space="0" w:color="auto"/>
            </w:tcBorders>
            <w:shd w:val="clear" w:color="auto" w:fill="auto"/>
            <w:noWrap/>
            <w:vAlign w:val="center"/>
            <w:hideMark/>
          </w:tcPr>
          <w:p w14:paraId="002C63B9"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10,730,000.00 </w:t>
            </w:r>
          </w:p>
        </w:tc>
        <w:tc>
          <w:tcPr>
            <w:tcW w:w="1530" w:type="dxa"/>
            <w:tcBorders>
              <w:top w:val="nil"/>
              <w:left w:val="nil"/>
              <w:bottom w:val="single" w:sz="4" w:space="0" w:color="auto"/>
              <w:right w:val="single" w:sz="4" w:space="0" w:color="auto"/>
            </w:tcBorders>
            <w:shd w:val="clear" w:color="auto" w:fill="auto"/>
            <w:noWrap/>
            <w:vAlign w:val="center"/>
            <w:hideMark/>
          </w:tcPr>
          <w:p w14:paraId="41FA53CC"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5,000,000.00 </w:t>
            </w:r>
          </w:p>
        </w:tc>
        <w:tc>
          <w:tcPr>
            <w:tcW w:w="1350" w:type="dxa"/>
            <w:tcBorders>
              <w:top w:val="nil"/>
              <w:left w:val="nil"/>
              <w:bottom w:val="single" w:sz="4" w:space="0" w:color="auto"/>
              <w:right w:val="single" w:sz="4" w:space="0" w:color="auto"/>
            </w:tcBorders>
            <w:shd w:val="clear" w:color="auto" w:fill="auto"/>
            <w:noWrap/>
            <w:vAlign w:val="center"/>
            <w:hideMark/>
          </w:tcPr>
          <w:p w14:paraId="3B6D9DA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5,730,000.00 </w:t>
            </w:r>
          </w:p>
        </w:tc>
        <w:tc>
          <w:tcPr>
            <w:tcW w:w="1350" w:type="dxa"/>
            <w:tcBorders>
              <w:top w:val="nil"/>
              <w:left w:val="nil"/>
              <w:bottom w:val="single" w:sz="4" w:space="0" w:color="auto"/>
              <w:right w:val="single" w:sz="4" w:space="0" w:color="auto"/>
            </w:tcBorders>
            <w:shd w:val="clear" w:color="auto" w:fill="auto"/>
            <w:noWrap/>
            <w:vAlign w:val="center"/>
            <w:hideMark/>
          </w:tcPr>
          <w:p w14:paraId="774661D7"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530" w:type="dxa"/>
            <w:tcBorders>
              <w:top w:val="nil"/>
              <w:left w:val="nil"/>
              <w:bottom w:val="single" w:sz="4" w:space="0" w:color="auto"/>
              <w:right w:val="single" w:sz="4" w:space="0" w:color="auto"/>
            </w:tcBorders>
            <w:shd w:val="clear" w:color="auto" w:fill="auto"/>
            <w:noWrap/>
            <w:vAlign w:val="center"/>
            <w:hideMark/>
          </w:tcPr>
          <w:p w14:paraId="62246233"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10,730,000.00 </w:t>
            </w:r>
          </w:p>
        </w:tc>
        <w:tc>
          <w:tcPr>
            <w:tcW w:w="1170" w:type="dxa"/>
            <w:tcBorders>
              <w:top w:val="single" w:sz="4" w:space="0" w:color="auto"/>
              <w:left w:val="nil"/>
              <w:bottom w:val="single" w:sz="4" w:space="0" w:color="auto"/>
              <w:right w:val="nil"/>
            </w:tcBorders>
            <w:vAlign w:val="center"/>
          </w:tcPr>
          <w:p w14:paraId="28D82A5A"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07DD80C9"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普通债权</w:t>
            </w:r>
          </w:p>
        </w:tc>
        <w:tc>
          <w:tcPr>
            <w:tcW w:w="900" w:type="dxa"/>
            <w:tcBorders>
              <w:top w:val="nil"/>
              <w:left w:val="nil"/>
              <w:bottom w:val="single" w:sz="4" w:space="0" w:color="auto"/>
              <w:right w:val="single" w:sz="4" w:space="0" w:color="auto"/>
            </w:tcBorders>
            <w:shd w:val="clear" w:color="auto" w:fill="auto"/>
            <w:noWrap/>
            <w:vAlign w:val="center"/>
            <w:hideMark/>
          </w:tcPr>
          <w:p w14:paraId="57A25A70"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c>
          <w:tcPr>
            <w:tcW w:w="950" w:type="dxa"/>
            <w:tcBorders>
              <w:top w:val="nil"/>
              <w:left w:val="nil"/>
              <w:bottom w:val="single" w:sz="4" w:space="0" w:color="auto"/>
              <w:right w:val="single" w:sz="4" w:space="0" w:color="auto"/>
            </w:tcBorders>
            <w:shd w:val="clear" w:color="auto" w:fill="auto"/>
            <w:noWrap/>
            <w:vAlign w:val="center"/>
            <w:hideMark/>
          </w:tcPr>
          <w:p w14:paraId="0A74561B"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s="微软雅黑"/>
                <w:color w:val="000000"/>
                <w:kern w:val="0"/>
                <w:sz w:val="18"/>
                <w:szCs w:val="18"/>
              </w:rPr>
              <w:t>否</w:t>
            </w:r>
          </w:p>
        </w:tc>
      </w:tr>
      <w:tr w:rsidR="00D6534F" w:rsidRPr="0050404C" w14:paraId="000AD65A" w14:textId="77777777" w:rsidTr="00B93252">
        <w:trPr>
          <w:trHeight w:val="276"/>
        </w:trPr>
        <w:tc>
          <w:tcPr>
            <w:tcW w:w="429" w:type="dxa"/>
            <w:tcBorders>
              <w:top w:val="nil"/>
              <w:left w:val="single" w:sz="4" w:space="0" w:color="auto"/>
              <w:bottom w:val="single" w:sz="4" w:space="0" w:color="auto"/>
              <w:right w:val="single" w:sz="4" w:space="0" w:color="auto"/>
            </w:tcBorders>
            <w:shd w:val="clear" w:color="auto" w:fill="auto"/>
            <w:noWrap/>
            <w:vAlign w:val="center"/>
            <w:hideMark/>
          </w:tcPr>
          <w:p w14:paraId="2D124593"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c>
          <w:tcPr>
            <w:tcW w:w="826" w:type="dxa"/>
            <w:tcBorders>
              <w:top w:val="nil"/>
              <w:left w:val="nil"/>
              <w:bottom w:val="single" w:sz="4" w:space="0" w:color="auto"/>
              <w:right w:val="single" w:sz="4" w:space="0" w:color="auto"/>
            </w:tcBorders>
            <w:shd w:val="clear" w:color="auto" w:fill="auto"/>
            <w:noWrap/>
            <w:vAlign w:val="center"/>
            <w:hideMark/>
          </w:tcPr>
          <w:p w14:paraId="3103EE7F" w14:textId="44D96511" w:rsidR="00D6534F" w:rsidRPr="0050404C" w:rsidRDefault="00D6534F" w:rsidP="00B93252">
            <w:pPr>
              <w:widowControl/>
              <w:jc w:val="right"/>
              <w:rPr>
                <w:rFonts w:asciiTheme="minorEastAsia" w:eastAsiaTheme="minorEastAsia" w:hAnsiTheme="minorEastAsia"/>
                <w:b/>
                <w:color w:val="000000"/>
                <w:kern w:val="0"/>
                <w:sz w:val="18"/>
                <w:szCs w:val="18"/>
              </w:rPr>
            </w:pPr>
            <w:r>
              <w:rPr>
                <w:rFonts w:asciiTheme="minorEastAsia" w:eastAsiaTheme="minorEastAsia" w:hAnsiTheme="minorEastAsia" w:cs="微软雅黑" w:hint="eastAsia"/>
                <w:b/>
                <w:color w:val="000000"/>
                <w:kern w:val="0"/>
                <w:sz w:val="18"/>
                <w:szCs w:val="18"/>
              </w:rPr>
              <w:t>合</w:t>
            </w:r>
            <w:r w:rsidRPr="0050404C">
              <w:rPr>
                <w:rFonts w:asciiTheme="minorEastAsia" w:eastAsiaTheme="minorEastAsia" w:hAnsiTheme="minorEastAsia" w:cs="微软雅黑"/>
                <w:b/>
                <w:color w:val="000000"/>
                <w:kern w:val="0"/>
                <w:sz w:val="18"/>
                <w:szCs w:val="18"/>
              </w:rPr>
              <w:t>计</w:t>
            </w:r>
          </w:p>
        </w:tc>
        <w:tc>
          <w:tcPr>
            <w:tcW w:w="1530" w:type="dxa"/>
            <w:tcBorders>
              <w:top w:val="nil"/>
              <w:left w:val="nil"/>
              <w:bottom w:val="single" w:sz="4" w:space="0" w:color="auto"/>
              <w:right w:val="single" w:sz="4" w:space="0" w:color="auto"/>
            </w:tcBorders>
            <w:shd w:val="clear" w:color="auto" w:fill="auto"/>
            <w:noWrap/>
            <w:vAlign w:val="center"/>
            <w:hideMark/>
          </w:tcPr>
          <w:p w14:paraId="7EE14CA8"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 20,879,746.85 </w:t>
            </w:r>
          </w:p>
        </w:tc>
        <w:tc>
          <w:tcPr>
            <w:tcW w:w="1530" w:type="dxa"/>
            <w:tcBorders>
              <w:top w:val="nil"/>
              <w:left w:val="nil"/>
              <w:bottom w:val="single" w:sz="4" w:space="0" w:color="auto"/>
              <w:right w:val="single" w:sz="4" w:space="0" w:color="auto"/>
            </w:tcBorders>
            <w:shd w:val="clear" w:color="auto" w:fill="auto"/>
            <w:noWrap/>
            <w:vAlign w:val="center"/>
            <w:hideMark/>
          </w:tcPr>
          <w:p w14:paraId="2446D706"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13,500,000.00 </w:t>
            </w:r>
          </w:p>
        </w:tc>
        <w:tc>
          <w:tcPr>
            <w:tcW w:w="1350" w:type="dxa"/>
            <w:tcBorders>
              <w:top w:val="nil"/>
              <w:left w:val="nil"/>
              <w:bottom w:val="single" w:sz="4" w:space="0" w:color="auto"/>
              <w:right w:val="single" w:sz="4" w:space="0" w:color="auto"/>
            </w:tcBorders>
            <w:shd w:val="clear" w:color="auto" w:fill="auto"/>
            <w:noWrap/>
            <w:vAlign w:val="center"/>
            <w:hideMark/>
          </w:tcPr>
          <w:p w14:paraId="4CB3BCBF"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6,926,126.03 </w:t>
            </w:r>
          </w:p>
        </w:tc>
        <w:tc>
          <w:tcPr>
            <w:tcW w:w="1350" w:type="dxa"/>
            <w:tcBorders>
              <w:top w:val="nil"/>
              <w:left w:val="nil"/>
              <w:bottom w:val="single" w:sz="4" w:space="0" w:color="auto"/>
              <w:right w:val="single" w:sz="4" w:space="0" w:color="auto"/>
            </w:tcBorders>
            <w:shd w:val="clear" w:color="auto" w:fill="auto"/>
            <w:noWrap/>
            <w:vAlign w:val="center"/>
            <w:hideMark/>
          </w:tcPr>
          <w:p w14:paraId="265CD4BD"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114,077.00 </w:t>
            </w:r>
          </w:p>
        </w:tc>
        <w:tc>
          <w:tcPr>
            <w:tcW w:w="1530" w:type="dxa"/>
            <w:tcBorders>
              <w:top w:val="nil"/>
              <w:left w:val="nil"/>
              <w:bottom w:val="single" w:sz="4" w:space="0" w:color="auto"/>
              <w:right w:val="single" w:sz="4" w:space="0" w:color="auto"/>
            </w:tcBorders>
            <w:shd w:val="clear" w:color="auto" w:fill="auto"/>
            <w:noWrap/>
            <w:vAlign w:val="center"/>
            <w:hideMark/>
          </w:tcPr>
          <w:p w14:paraId="525A18F9"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xml:space="preserve"> 20,540,203.</w:t>
            </w:r>
            <w:r w:rsidRPr="0050404C">
              <w:rPr>
                <w:rFonts w:asciiTheme="minorEastAsia" w:eastAsiaTheme="minorEastAsia" w:hAnsiTheme="minorEastAsia" w:hint="eastAsia"/>
                <w:b/>
                <w:color w:val="000000"/>
                <w:kern w:val="0"/>
                <w:sz w:val="18"/>
                <w:szCs w:val="18"/>
              </w:rPr>
              <w:t>0</w:t>
            </w:r>
            <w:r w:rsidRPr="0050404C">
              <w:rPr>
                <w:rFonts w:asciiTheme="minorEastAsia" w:eastAsiaTheme="minorEastAsia" w:hAnsiTheme="minorEastAsia"/>
                <w:b/>
                <w:color w:val="000000"/>
                <w:kern w:val="0"/>
                <w:sz w:val="18"/>
                <w:szCs w:val="18"/>
              </w:rPr>
              <w:t xml:space="preserve">3 </w:t>
            </w:r>
          </w:p>
        </w:tc>
        <w:tc>
          <w:tcPr>
            <w:tcW w:w="1170" w:type="dxa"/>
            <w:tcBorders>
              <w:top w:val="single" w:sz="4" w:space="0" w:color="auto"/>
              <w:left w:val="nil"/>
              <w:bottom w:val="single" w:sz="4" w:space="0" w:color="auto"/>
              <w:right w:val="nil"/>
            </w:tcBorders>
            <w:vAlign w:val="center"/>
          </w:tcPr>
          <w:p w14:paraId="657CD8C7" w14:textId="77777777" w:rsidR="00D6534F" w:rsidRPr="0050404C" w:rsidRDefault="00D6534F" w:rsidP="00B93252">
            <w:pPr>
              <w:widowControl/>
              <w:jc w:val="right"/>
              <w:rPr>
                <w:rFonts w:asciiTheme="minorEastAsia" w:eastAsiaTheme="minorEastAsia" w:hAnsiTheme="minorEastAsia"/>
                <w:color w:val="000000"/>
                <w:kern w:val="0"/>
                <w:sz w:val="18"/>
                <w:szCs w:val="18"/>
              </w:rPr>
            </w:pPr>
            <w:r w:rsidRPr="0050404C">
              <w:rPr>
                <w:rFonts w:asciiTheme="minorEastAsia" w:eastAsiaTheme="minorEastAsia" w:hAnsiTheme="minorEastAsia"/>
                <w:color w:val="000000"/>
                <w:kern w:val="0"/>
                <w:sz w:val="18"/>
                <w:szCs w:val="18"/>
              </w:rPr>
              <w:t xml:space="preserve">         -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01953FB6"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c>
          <w:tcPr>
            <w:tcW w:w="900" w:type="dxa"/>
            <w:tcBorders>
              <w:top w:val="nil"/>
              <w:left w:val="nil"/>
              <w:bottom w:val="single" w:sz="4" w:space="0" w:color="auto"/>
              <w:right w:val="single" w:sz="4" w:space="0" w:color="auto"/>
            </w:tcBorders>
            <w:shd w:val="clear" w:color="auto" w:fill="auto"/>
            <w:noWrap/>
            <w:vAlign w:val="center"/>
            <w:hideMark/>
          </w:tcPr>
          <w:p w14:paraId="55B9CE6E"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14:paraId="54313D55" w14:textId="77777777" w:rsidR="00D6534F" w:rsidRPr="0050404C" w:rsidRDefault="00D6534F" w:rsidP="00B93252">
            <w:pPr>
              <w:widowControl/>
              <w:jc w:val="right"/>
              <w:rPr>
                <w:rFonts w:asciiTheme="minorEastAsia" w:eastAsiaTheme="minorEastAsia" w:hAnsiTheme="minorEastAsia"/>
                <w:b/>
                <w:color w:val="000000"/>
                <w:kern w:val="0"/>
                <w:sz w:val="18"/>
                <w:szCs w:val="18"/>
              </w:rPr>
            </w:pPr>
            <w:r w:rsidRPr="0050404C">
              <w:rPr>
                <w:rFonts w:asciiTheme="minorEastAsia" w:eastAsiaTheme="minorEastAsia" w:hAnsiTheme="minorEastAsia"/>
                <w:b/>
                <w:color w:val="000000"/>
                <w:kern w:val="0"/>
                <w:sz w:val="18"/>
                <w:szCs w:val="18"/>
              </w:rPr>
              <w:t> </w:t>
            </w:r>
          </w:p>
        </w:tc>
      </w:tr>
    </w:tbl>
    <w:p w14:paraId="2B1FA6E9" w14:textId="77777777" w:rsidR="00D6534F" w:rsidRDefault="00D6534F">
      <w:pPr>
        <w:widowControl/>
        <w:jc w:val="left"/>
        <w:rPr>
          <w:rFonts w:asciiTheme="majorEastAsia" w:eastAsiaTheme="majorEastAsia" w:hAnsiTheme="majorEastAsia" w:hint="eastAsia"/>
          <w:sz w:val="24"/>
        </w:rPr>
      </w:pPr>
    </w:p>
    <w:sectPr w:rsidR="00D6534F" w:rsidSect="005C78C3">
      <w:headerReference w:type="default" r:id="rId15"/>
      <w:footerReference w:type="default" r:id="rId1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7C8F93" w14:textId="77777777" w:rsidR="00850B5D" w:rsidRDefault="00850B5D" w:rsidP="00C51069">
      <w:r>
        <w:separator/>
      </w:r>
    </w:p>
  </w:endnote>
  <w:endnote w:type="continuationSeparator" w:id="0">
    <w:p w14:paraId="7DCF2878" w14:textId="77777777" w:rsidR="00850B5D" w:rsidRDefault="00850B5D" w:rsidP="00C510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9A3013" w14:textId="77777777" w:rsidR="005B1C62" w:rsidRDefault="005B1C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92ADDE" w14:textId="1B8AD851" w:rsidR="00F81FD9" w:rsidRPr="00532602" w:rsidRDefault="00F81FD9" w:rsidP="008D21C0">
    <w:pPr>
      <w:snapToGrid w:val="0"/>
      <w:spacing w:after="120" w:line="360" w:lineRule="auto"/>
      <w:rPr>
        <w:rFonts w:asciiTheme="majorEastAsia" w:eastAsiaTheme="majorEastAsia" w:hAnsiTheme="majorEastAsia"/>
        <w:sz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71F10" w14:textId="77777777" w:rsidR="005B1C62" w:rsidRDefault="005B1C6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812E7D" w14:textId="77777777" w:rsidR="00F81FD9" w:rsidRDefault="00F81FD9" w:rsidP="008D21C0">
    <w:pPr>
      <w:snapToGrid w:val="0"/>
      <w:spacing w:after="120" w:line="360" w:lineRule="auto"/>
      <w:ind w:right="-341"/>
      <w:jc w:val="left"/>
      <w:rPr>
        <w:rFonts w:asciiTheme="majorEastAsia" w:eastAsiaTheme="majorEastAsia" w:hAnsiTheme="majorEastAsia"/>
        <w:sz w:val="24"/>
      </w:rPr>
    </w:pPr>
    <w:r>
      <w:rPr>
        <w:rFonts w:asciiTheme="majorEastAsia" w:eastAsiaTheme="majorEastAsia" w:hAnsiTheme="majorEastAsia" w:hint="eastAsia"/>
        <w:sz w:val="24"/>
      </w:rPr>
      <w:t>______________________________________________________________</w:t>
    </w:r>
    <w:r>
      <w:rPr>
        <w:rFonts w:asciiTheme="majorEastAsia" w:eastAsiaTheme="majorEastAsia" w:hAnsiTheme="majorEastAsia"/>
        <w:sz w:val="24"/>
      </w:rPr>
      <w:t>____</w:t>
    </w:r>
    <w:r>
      <w:rPr>
        <w:rFonts w:asciiTheme="majorEastAsia" w:eastAsiaTheme="majorEastAsia" w:hAnsiTheme="majorEastAsia" w:hint="eastAsia"/>
        <w:sz w:val="24"/>
      </w:rPr>
      <w:t>_</w:t>
    </w:r>
  </w:p>
  <w:p w14:paraId="21E1294F" w14:textId="632DD955" w:rsidR="00F81FD9" w:rsidRPr="00532602" w:rsidRDefault="00F81FD9" w:rsidP="008D21C0">
    <w:pPr>
      <w:snapToGrid w:val="0"/>
      <w:spacing w:after="120" w:line="360" w:lineRule="auto"/>
      <w:rPr>
        <w:rFonts w:asciiTheme="majorEastAsia" w:eastAsiaTheme="majorEastAsia" w:hAnsiTheme="majorEastAsia"/>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989390" w14:textId="77777777" w:rsidR="00850B5D" w:rsidRDefault="00850B5D" w:rsidP="00C51069">
      <w:r>
        <w:separator/>
      </w:r>
    </w:p>
  </w:footnote>
  <w:footnote w:type="continuationSeparator" w:id="0">
    <w:p w14:paraId="547793A2" w14:textId="77777777" w:rsidR="00850B5D" w:rsidRDefault="00850B5D" w:rsidP="00C510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B4571D" w14:textId="77777777" w:rsidR="005B1C62" w:rsidRDefault="005B1C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849F4A" w14:textId="0BE82423" w:rsidR="00F81FD9" w:rsidRPr="005B17AF" w:rsidRDefault="00F81FD9" w:rsidP="005B17AF">
    <w:pPr>
      <w:pStyle w:val="Header"/>
      <w:pBdr>
        <w:bottom w:val="single" w:sz="4" w:space="1" w:color="auto"/>
      </w:pBdr>
      <w:jc w:val="right"/>
      <w:rPr>
        <w:szCs w:val="21"/>
      </w:rPr>
    </w:pPr>
    <w:r>
      <w:rPr>
        <w:rFonts w:asciiTheme="minorEastAsia" w:hAnsiTheme="minorEastAsia" w:hint="eastAsia"/>
        <w:szCs w:val="21"/>
      </w:rPr>
      <w:t>广州福鸿投资管理有限公司</w:t>
    </w:r>
    <w:r w:rsidR="000B0611">
      <w:rPr>
        <w:rFonts w:asciiTheme="minorEastAsia" w:hAnsiTheme="minorEastAsia" w:hint="eastAsia"/>
        <w:szCs w:val="21"/>
      </w:rPr>
      <w:t>破产清算案</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A57836" w14:textId="77777777" w:rsidR="005B1C62" w:rsidRDefault="005B1C6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23AC19" w14:textId="50293767" w:rsidR="00F81FD9" w:rsidRPr="004646A3" w:rsidRDefault="00E40A68" w:rsidP="004646A3">
    <w:pPr>
      <w:pStyle w:val="Header"/>
      <w:jc w:val="right"/>
      <w:rPr>
        <w:sz w:val="20"/>
        <w:szCs w:val="20"/>
      </w:rPr>
    </w:pPr>
    <w:r>
      <w:rPr>
        <w:rFonts w:hint="eastAsia"/>
        <w:sz w:val="20"/>
        <w:szCs w:val="20"/>
      </w:rPr>
      <w:t>广州福鸿投资管理有限公司</w:t>
    </w:r>
    <w:r w:rsidR="00F81FD9" w:rsidRPr="004646A3">
      <w:rPr>
        <w:rFonts w:hint="eastAsia"/>
        <w:sz w:val="20"/>
        <w:szCs w:val="20"/>
      </w:rPr>
      <w:t>第</w:t>
    </w:r>
    <w:r>
      <w:rPr>
        <w:rFonts w:hint="eastAsia"/>
        <w:sz w:val="20"/>
        <w:szCs w:val="20"/>
      </w:rPr>
      <w:t>一</w:t>
    </w:r>
    <w:r w:rsidR="00F81FD9" w:rsidRPr="004646A3">
      <w:rPr>
        <w:rFonts w:hint="eastAsia"/>
        <w:sz w:val="20"/>
        <w:szCs w:val="20"/>
      </w:rPr>
      <w:t>次债权人会议表决结果公示</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00354"/>
    <w:multiLevelType w:val="hybridMultilevel"/>
    <w:tmpl w:val="672463F4"/>
    <w:lvl w:ilvl="0" w:tplc="AD6216A6">
      <w:start w:val="1"/>
      <w:numFmt w:val="japaneseCounting"/>
      <w:lvlText w:val="（%1）"/>
      <w:lvlJc w:val="left"/>
      <w:pPr>
        <w:ind w:left="1200" w:hanging="72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 w15:restartNumberingAfterBreak="0">
    <w:nsid w:val="097C78A5"/>
    <w:multiLevelType w:val="hybridMultilevel"/>
    <w:tmpl w:val="4A680E2A"/>
    <w:lvl w:ilvl="0" w:tplc="661E244E">
      <w:start w:val="1"/>
      <w:numFmt w:val="ideographDigit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44058D"/>
    <w:multiLevelType w:val="hybridMultilevel"/>
    <w:tmpl w:val="5DBE9BA0"/>
    <w:lvl w:ilvl="0" w:tplc="AD6216A6">
      <w:start w:val="1"/>
      <w:numFmt w:val="japaneseCounting"/>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111740AF"/>
    <w:multiLevelType w:val="hybridMultilevel"/>
    <w:tmpl w:val="2D8A5F84"/>
    <w:lvl w:ilvl="0" w:tplc="60DAF204">
      <w:start w:val="1"/>
      <w:numFmt w:val="chineseCountingThousand"/>
      <w:lvlText w:val="(%1)"/>
      <w:lvlJc w:val="left"/>
      <w:pPr>
        <w:ind w:left="142" w:firstLine="283"/>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17170664"/>
    <w:multiLevelType w:val="hybridMultilevel"/>
    <w:tmpl w:val="2DCEA6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662F69"/>
    <w:multiLevelType w:val="hybridMultilevel"/>
    <w:tmpl w:val="7AB604F8"/>
    <w:lvl w:ilvl="0" w:tplc="150E2BC4">
      <w:start w:val="1"/>
      <w:numFmt w:val="japaneseCounting"/>
      <w:lvlText w:val="（%1）"/>
      <w:lvlJc w:val="left"/>
      <w:pPr>
        <w:ind w:left="1290" w:hanging="72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6" w15:restartNumberingAfterBreak="0">
    <w:nsid w:val="35257E13"/>
    <w:multiLevelType w:val="hybridMultilevel"/>
    <w:tmpl w:val="A02E9D6A"/>
    <w:lvl w:ilvl="0" w:tplc="51A8F61C">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4AE0FB4"/>
    <w:multiLevelType w:val="hybridMultilevel"/>
    <w:tmpl w:val="481E08DE"/>
    <w:lvl w:ilvl="0" w:tplc="661E244E">
      <w:start w:val="1"/>
      <w:numFmt w:val="ideographDigital"/>
      <w:lvlText w:val="（%1）"/>
      <w:lvlJc w:val="left"/>
      <w:pPr>
        <w:ind w:left="360" w:hanging="360"/>
      </w:pPr>
      <w:rPr>
        <w:rFonts w:hint="eastAsia"/>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4AC36A97"/>
    <w:multiLevelType w:val="hybridMultilevel"/>
    <w:tmpl w:val="31A4C4F0"/>
    <w:lvl w:ilvl="0" w:tplc="6F78C76C">
      <w:start w:val="1"/>
      <w:numFmt w:val="japaneseCounting"/>
      <w:lvlText w:val="（%1）"/>
      <w:lvlJc w:val="left"/>
      <w:pPr>
        <w:ind w:left="1200" w:hanging="72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9" w15:restartNumberingAfterBreak="0">
    <w:nsid w:val="51D52297"/>
    <w:multiLevelType w:val="hybridMultilevel"/>
    <w:tmpl w:val="FB0C7EAC"/>
    <w:lvl w:ilvl="0" w:tplc="793C4D96">
      <w:start w:val="1"/>
      <w:numFmt w:val="decimal"/>
      <w:lvlText w:val="（%1）"/>
      <w:lvlJc w:val="left"/>
      <w:pPr>
        <w:ind w:left="1200" w:hanging="72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0" w15:restartNumberingAfterBreak="0">
    <w:nsid w:val="53604443"/>
    <w:multiLevelType w:val="hybridMultilevel"/>
    <w:tmpl w:val="07386350"/>
    <w:lvl w:ilvl="0" w:tplc="9CBC7C0A">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1" w15:restartNumberingAfterBreak="0">
    <w:nsid w:val="55270B58"/>
    <w:multiLevelType w:val="hybridMultilevel"/>
    <w:tmpl w:val="E4D8F778"/>
    <w:lvl w:ilvl="0" w:tplc="F132B0FA">
      <w:start w:val="1"/>
      <w:numFmt w:val="japaneseCounting"/>
      <w:lvlText w:val="（%1）"/>
      <w:lvlJc w:val="left"/>
      <w:pPr>
        <w:ind w:left="1440" w:hanging="9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num w:numId="1">
    <w:abstractNumId w:val="10"/>
  </w:num>
  <w:num w:numId="2">
    <w:abstractNumId w:val="0"/>
  </w:num>
  <w:num w:numId="3">
    <w:abstractNumId w:val="3"/>
  </w:num>
  <w:num w:numId="4">
    <w:abstractNumId w:val="2"/>
  </w:num>
  <w:num w:numId="5">
    <w:abstractNumId w:val="7"/>
  </w:num>
  <w:num w:numId="6">
    <w:abstractNumId w:val="1"/>
  </w:num>
  <w:num w:numId="7">
    <w:abstractNumId w:val="11"/>
  </w:num>
  <w:num w:numId="8">
    <w:abstractNumId w:val="8"/>
  </w:num>
  <w:num w:numId="9">
    <w:abstractNumId w:val="4"/>
  </w:num>
  <w:num w:numId="10">
    <w:abstractNumId w:val="6"/>
  </w:num>
  <w:num w:numId="11">
    <w:abstractNumId w:val="5"/>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29F"/>
    <w:rsid w:val="00000898"/>
    <w:rsid w:val="00010BF8"/>
    <w:rsid w:val="00011265"/>
    <w:rsid w:val="00011479"/>
    <w:rsid w:val="000117FF"/>
    <w:rsid w:val="00013B31"/>
    <w:rsid w:val="000235AF"/>
    <w:rsid w:val="000262F5"/>
    <w:rsid w:val="000274A6"/>
    <w:rsid w:val="00032312"/>
    <w:rsid w:val="0003684C"/>
    <w:rsid w:val="00040D22"/>
    <w:rsid w:val="00043382"/>
    <w:rsid w:val="00044E94"/>
    <w:rsid w:val="000450D3"/>
    <w:rsid w:val="00046424"/>
    <w:rsid w:val="0005301E"/>
    <w:rsid w:val="00053B1F"/>
    <w:rsid w:val="00054016"/>
    <w:rsid w:val="00054758"/>
    <w:rsid w:val="000605C4"/>
    <w:rsid w:val="000622D2"/>
    <w:rsid w:val="00065A7A"/>
    <w:rsid w:val="0007018A"/>
    <w:rsid w:val="000707B1"/>
    <w:rsid w:val="00071155"/>
    <w:rsid w:val="00071FB5"/>
    <w:rsid w:val="0007485B"/>
    <w:rsid w:val="00074DC2"/>
    <w:rsid w:val="00075D37"/>
    <w:rsid w:val="000779E8"/>
    <w:rsid w:val="00082F08"/>
    <w:rsid w:val="00086754"/>
    <w:rsid w:val="00096C0E"/>
    <w:rsid w:val="0009720A"/>
    <w:rsid w:val="000A5B9D"/>
    <w:rsid w:val="000A6A7A"/>
    <w:rsid w:val="000B0611"/>
    <w:rsid w:val="000B29EB"/>
    <w:rsid w:val="000B469F"/>
    <w:rsid w:val="000C1155"/>
    <w:rsid w:val="000C1D3D"/>
    <w:rsid w:val="000C456E"/>
    <w:rsid w:val="000D2678"/>
    <w:rsid w:val="000D4AEC"/>
    <w:rsid w:val="000D7195"/>
    <w:rsid w:val="000E224B"/>
    <w:rsid w:val="000E4737"/>
    <w:rsid w:val="000F1F90"/>
    <w:rsid w:val="000F2352"/>
    <w:rsid w:val="0010760C"/>
    <w:rsid w:val="00110488"/>
    <w:rsid w:val="00112E48"/>
    <w:rsid w:val="00114904"/>
    <w:rsid w:val="001153A1"/>
    <w:rsid w:val="0012080B"/>
    <w:rsid w:val="00121B01"/>
    <w:rsid w:val="00123B3A"/>
    <w:rsid w:val="00135B1E"/>
    <w:rsid w:val="00136B0A"/>
    <w:rsid w:val="00140A9E"/>
    <w:rsid w:val="0014454B"/>
    <w:rsid w:val="0015241E"/>
    <w:rsid w:val="001526D2"/>
    <w:rsid w:val="0015604E"/>
    <w:rsid w:val="001573A5"/>
    <w:rsid w:val="00161A3D"/>
    <w:rsid w:val="00164073"/>
    <w:rsid w:val="00167C0B"/>
    <w:rsid w:val="00170764"/>
    <w:rsid w:val="00173CA8"/>
    <w:rsid w:val="0017791A"/>
    <w:rsid w:val="00181042"/>
    <w:rsid w:val="00181128"/>
    <w:rsid w:val="00181D7F"/>
    <w:rsid w:val="00182E5A"/>
    <w:rsid w:val="00184868"/>
    <w:rsid w:val="001873CA"/>
    <w:rsid w:val="001A02ED"/>
    <w:rsid w:val="001B132F"/>
    <w:rsid w:val="001B187B"/>
    <w:rsid w:val="001B2CFC"/>
    <w:rsid w:val="001B7E27"/>
    <w:rsid w:val="001C7734"/>
    <w:rsid w:val="001D32B2"/>
    <w:rsid w:val="001D4259"/>
    <w:rsid w:val="001D53EC"/>
    <w:rsid w:val="001D798D"/>
    <w:rsid w:val="001E2744"/>
    <w:rsid w:val="001E5473"/>
    <w:rsid w:val="001E5B35"/>
    <w:rsid w:val="001E62F1"/>
    <w:rsid w:val="001F02F3"/>
    <w:rsid w:val="001F39E4"/>
    <w:rsid w:val="001F5A23"/>
    <w:rsid w:val="001F5EE3"/>
    <w:rsid w:val="00210F50"/>
    <w:rsid w:val="00213FBD"/>
    <w:rsid w:val="00216772"/>
    <w:rsid w:val="002204AF"/>
    <w:rsid w:val="00223BE2"/>
    <w:rsid w:val="00227BB0"/>
    <w:rsid w:val="002313D5"/>
    <w:rsid w:val="00233A1E"/>
    <w:rsid w:val="00242998"/>
    <w:rsid w:val="0025287F"/>
    <w:rsid w:val="00254194"/>
    <w:rsid w:val="00254855"/>
    <w:rsid w:val="00255136"/>
    <w:rsid w:val="0025658B"/>
    <w:rsid w:val="0025791A"/>
    <w:rsid w:val="0026001D"/>
    <w:rsid w:val="00261C36"/>
    <w:rsid w:val="0026284C"/>
    <w:rsid w:val="002638BA"/>
    <w:rsid w:val="002658F2"/>
    <w:rsid w:val="002676E3"/>
    <w:rsid w:val="00272E2F"/>
    <w:rsid w:val="002745B1"/>
    <w:rsid w:val="00274F1A"/>
    <w:rsid w:val="0027522C"/>
    <w:rsid w:val="00276250"/>
    <w:rsid w:val="002816B1"/>
    <w:rsid w:val="002818E0"/>
    <w:rsid w:val="00286622"/>
    <w:rsid w:val="00297CDE"/>
    <w:rsid w:val="002A3AD1"/>
    <w:rsid w:val="002A4069"/>
    <w:rsid w:val="002A5209"/>
    <w:rsid w:val="002A5C1E"/>
    <w:rsid w:val="002A7CA8"/>
    <w:rsid w:val="002B0157"/>
    <w:rsid w:val="002B1C34"/>
    <w:rsid w:val="002C321C"/>
    <w:rsid w:val="002C3D4F"/>
    <w:rsid w:val="002C4D2B"/>
    <w:rsid w:val="002C52A9"/>
    <w:rsid w:val="002C686F"/>
    <w:rsid w:val="002D5971"/>
    <w:rsid w:val="002E265F"/>
    <w:rsid w:val="002E6884"/>
    <w:rsid w:val="002E70F0"/>
    <w:rsid w:val="002F0252"/>
    <w:rsid w:val="002F58E1"/>
    <w:rsid w:val="00317D20"/>
    <w:rsid w:val="00320F09"/>
    <w:rsid w:val="003312A7"/>
    <w:rsid w:val="0034041B"/>
    <w:rsid w:val="00341EFD"/>
    <w:rsid w:val="00343A94"/>
    <w:rsid w:val="00346B7C"/>
    <w:rsid w:val="00352AF3"/>
    <w:rsid w:val="00352B92"/>
    <w:rsid w:val="00353FCF"/>
    <w:rsid w:val="00355FA9"/>
    <w:rsid w:val="00356520"/>
    <w:rsid w:val="00362485"/>
    <w:rsid w:val="00370BE9"/>
    <w:rsid w:val="00380027"/>
    <w:rsid w:val="00380380"/>
    <w:rsid w:val="00382312"/>
    <w:rsid w:val="0038588A"/>
    <w:rsid w:val="00391049"/>
    <w:rsid w:val="00393882"/>
    <w:rsid w:val="00394183"/>
    <w:rsid w:val="00397AA0"/>
    <w:rsid w:val="003A0824"/>
    <w:rsid w:val="003A124A"/>
    <w:rsid w:val="003A64B2"/>
    <w:rsid w:val="003A6B51"/>
    <w:rsid w:val="003B276A"/>
    <w:rsid w:val="003B3580"/>
    <w:rsid w:val="003B70FC"/>
    <w:rsid w:val="003B7BF8"/>
    <w:rsid w:val="003C0A19"/>
    <w:rsid w:val="003C294D"/>
    <w:rsid w:val="003C3871"/>
    <w:rsid w:val="003C4C26"/>
    <w:rsid w:val="003C7338"/>
    <w:rsid w:val="003D79D1"/>
    <w:rsid w:val="003E52F9"/>
    <w:rsid w:val="003E7A27"/>
    <w:rsid w:val="003E7BFF"/>
    <w:rsid w:val="003F217A"/>
    <w:rsid w:val="003F5873"/>
    <w:rsid w:val="00404700"/>
    <w:rsid w:val="00407A25"/>
    <w:rsid w:val="0041054E"/>
    <w:rsid w:val="004139E2"/>
    <w:rsid w:val="00413BF0"/>
    <w:rsid w:val="00421EEE"/>
    <w:rsid w:val="00425592"/>
    <w:rsid w:val="0042622C"/>
    <w:rsid w:val="00426CC6"/>
    <w:rsid w:val="00427BB0"/>
    <w:rsid w:val="00431205"/>
    <w:rsid w:val="00431E1D"/>
    <w:rsid w:val="00433387"/>
    <w:rsid w:val="00433B61"/>
    <w:rsid w:val="004547AD"/>
    <w:rsid w:val="00457958"/>
    <w:rsid w:val="004646A3"/>
    <w:rsid w:val="00470204"/>
    <w:rsid w:val="00472AB2"/>
    <w:rsid w:val="004821D8"/>
    <w:rsid w:val="004824E1"/>
    <w:rsid w:val="0048359F"/>
    <w:rsid w:val="004846EC"/>
    <w:rsid w:val="00484ED1"/>
    <w:rsid w:val="00490418"/>
    <w:rsid w:val="0049129F"/>
    <w:rsid w:val="00494325"/>
    <w:rsid w:val="00495FEB"/>
    <w:rsid w:val="004A3654"/>
    <w:rsid w:val="004C1CA5"/>
    <w:rsid w:val="004D6F42"/>
    <w:rsid w:val="004E20D9"/>
    <w:rsid w:val="004E2614"/>
    <w:rsid w:val="004E394F"/>
    <w:rsid w:val="004E55DB"/>
    <w:rsid w:val="004F17D9"/>
    <w:rsid w:val="004F235B"/>
    <w:rsid w:val="004F68B9"/>
    <w:rsid w:val="004F6A48"/>
    <w:rsid w:val="0050544B"/>
    <w:rsid w:val="005056C0"/>
    <w:rsid w:val="00506D8D"/>
    <w:rsid w:val="00513F3F"/>
    <w:rsid w:val="005161B5"/>
    <w:rsid w:val="00523A67"/>
    <w:rsid w:val="005251D1"/>
    <w:rsid w:val="005254F5"/>
    <w:rsid w:val="00526C24"/>
    <w:rsid w:val="00527C77"/>
    <w:rsid w:val="00532602"/>
    <w:rsid w:val="00544469"/>
    <w:rsid w:val="0054636B"/>
    <w:rsid w:val="0055174A"/>
    <w:rsid w:val="00552F90"/>
    <w:rsid w:val="005538B3"/>
    <w:rsid w:val="005624E6"/>
    <w:rsid w:val="00563138"/>
    <w:rsid w:val="00563B16"/>
    <w:rsid w:val="005710FE"/>
    <w:rsid w:val="00573A25"/>
    <w:rsid w:val="00581FB3"/>
    <w:rsid w:val="00583006"/>
    <w:rsid w:val="00585767"/>
    <w:rsid w:val="00585F58"/>
    <w:rsid w:val="0059339D"/>
    <w:rsid w:val="00593A18"/>
    <w:rsid w:val="005947BE"/>
    <w:rsid w:val="005978DB"/>
    <w:rsid w:val="005A14BF"/>
    <w:rsid w:val="005A3CAA"/>
    <w:rsid w:val="005A58BD"/>
    <w:rsid w:val="005A61B8"/>
    <w:rsid w:val="005B10BE"/>
    <w:rsid w:val="005B16E1"/>
    <w:rsid w:val="005B17AF"/>
    <w:rsid w:val="005B1C62"/>
    <w:rsid w:val="005C78C3"/>
    <w:rsid w:val="005D32A2"/>
    <w:rsid w:val="005E037E"/>
    <w:rsid w:val="005F15DB"/>
    <w:rsid w:val="005F7A4B"/>
    <w:rsid w:val="0060272D"/>
    <w:rsid w:val="00603893"/>
    <w:rsid w:val="006040D2"/>
    <w:rsid w:val="0060461B"/>
    <w:rsid w:val="00604AA1"/>
    <w:rsid w:val="00604B77"/>
    <w:rsid w:val="0060638B"/>
    <w:rsid w:val="006120FC"/>
    <w:rsid w:val="00612D32"/>
    <w:rsid w:val="00616F38"/>
    <w:rsid w:val="006178FF"/>
    <w:rsid w:val="006209E6"/>
    <w:rsid w:val="00621817"/>
    <w:rsid w:val="00625D38"/>
    <w:rsid w:val="00625D8C"/>
    <w:rsid w:val="006271C1"/>
    <w:rsid w:val="006303E8"/>
    <w:rsid w:val="00633A7A"/>
    <w:rsid w:val="00637FF6"/>
    <w:rsid w:val="006420F4"/>
    <w:rsid w:val="006449D5"/>
    <w:rsid w:val="00645602"/>
    <w:rsid w:val="00651C14"/>
    <w:rsid w:val="006540EE"/>
    <w:rsid w:val="00655B7D"/>
    <w:rsid w:val="00655E8C"/>
    <w:rsid w:val="00660183"/>
    <w:rsid w:val="00662F52"/>
    <w:rsid w:val="00662FED"/>
    <w:rsid w:val="006652C3"/>
    <w:rsid w:val="00666FAF"/>
    <w:rsid w:val="00673223"/>
    <w:rsid w:val="006764A0"/>
    <w:rsid w:val="00682277"/>
    <w:rsid w:val="006843F0"/>
    <w:rsid w:val="00685F7F"/>
    <w:rsid w:val="00686F37"/>
    <w:rsid w:val="006877CD"/>
    <w:rsid w:val="006953CD"/>
    <w:rsid w:val="006A0674"/>
    <w:rsid w:val="006A0CD2"/>
    <w:rsid w:val="006A44CF"/>
    <w:rsid w:val="006A491B"/>
    <w:rsid w:val="006A498A"/>
    <w:rsid w:val="006A60C6"/>
    <w:rsid w:val="006A71B6"/>
    <w:rsid w:val="006B6B50"/>
    <w:rsid w:val="006C34AE"/>
    <w:rsid w:val="006D2C20"/>
    <w:rsid w:val="006D5303"/>
    <w:rsid w:val="006D6FA1"/>
    <w:rsid w:val="006E0D7A"/>
    <w:rsid w:val="006E2328"/>
    <w:rsid w:val="006E34B9"/>
    <w:rsid w:val="006F0A22"/>
    <w:rsid w:val="006F3327"/>
    <w:rsid w:val="006F7338"/>
    <w:rsid w:val="006F7CB5"/>
    <w:rsid w:val="007006B1"/>
    <w:rsid w:val="0070105E"/>
    <w:rsid w:val="0070268E"/>
    <w:rsid w:val="00704609"/>
    <w:rsid w:val="00704696"/>
    <w:rsid w:val="00704FF7"/>
    <w:rsid w:val="00705796"/>
    <w:rsid w:val="00713C6C"/>
    <w:rsid w:val="0071690E"/>
    <w:rsid w:val="0071697B"/>
    <w:rsid w:val="00716F77"/>
    <w:rsid w:val="00722A39"/>
    <w:rsid w:val="00725A7C"/>
    <w:rsid w:val="00732B0D"/>
    <w:rsid w:val="00733764"/>
    <w:rsid w:val="00745ED1"/>
    <w:rsid w:val="007466C5"/>
    <w:rsid w:val="007468EA"/>
    <w:rsid w:val="007534BF"/>
    <w:rsid w:val="0075418F"/>
    <w:rsid w:val="007553F9"/>
    <w:rsid w:val="007564DC"/>
    <w:rsid w:val="007642B1"/>
    <w:rsid w:val="00766406"/>
    <w:rsid w:val="00767859"/>
    <w:rsid w:val="007803D5"/>
    <w:rsid w:val="00781A91"/>
    <w:rsid w:val="00783138"/>
    <w:rsid w:val="00783E33"/>
    <w:rsid w:val="0078446A"/>
    <w:rsid w:val="0078461F"/>
    <w:rsid w:val="00785DE4"/>
    <w:rsid w:val="00787093"/>
    <w:rsid w:val="00790BCE"/>
    <w:rsid w:val="007970E3"/>
    <w:rsid w:val="007A25C6"/>
    <w:rsid w:val="007B63E8"/>
    <w:rsid w:val="007C4AC1"/>
    <w:rsid w:val="007C7A33"/>
    <w:rsid w:val="007C7B21"/>
    <w:rsid w:val="007D152A"/>
    <w:rsid w:val="007D30AB"/>
    <w:rsid w:val="007D5C63"/>
    <w:rsid w:val="007E1217"/>
    <w:rsid w:val="007E1379"/>
    <w:rsid w:val="007E1FB7"/>
    <w:rsid w:val="007E400E"/>
    <w:rsid w:val="007E6436"/>
    <w:rsid w:val="007F12B1"/>
    <w:rsid w:val="007F1D25"/>
    <w:rsid w:val="007F29F5"/>
    <w:rsid w:val="0080096F"/>
    <w:rsid w:val="00800D6B"/>
    <w:rsid w:val="0080209F"/>
    <w:rsid w:val="00806888"/>
    <w:rsid w:val="00811EDB"/>
    <w:rsid w:val="00821443"/>
    <w:rsid w:val="0083057D"/>
    <w:rsid w:val="00832274"/>
    <w:rsid w:val="00843D58"/>
    <w:rsid w:val="00845AF7"/>
    <w:rsid w:val="0084672D"/>
    <w:rsid w:val="00846D25"/>
    <w:rsid w:val="008471F6"/>
    <w:rsid w:val="00850B5D"/>
    <w:rsid w:val="00852CF9"/>
    <w:rsid w:val="008530F6"/>
    <w:rsid w:val="008536CA"/>
    <w:rsid w:val="00854CD3"/>
    <w:rsid w:val="00855C16"/>
    <w:rsid w:val="0085648E"/>
    <w:rsid w:val="008577AC"/>
    <w:rsid w:val="00861DA0"/>
    <w:rsid w:val="00863DD0"/>
    <w:rsid w:val="00874EBE"/>
    <w:rsid w:val="00886BC0"/>
    <w:rsid w:val="00896F96"/>
    <w:rsid w:val="00897ED4"/>
    <w:rsid w:val="008A1BC5"/>
    <w:rsid w:val="008C72F2"/>
    <w:rsid w:val="008D21C0"/>
    <w:rsid w:val="008D38AC"/>
    <w:rsid w:val="008D504A"/>
    <w:rsid w:val="008D7671"/>
    <w:rsid w:val="008E0CD9"/>
    <w:rsid w:val="008E12CD"/>
    <w:rsid w:val="008E2EFE"/>
    <w:rsid w:val="008E43A0"/>
    <w:rsid w:val="008E4CB8"/>
    <w:rsid w:val="008F649E"/>
    <w:rsid w:val="00903512"/>
    <w:rsid w:val="00904B97"/>
    <w:rsid w:val="00904CDB"/>
    <w:rsid w:val="00911B84"/>
    <w:rsid w:val="0091713C"/>
    <w:rsid w:val="009200F0"/>
    <w:rsid w:val="00921116"/>
    <w:rsid w:val="00925485"/>
    <w:rsid w:val="00931370"/>
    <w:rsid w:val="009316CB"/>
    <w:rsid w:val="00937F20"/>
    <w:rsid w:val="00940065"/>
    <w:rsid w:val="00942C6D"/>
    <w:rsid w:val="00950B5C"/>
    <w:rsid w:val="0095601E"/>
    <w:rsid w:val="009575D9"/>
    <w:rsid w:val="0096316E"/>
    <w:rsid w:val="00965DCE"/>
    <w:rsid w:val="00971F15"/>
    <w:rsid w:val="00974BD8"/>
    <w:rsid w:val="0098360D"/>
    <w:rsid w:val="0098631E"/>
    <w:rsid w:val="00986A12"/>
    <w:rsid w:val="00991E40"/>
    <w:rsid w:val="009932D7"/>
    <w:rsid w:val="00993715"/>
    <w:rsid w:val="00993748"/>
    <w:rsid w:val="00997DC7"/>
    <w:rsid w:val="009A1DB7"/>
    <w:rsid w:val="009A2259"/>
    <w:rsid w:val="009A4C8C"/>
    <w:rsid w:val="009A7EBD"/>
    <w:rsid w:val="009B205C"/>
    <w:rsid w:val="009B4429"/>
    <w:rsid w:val="009B54A6"/>
    <w:rsid w:val="009B7D77"/>
    <w:rsid w:val="009C267C"/>
    <w:rsid w:val="009C33A4"/>
    <w:rsid w:val="009C3DD2"/>
    <w:rsid w:val="009C4EA6"/>
    <w:rsid w:val="009C5D85"/>
    <w:rsid w:val="009D6806"/>
    <w:rsid w:val="009E1ADC"/>
    <w:rsid w:val="009E4F4F"/>
    <w:rsid w:val="009E5DFE"/>
    <w:rsid w:val="009F0690"/>
    <w:rsid w:val="009F1907"/>
    <w:rsid w:val="009F1D4F"/>
    <w:rsid w:val="00A03B4D"/>
    <w:rsid w:val="00A06FBA"/>
    <w:rsid w:val="00A13B0D"/>
    <w:rsid w:val="00A15794"/>
    <w:rsid w:val="00A16F34"/>
    <w:rsid w:val="00A25810"/>
    <w:rsid w:val="00A2793C"/>
    <w:rsid w:val="00A30DE1"/>
    <w:rsid w:val="00A330D0"/>
    <w:rsid w:val="00A36184"/>
    <w:rsid w:val="00A36296"/>
    <w:rsid w:val="00A37367"/>
    <w:rsid w:val="00A4075D"/>
    <w:rsid w:val="00A40B5E"/>
    <w:rsid w:val="00A418B5"/>
    <w:rsid w:val="00A440E3"/>
    <w:rsid w:val="00A47777"/>
    <w:rsid w:val="00A47CCF"/>
    <w:rsid w:val="00A62C17"/>
    <w:rsid w:val="00A66FB0"/>
    <w:rsid w:val="00A7030E"/>
    <w:rsid w:val="00A800C2"/>
    <w:rsid w:val="00A94D35"/>
    <w:rsid w:val="00A95F00"/>
    <w:rsid w:val="00AA2B2F"/>
    <w:rsid w:val="00AB0AC2"/>
    <w:rsid w:val="00AB16DA"/>
    <w:rsid w:val="00AB508D"/>
    <w:rsid w:val="00AB69DF"/>
    <w:rsid w:val="00AB7F2B"/>
    <w:rsid w:val="00AC314F"/>
    <w:rsid w:val="00AC578E"/>
    <w:rsid w:val="00AD0871"/>
    <w:rsid w:val="00AD23F7"/>
    <w:rsid w:val="00AD634B"/>
    <w:rsid w:val="00AE417E"/>
    <w:rsid w:val="00AE4FF4"/>
    <w:rsid w:val="00AE7E26"/>
    <w:rsid w:val="00AF2B0F"/>
    <w:rsid w:val="00AF30AF"/>
    <w:rsid w:val="00AF4AF7"/>
    <w:rsid w:val="00AF7477"/>
    <w:rsid w:val="00B02C5D"/>
    <w:rsid w:val="00B05458"/>
    <w:rsid w:val="00B0715D"/>
    <w:rsid w:val="00B076EF"/>
    <w:rsid w:val="00B102A1"/>
    <w:rsid w:val="00B12045"/>
    <w:rsid w:val="00B1417D"/>
    <w:rsid w:val="00B14D9A"/>
    <w:rsid w:val="00B24698"/>
    <w:rsid w:val="00B24C52"/>
    <w:rsid w:val="00B31877"/>
    <w:rsid w:val="00B337A0"/>
    <w:rsid w:val="00B343AF"/>
    <w:rsid w:val="00B44D2F"/>
    <w:rsid w:val="00B519AA"/>
    <w:rsid w:val="00B567AE"/>
    <w:rsid w:val="00B60108"/>
    <w:rsid w:val="00B67764"/>
    <w:rsid w:val="00B70109"/>
    <w:rsid w:val="00B70AB5"/>
    <w:rsid w:val="00B7714D"/>
    <w:rsid w:val="00B840AC"/>
    <w:rsid w:val="00B8581D"/>
    <w:rsid w:val="00B85D7D"/>
    <w:rsid w:val="00B87CF4"/>
    <w:rsid w:val="00B95B13"/>
    <w:rsid w:val="00BA06C6"/>
    <w:rsid w:val="00BA197B"/>
    <w:rsid w:val="00BA1D71"/>
    <w:rsid w:val="00BA2AA2"/>
    <w:rsid w:val="00BA4C4A"/>
    <w:rsid w:val="00BA62C5"/>
    <w:rsid w:val="00BB03DE"/>
    <w:rsid w:val="00BB0BB6"/>
    <w:rsid w:val="00BC55DB"/>
    <w:rsid w:val="00BD1619"/>
    <w:rsid w:val="00BD16CA"/>
    <w:rsid w:val="00BD3FA1"/>
    <w:rsid w:val="00BD5488"/>
    <w:rsid w:val="00BE7534"/>
    <w:rsid w:val="00BE7FB0"/>
    <w:rsid w:val="00BF0361"/>
    <w:rsid w:val="00BF0508"/>
    <w:rsid w:val="00BF077D"/>
    <w:rsid w:val="00BF620F"/>
    <w:rsid w:val="00C03F52"/>
    <w:rsid w:val="00C05017"/>
    <w:rsid w:val="00C07903"/>
    <w:rsid w:val="00C11149"/>
    <w:rsid w:val="00C13574"/>
    <w:rsid w:val="00C15C63"/>
    <w:rsid w:val="00C2694D"/>
    <w:rsid w:val="00C26D45"/>
    <w:rsid w:val="00C2707E"/>
    <w:rsid w:val="00C305F8"/>
    <w:rsid w:val="00C33F7D"/>
    <w:rsid w:val="00C36A69"/>
    <w:rsid w:val="00C37385"/>
    <w:rsid w:val="00C37450"/>
    <w:rsid w:val="00C40603"/>
    <w:rsid w:val="00C46E8A"/>
    <w:rsid w:val="00C51069"/>
    <w:rsid w:val="00C53997"/>
    <w:rsid w:val="00C5688C"/>
    <w:rsid w:val="00C65813"/>
    <w:rsid w:val="00C7033A"/>
    <w:rsid w:val="00C725AD"/>
    <w:rsid w:val="00C75CFA"/>
    <w:rsid w:val="00C75FE1"/>
    <w:rsid w:val="00C77469"/>
    <w:rsid w:val="00C77E28"/>
    <w:rsid w:val="00C8224D"/>
    <w:rsid w:val="00C82953"/>
    <w:rsid w:val="00C84431"/>
    <w:rsid w:val="00C9119B"/>
    <w:rsid w:val="00C979B6"/>
    <w:rsid w:val="00CA0608"/>
    <w:rsid w:val="00CA1EAB"/>
    <w:rsid w:val="00CA3C67"/>
    <w:rsid w:val="00CA5D3A"/>
    <w:rsid w:val="00CA6EDD"/>
    <w:rsid w:val="00CB07A4"/>
    <w:rsid w:val="00CC0342"/>
    <w:rsid w:val="00CC05FB"/>
    <w:rsid w:val="00CC35B4"/>
    <w:rsid w:val="00CD0E0F"/>
    <w:rsid w:val="00CD7EC7"/>
    <w:rsid w:val="00CE31AB"/>
    <w:rsid w:val="00CF6227"/>
    <w:rsid w:val="00D0187B"/>
    <w:rsid w:val="00D047A9"/>
    <w:rsid w:val="00D055F7"/>
    <w:rsid w:val="00D108B6"/>
    <w:rsid w:val="00D10EA2"/>
    <w:rsid w:val="00D15CBA"/>
    <w:rsid w:val="00D17279"/>
    <w:rsid w:val="00D22432"/>
    <w:rsid w:val="00D2482F"/>
    <w:rsid w:val="00D377F8"/>
    <w:rsid w:val="00D37A98"/>
    <w:rsid w:val="00D45B0C"/>
    <w:rsid w:val="00D46C1A"/>
    <w:rsid w:val="00D509CC"/>
    <w:rsid w:val="00D5125E"/>
    <w:rsid w:val="00D53970"/>
    <w:rsid w:val="00D553D6"/>
    <w:rsid w:val="00D55FB4"/>
    <w:rsid w:val="00D6119A"/>
    <w:rsid w:val="00D6122F"/>
    <w:rsid w:val="00D6534F"/>
    <w:rsid w:val="00D66539"/>
    <w:rsid w:val="00D671E1"/>
    <w:rsid w:val="00D725F6"/>
    <w:rsid w:val="00D75549"/>
    <w:rsid w:val="00D7584C"/>
    <w:rsid w:val="00D812F7"/>
    <w:rsid w:val="00D8546D"/>
    <w:rsid w:val="00D92E24"/>
    <w:rsid w:val="00D93034"/>
    <w:rsid w:val="00DA3611"/>
    <w:rsid w:val="00DB582D"/>
    <w:rsid w:val="00DC074E"/>
    <w:rsid w:val="00DC1D86"/>
    <w:rsid w:val="00DC3595"/>
    <w:rsid w:val="00DC49E9"/>
    <w:rsid w:val="00DC7082"/>
    <w:rsid w:val="00DD686C"/>
    <w:rsid w:val="00DE1234"/>
    <w:rsid w:val="00DE1B1D"/>
    <w:rsid w:val="00DE5912"/>
    <w:rsid w:val="00DE725D"/>
    <w:rsid w:val="00E03122"/>
    <w:rsid w:val="00E05F62"/>
    <w:rsid w:val="00E13094"/>
    <w:rsid w:val="00E146EF"/>
    <w:rsid w:val="00E237F8"/>
    <w:rsid w:val="00E272E0"/>
    <w:rsid w:val="00E35376"/>
    <w:rsid w:val="00E36C9F"/>
    <w:rsid w:val="00E40A68"/>
    <w:rsid w:val="00E4424E"/>
    <w:rsid w:val="00E51A19"/>
    <w:rsid w:val="00E5308B"/>
    <w:rsid w:val="00E539D8"/>
    <w:rsid w:val="00E54C85"/>
    <w:rsid w:val="00E57039"/>
    <w:rsid w:val="00E57E06"/>
    <w:rsid w:val="00E6441A"/>
    <w:rsid w:val="00E64C93"/>
    <w:rsid w:val="00E677A5"/>
    <w:rsid w:val="00E70B9C"/>
    <w:rsid w:val="00E80166"/>
    <w:rsid w:val="00E86237"/>
    <w:rsid w:val="00E94F29"/>
    <w:rsid w:val="00E96138"/>
    <w:rsid w:val="00E962EE"/>
    <w:rsid w:val="00E97EB5"/>
    <w:rsid w:val="00EA475B"/>
    <w:rsid w:val="00EA5753"/>
    <w:rsid w:val="00EB151B"/>
    <w:rsid w:val="00EB38E0"/>
    <w:rsid w:val="00ED0D0B"/>
    <w:rsid w:val="00EE06FB"/>
    <w:rsid w:val="00EE33F2"/>
    <w:rsid w:val="00EE479A"/>
    <w:rsid w:val="00EE4A47"/>
    <w:rsid w:val="00EF05D4"/>
    <w:rsid w:val="00EF2D39"/>
    <w:rsid w:val="00EF3283"/>
    <w:rsid w:val="00EF5E3E"/>
    <w:rsid w:val="00F16809"/>
    <w:rsid w:val="00F1720F"/>
    <w:rsid w:val="00F33D5C"/>
    <w:rsid w:val="00F35C43"/>
    <w:rsid w:val="00F400BF"/>
    <w:rsid w:val="00F442F4"/>
    <w:rsid w:val="00F45707"/>
    <w:rsid w:val="00F52823"/>
    <w:rsid w:val="00F52E21"/>
    <w:rsid w:val="00F5390E"/>
    <w:rsid w:val="00F62929"/>
    <w:rsid w:val="00F64FF6"/>
    <w:rsid w:val="00F66839"/>
    <w:rsid w:val="00F7422C"/>
    <w:rsid w:val="00F74C4D"/>
    <w:rsid w:val="00F81FD9"/>
    <w:rsid w:val="00F82DBD"/>
    <w:rsid w:val="00F8313C"/>
    <w:rsid w:val="00F85851"/>
    <w:rsid w:val="00F85DA8"/>
    <w:rsid w:val="00F9225A"/>
    <w:rsid w:val="00F94456"/>
    <w:rsid w:val="00FA19C2"/>
    <w:rsid w:val="00FA253D"/>
    <w:rsid w:val="00FB49C3"/>
    <w:rsid w:val="00FB52BC"/>
    <w:rsid w:val="00FC4B1F"/>
    <w:rsid w:val="00FD3527"/>
    <w:rsid w:val="00FD3A0D"/>
    <w:rsid w:val="00FD5275"/>
    <w:rsid w:val="00FE455C"/>
    <w:rsid w:val="00FF4DF1"/>
    <w:rsid w:val="00FF61D6"/>
    <w:rsid w:val="00FF6663"/>
    <w:rsid w:val="045C3C75"/>
    <w:rsid w:val="34BC44E4"/>
    <w:rsid w:val="4CD00A2F"/>
    <w:rsid w:val="553364C1"/>
    <w:rsid w:val="6E0777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DC3ABE"/>
  <w15:docId w15:val="{E7FB164D-069E-4140-9BCA-053CCD33B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636B"/>
    <w:pPr>
      <w:widowControl w:val="0"/>
      <w:jc w:val="both"/>
    </w:pPr>
    <w:rPr>
      <w:rFonts w:ascii="Times New Roman" w:eastAsia="宋体" w:hAnsi="Times New Roman" w:cs="Times New Roman"/>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HeaderChar"/>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HeaderChar">
    <w:name w:val="Header Char"/>
    <w:basedOn w:val="DefaultParagraphFont"/>
    <w:link w:val="Header"/>
    <w:uiPriority w:val="99"/>
    <w:rPr>
      <w:sz w:val="18"/>
      <w:szCs w:val="18"/>
    </w:rPr>
  </w:style>
  <w:style w:type="character" w:customStyle="1" w:styleId="FooterChar">
    <w:name w:val="Footer Char"/>
    <w:basedOn w:val="DefaultParagraphFont"/>
    <w:link w:val="Footer"/>
    <w:uiPriority w:val="99"/>
    <w:rPr>
      <w:sz w:val="18"/>
      <w:szCs w:val="18"/>
    </w:rPr>
  </w:style>
  <w:style w:type="paragraph" w:styleId="BalloonText">
    <w:name w:val="Balloon Text"/>
    <w:basedOn w:val="Normal"/>
    <w:link w:val="BalloonTextChar"/>
    <w:uiPriority w:val="99"/>
    <w:semiHidden/>
    <w:unhideWhenUsed/>
    <w:rsid w:val="00CE31A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31AB"/>
    <w:rPr>
      <w:rFonts w:ascii="Segoe UI" w:eastAsia="宋体" w:hAnsi="Segoe UI" w:cs="Segoe UI"/>
      <w:kern w:val="2"/>
      <w:sz w:val="18"/>
      <w:szCs w:val="18"/>
    </w:rPr>
  </w:style>
  <w:style w:type="paragraph" w:styleId="ListParagraph">
    <w:name w:val="List Paragraph"/>
    <w:basedOn w:val="Normal"/>
    <w:uiPriority w:val="99"/>
    <w:qFormat/>
    <w:rsid w:val="001E5B35"/>
    <w:pPr>
      <w:ind w:left="720"/>
      <w:contextualSpacing/>
    </w:pPr>
  </w:style>
  <w:style w:type="paragraph" w:styleId="NormalWeb">
    <w:name w:val="Normal (Web)"/>
    <w:basedOn w:val="Normal"/>
    <w:uiPriority w:val="99"/>
    <w:unhideWhenUsed/>
    <w:rsid w:val="00011479"/>
    <w:pPr>
      <w:widowControl/>
      <w:spacing w:before="100" w:beforeAutospacing="1" w:after="100" w:afterAutospacing="1"/>
      <w:jc w:val="left"/>
    </w:pPr>
    <w:rPr>
      <w:rFonts w:eastAsia="Times New Roman"/>
      <w:kern w:val="0"/>
      <w:sz w:val="24"/>
    </w:rPr>
  </w:style>
  <w:style w:type="character" w:styleId="CommentReference">
    <w:name w:val="annotation reference"/>
    <w:basedOn w:val="DefaultParagraphFont"/>
    <w:uiPriority w:val="99"/>
    <w:semiHidden/>
    <w:unhideWhenUsed/>
    <w:rsid w:val="000274A6"/>
    <w:rPr>
      <w:sz w:val="16"/>
      <w:szCs w:val="16"/>
    </w:rPr>
  </w:style>
  <w:style w:type="paragraph" w:styleId="CommentText">
    <w:name w:val="annotation text"/>
    <w:basedOn w:val="Normal"/>
    <w:link w:val="CommentTextChar"/>
    <w:uiPriority w:val="99"/>
    <w:semiHidden/>
    <w:unhideWhenUsed/>
    <w:rsid w:val="000274A6"/>
    <w:rPr>
      <w:sz w:val="20"/>
      <w:szCs w:val="20"/>
    </w:rPr>
  </w:style>
  <w:style w:type="character" w:customStyle="1" w:styleId="CommentTextChar">
    <w:name w:val="Comment Text Char"/>
    <w:basedOn w:val="DefaultParagraphFont"/>
    <w:link w:val="CommentText"/>
    <w:uiPriority w:val="99"/>
    <w:semiHidden/>
    <w:rsid w:val="000274A6"/>
    <w:rPr>
      <w:rFonts w:ascii="Times New Roman" w:eastAsia="宋体" w:hAnsi="Times New Roman" w:cs="Times New Roman"/>
      <w:kern w:val="2"/>
    </w:rPr>
  </w:style>
  <w:style w:type="paragraph" w:styleId="CommentSubject">
    <w:name w:val="annotation subject"/>
    <w:basedOn w:val="CommentText"/>
    <w:next w:val="CommentText"/>
    <w:link w:val="CommentSubjectChar"/>
    <w:uiPriority w:val="99"/>
    <w:semiHidden/>
    <w:unhideWhenUsed/>
    <w:rsid w:val="000274A6"/>
    <w:rPr>
      <w:b/>
      <w:bCs/>
    </w:rPr>
  </w:style>
  <w:style w:type="character" w:customStyle="1" w:styleId="CommentSubjectChar">
    <w:name w:val="Comment Subject Char"/>
    <w:basedOn w:val="CommentTextChar"/>
    <w:link w:val="CommentSubject"/>
    <w:uiPriority w:val="99"/>
    <w:semiHidden/>
    <w:rsid w:val="000274A6"/>
    <w:rPr>
      <w:rFonts w:ascii="Times New Roman" w:eastAsia="宋体" w:hAnsi="Times New Roman" w:cs="Times New Roman"/>
      <w:b/>
      <w:bCs/>
      <w:kern w:val="2"/>
    </w:rPr>
  </w:style>
  <w:style w:type="paragraph" w:styleId="Date">
    <w:name w:val="Date"/>
    <w:basedOn w:val="Normal"/>
    <w:next w:val="Normal"/>
    <w:link w:val="DateChar"/>
    <w:uiPriority w:val="99"/>
    <w:semiHidden/>
    <w:unhideWhenUsed/>
    <w:rsid w:val="00A13B0D"/>
    <w:pPr>
      <w:ind w:leftChars="2500" w:left="100"/>
    </w:pPr>
  </w:style>
  <w:style w:type="character" w:customStyle="1" w:styleId="DateChar">
    <w:name w:val="Date Char"/>
    <w:basedOn w:val="DefaultParagraphFont"/>
    <w:link w:val="Date"/>
    <w:uiPriority w:val="99"/>
    <w:semiHidden/>
    <w:rsid w:val="00A13B0D"/>
    <w:rPr>
      <w:rFonts w:ascii="Times New Roman" w:eastAsia="宋体" w:hAnsi="Times New Roman" w:cs="Times New Roman"/>
      <w:kern w:val="2"/>
      <w:sz w:val="21"/>
      <w:szCs w:val="24"/>
    </w:rPr>
  </w:style>
  <w:style w:type="table" w:styleId="TableGrid">
    <w:name w:val="Table Grid"/>
    <w:basedOn w:val="TableNormal"/>
    <w:uiPriority w:val="39"/>
    <w:rsid w:val="00D055F7"/>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A61B8"/>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72925">
      <w:bodyDiv w:val="1"/>
      <w:marLeft w:val="0"/>
      <w:marRight w:val="0"/>
      <w:marTop w:val="0"/>
      <w:marBottom w:val="0"/>
      <w:divBdr>
        <w:top w:val="none" w:sz="0" w:space="0" w:color="auto"/>
        <w:left w:val="none" w:sz="0" w:space="0" w:color="auto"/>
        <w:bottom w:val="none" w:sz="0" w:space="0" w:color="auto"/>
        <w:right w:val="none" w:sz="0" w:space="0" w:color="auto"/>
      </w:divBdr>
    </w:div>
    <w:div w:id="29498703">
      <w:bodyDiv w:val="1"/>
      <w:marLeft w:val="0"/>
      <w:marRight w:val="0"/>
      <w:marTop w:val="0"/>
      <w:marBottom w:val="0"/>
      <w:divBdr>
        <w:top w:val="none" w:sz="0" w:space="0" w:color="auto"/>
        <w:left w:val="none" w:sz="0" w:space="0" w:color="auto"/>
        <w:bottom w:val="none" w:sz="0" w:space="0" w:color="auto"/>
        <w:right w:val="none" w:sz="0" w:space="0" w:color="auto"/>
      </w:divBdr>
    </w:div>
    <w:div w:id="43988402">
      <w:bodyDiv w:val="1"/>
      <w:marLeft w:val="0"/>
      <w:marRight w:val="0"/>
      <w:marTop w:val="0"/>
      <w:marBottom w:val="0"/>
      <w:divBdr>
        <w:top w:val="none" w:sz="0" w:space="0" w:color="auto"/>
        <w:left w:val="none" w:sz="0" w:space="0" w:color="auto"/>
        <w:bottom w:val="none" w:sz="0" w:space="0" w:color="auto"/>
        <w:right w:val="none" w:sz="0" w:space="0" w:color="auto"/>
      </w:divBdr>
    </w:div>
    <w:div w:id="45225891">
      <w:bodyDiv w:val="1"/>
      <w:marLeft w:val="0"/>
      <w:marRight w:val="0"/>
      <w:marTop w:val="0"/>
      <w:marBottom w:val="0"/>
      <w:divBdr>
        <w:top w:val="none" w:sz="0" w:space="0" w:color="auto"/>
        <w:left w:val="none" w:sz="0" w:space="0" w:color="auto"/>
        <w:bottom w:val="none" w:sz="0" w:space="0" w:color="auto"/>
        <w:right w:val="none" w:sz="0" w:space="0" w:color="auto"/>
      </w:divBdr>
    </w:div>
    <w:div w:id="49379694">
      <w:bodyDiv w:val="1"/>
      <w:marLeft w:val="0"/>
      <w:marRight w:val="0"/>
      <w:marTop w:val="0"/>
      <w:marBottom w:val="0"/>
      <w:divBdr>
        <w:top w:val="none" w:sz="0" w:space="0" w:color="auto"/>
        <w:left w:val="none" w:sz="0" w:space="0" w:color="auto"/>
        <w:bottom w:val="none" w:sz="0" w:space="0" w:color="auto"/>
        <w:right w:val="none" w:sz="0" w:space="0" w:color="auto"/>
      </w:divBdr>
    </w:div>
    <w:div w:id="63531605">
      <w:bodyDiv w:val="1"/>
      <w:marLeft w:val="0"/>
      <w:marRight w:val="0"/>
      <w:marTop w:val="0"/>
      <w:marBottom w:val="0"/>
      <w:divBdr>
        <w:top w:val="none" w:sz="0" w:space="0" w:color="auto"/>
        <w:left w:val="none" w:sz="0" w:space="0" w:color="auto"/>
        <w:bottom w:val="none" w:sz="0" w:space="0" w:color="auto"/>
        <w:right w:val="none" w:sz="0" w:space="0" w:color="auto"/>
      </w:divBdr>
    </w:div>
    <w:div w:id="64113586">
      <w:bodyDiv w:val="1"/>
      <w:marLeft w:val="0"/>
      <w:marRight w:val="0"/>
      <w:marTop w:val="0"/>
      <w:marBottom w:val="0"/>
      <w:divBdr>
        <w:top w:val="none" w:sz="0" w:space="0" w:color="auto"/>
        <w:left w:val="none" w:sz="0" w:space="0" w:color="auto"/>
        <w:bottom w:val="none" w:sz="0" w:space="0" w:color="auto"/>
        <w:right w:val="none" w:sz="0" w:space="0" w:color="auto"/>
      </w:divBdr>
    </w:div>
    <w:div w:id="66652803">
      <w:bodyDiv w:val="1"/>
      <w:marLeft w:val="0"/>
      <w:marRight w:val="0"/>
      <w:marTop w:val="0"/>
      <w:marBottom w:val="0"/>
      <w:divBdr>
        <w:top w:val="none" w:sz="0" w:space="0" w:color="auto"/>
        <w:left w:val="none" w:sz="0" w:space="0" w:color="auto"/>
        <w:bottom w:val="none" w:sz="0" w:space="0" w:color="auto"/>
        <w:right w:val="none" w:sz="0" w:space="0" w:color="auto"/>
      </w:divBdr>
    </w:div>
    <w:div w:id="72091812">
      <w:bodyDiv w:val="1"/>
      <w:marLeft w:val="0"/>
      <w:marRight w:val="0"/>
      <w:marTop w:val="0"/>
      <w:marBottom w:val="0"/>
      <w:divBdr>
        <w:top w:val="none" w:sz="0" w:space="0" w:color="auto"/>
        <w:left w:val="none" w:sz="0" w:space="0" w:color="auto"/>
        <w:bottom w:val="none" w:sz="0" w:space="0" w:color="auto"/>
        <w:right w:val="none" w:sz="0" w:space="0" w:color="auto"/>
      </w:divBdr>
    </w:div>
    <w:div w:id="85882867">
      <w:bodyDiv w:val="1"/>
      <w:marLeft w:val="0"/>
      <w:marRight w:val="0"/>
      <w:marTop w:val="0"/>
      <w:marBottom w:val="0"/>
      <w:divBdr>
        <w:top w:val="none" w:sz="0" w:space="0" w:color="auto"/>
        <w:left w:val="none" w:sz="0" w:space="0" w:color="auto"/>
        <w:bottom w:val="none" w:sz="0" w:space="0" w:color="auto"/>
        <w:right w:val="none" w:sz="0" w:space="0" w:color="auto"/>
      </w:divBdr>
    </w:div>
    <w:div w:id="87777574">
      <w:bodyDiv w:val="1"/>
      <w:marLeft w:val="0"/>
      <w:marRight w:val="0"/>
      <w:marTop w:val="0"/>
      <w:marBottom w:val="0"/>
      <w:divBdr>
        <w:top w:val="none" w:sz="0" w:space="0" w:color="auto"/>
        <w:left w:val="none" w:sz="0" w:space="0" w:color="auto"/>
        <w:bottom w:val="none" w:sz="0" w:space="0" w:color="auto"/>
        <w:right w:val="none" w:sz="0" w:space="0" w:color="auto"/>
      </w:divBdr>
    </w:div>
    <w:div w:id="126045575">
      <w:bodyDiv w:val="1"/>
      <w:marLeft w:val="0"/>
      <w:marRight w:val="0"/>
      <w:marTop w:val="0"/>
      <w:marBottom w:val="0"/>
      <w:divBdr>
        <w:top w:val="none" w:sz="0" w:space="0" w:color="auto"/>
        <w:left w:val="none" w:sz="0" w:space="0" w:color="auto"/>
        <w:bottom w:val="none" w:sz="0" w:space="0" w:color="auto"/>
        <w:right w:val="none" w:sz="0" w:space="0" w:color="auto"/>
      </w:divBdr>
    </w:div>
    <w:div w:id="142162687">
      <w:bodyDiv w:val="1"/>
      <w:marLeft w:val="0"/>
      <w:marRight w:val="0"/>
      <w:marTop w:val="0"/>
      <w:marBottom w:val="0"/>
      <w:divBdr>
        <w:top w:val="none" w:sz="0" w:space="0" w:color="auto"/>
        <w:left w:val="none" w:sz="0" w:space="0" w:color="auto"/>
        <w:bottom w:val="none" w:sz="0" w:space="0" w:color="auto"/>
        <w:right w:val="none" w:sz="0" w:space="0" w:color="auto"/>
      </w:divBdr>
    </w:div>
    <w:div w:id="152986374">
      <w:bodyDiv w:val="1"/>
      <w:marLeft w:val="0"/>
      <w:marRight w:val="0"/>
      <w:marTop w:val="0"/>
      <w:marBottom w:val="0"/>
      <w:divBdr>
        <w:top w:val="none" w:sz="0" w:space="0" w:color="auto"/>
        <w:left w:val="none" w:sz="0" w:space="0" w:color="auto"/>
        <w:bottom w:val="none" w:sz="0" w:space="0" w:color="auto"/>
        <w:right w:val="none" w:sz="0" w:space="0" w:color="auto"/>
      </w:divBdr>
    </w:div>
    <w:div w:id="159153558">
      <w:bodyDiv w:val="1"/>
      <w:marLeft w:val="0"/>
      <w:marRight w:val="0"/>
      <w:marTop w:val="0"/>
      <w:marBottom w:val="0"/>
      <w:divBdr>
        <w:top w:val="none" w:sz="0" w:space="0" w:color="auto"/>
        <w:left w:val="none" w:sz="0" w:space="0" w:color="auto"/>
        <w:bottom w:val="none" w:sz="0" w:space="0" w:color="auto"/>
        <w:right w:val="none" w:sz="0" w:space="0" w:color="auto"/>
      </w:divBdr>
    </w:div>
    <w:div w:id="162665795">
      <w:bodyDiv w:val="1"/>
      <w:marLeft w:val="0"/>
      <w:marRight w:val="0"/>
      <w:marTop w:val="0"/>
      <w:marBottom w:val="0"/>
      <w:divBdr>
        <w:top w:val="none" w:sz="0" w:space="0" w:color="auto"/>
        <w:left w:val="none" w:sz="0" w:space="0" w:color="auto"/>
        <w:bottom w:val="none" w:sz="0" w:space="0" w:color="auto"/>
        <w:right w:val="none" w:sz="0" w:space="0" w:color="auto"/>
      </w:divBdr>
    </w:div>
    <w:div w:id="168450955">
      <w:bodyDiv w:val="1"/>
      <w:marLeft w:val="0"/>
      <w:marRight w:val="0"/>
      <w:marTop w:val="0"/>
      <w:marBottom w:val="0"/>
      <w:divBdr>
        <w:top w:val="none" w:sz="0" w:space="0" w:color="auto"/>
        <w:left w:val="none" w:sz="0" w:space="0" w:color="auto"/>
        <w:bottom w:val="none" w:sz="0" w:space="0" w:color="auto"/>
        <w:right w:val="none" w:sz="0" w:space="0" w:color="auto"/>
      </w:divBdr>
    </w:div>
    <w:div w:id="235627544">
      <w:bodyDiv w:val="1"/>
      <w:marLeft w:val="0"/>
      <w:marRight w:val="0"/>
      <w:marTop w:val="0"/>
      <w:marBottom w:val="0"/>
      <w:divBdr>
        <w:top w:val="none" w:sz="0" w:space="0" w:color="auto"/>
        <w:left w:val="none" w:sz="0" w:space="0" w:color="auto"/>
        <w:bottom w:val="none" w:sz="0" w:space="0" w:color="auto"/>
        <w:right w:val="none" w:sz="0" w:space="0" w:color="auto"/>
      </w:divBdr>
    </w:div>
    <w:div w:id="246113311">
      <w:bodyDiv w:val="1"/>
      <w:marLeft w:val="0"/>
      <w:marRight w:val="0"/>
      <w:marTop w:val="0"/>
      <w:marBottom w:val="0"/>
      <w:divBdr>
        <w:top w:val="none" w:sz="0" w:space="0" w:color="auto"/>
        <w:left w:val="none" w:sz="0" w:space="0" w:color="auto"/>
        <w:bottom w:val="none" w:sz="0" w:space="0" w:color="auto"/>
        <w:right w:val="none" w:sz="0" w:space="0" w:color="auto"/>
      </w:divBdr>
    </w:div>
    <w:div w:id="258367569">
      <w:bodyDiv w:val="1"/>
      <w:marLeft w:val="0"/>
      <w:marRight w:val="0"/>
      <w:marTop w:val="0"/>
      <w:marBottom w:val="0"/>
      <w:divBdr>
        <w:top w:val="none" w:sz="0" w:space="0" w:color="auto"/>
        <w:left w:val="none" w:sz="0" w:space="0" w:color="auto"/>
        <w:bottom w:val="none" w:sz="0" w:space="0" w:color="auto"/>
        <w:right w:val="none" w:sz="0" w:space="0" w:color="auto"/>
      </w:divBdr>
    </w:div>
    <w:div w:id="264114240">
      <w:bodyDiv w:val="1"/>
      <w:marLeft w:val="0"/>
      <w:marRight w:val="0"/>
      <w:marTop w:val="0"/>
      <w:marBottom w:val="0"/>
      <w:divBdr>
        <w:top w:val="none" w:sz="0" w:space="0" w:color="auto"/>
        <w:left w:val="none" w:sz="0" w:space="0" w:color="auto"/>
        <w:bottom w:val="none" w:sz="0" w:space="0" w:color="auto"/>
        <w:right w:val="none" w:sz="0" w:space="0" w:color="auto"/>
      </w:divBdr>
    </w:div>
    <w:div w:id="268662944">
      <w:bodyDiv w:val="1"/>
      <w:marLeft w:val="0"/>
      <w:marRight w:val="0"/>
      <w:marTop w:val="0"/>
      <w:marBottom w:val="0"/>
      <w:divBdr>
        <w:top w:val="none" w:sz="0" w:space="0" w:color="auto"/>
        <w:left w:val="none" w:sz="0" w:space="0" w:color="auto"/>
        <w:bottom w:val="none" w:sz="0" w:space="0" w:color="auto"/>
        <w:right w:val="none" w:sz="0" w:space="0" w:color="auto"/>
      </w:divBdr>
    </w:div>
    <w:div w:id="277416635">
      <w:bodyDiv w:val="1"/>
      <w:marLeft w:val="0"/>
      <w:marRight w:val="0"/>
      <w:marTop w:val="0"/>
      <w:marBottom w:val="0"/>
      <w:divBdr>
        <w:top w:val="none" w:sz="0" w:space="0" w:color="auto"/>
        <w:left w:val="none" w:sz="0" w:space="0" w:color="auto"/>
        <w:bottom w:val="none" w:sz="0" w:space="0" w:color="auto"/>
        <w:right w:val="none" w:sz="0" w:space="0" w:color="auto"/>
      </w:divBdr>
    </w:div>
    <w:div w:id="297800983">
      <w:bodyDiv w:val="1"/>
      <w:marLeft w:val="0"/>
      <w:marRight w:val="0"/>
      <w:marTop w:val="0"/>
      <w:marBottom w:val="0"/>
      <w:divBdr>
        <w:top w:val="none" w:sz="0" w:space="0" w:color="auto"/>
        <w:left w:val="none" w:sz="0" w:space="0" w:color="auto"/>
        <w:bottom w:val="none" w:sz="0" w:space="0" w:color="auto"/>
        <w:right w:val="none" w:sz="0" w:space="0" w:color="auto"/>
      </w:divBdr>
    </w:div>
    <w:div w:id="298269366">
      <w:bodyDiv w:val="1"/>
      <w:marLeft w:val="0"/>
      <w:marRight w:val="0"/>
      <w:marTop w:val="0"/>
      <w:marBottom w:val="0"/>
      <w:divBdr>
        <w:top w:val="none" w:sz="0" w:space="0" w:color="auto"/>
        <w:left w:val="none" w:sz="0" w:space="0" w:color="auto"/>
        <w:bottom w:val="none" w:sz="0" w:space="0" w:color="auto"/>
        <w:right w:val="none" w:sz="0" w:space="0" w:color="auto"/>
      </w:divBdr>
    </w:div>
    <w:div w:id="317468239">
      <w:bodyDiv w:val="1"/>
      <w:marLeft w:val="0"/>
      <w:marRight w:val="0"/>
      <w:marTop w:val="0"/>
      <w:marBottom w:val="0"/>
      <w:divBdr>
        <w:top w:val="none" w:sz="0" w:space="0" w:color="auto"/>
        <w:left w:val="none" w:sz="0" w:space="0" w:color="auto"/>
        <w:bottom w:val="none" w:sz="0" w:space="0" w:color="auto"/>
        <w:right w:val="none" w:sz="0" w:space="0" w:color="auto"/>
      </w:divBdr>
    </w:div>
    <w:div w:id="323506917">
      <w:bodyDiv w:val="1"/>
      <w:marLeft w:val="0"/>
      <w:marRight w:val="0"/>
      <w:marTop w:val="0"/>
      <w:marBottom w:val="0"/>
      <w:divBdr>
        <w:top w:val="none" w:sz="0" w:space="0" w:color="auto"/>
        <w:left w:val="none" w:sz="0" w:space="0" w:color="auto"/>
        <w:bottom w:val="none" w:sz="0" w:space="0" w:color="auto"/>
        <w:right w:val="none" w:sz="0" w:space="0" w:color="auto"/>
      </w:divBdr>
    </w:div>
    <w:div w:id="349988025">
      <w:bodyDiv w:val="1"/>
      <w:marLeft w:val="0"/>
      <w:marRight w:val="0"/>
      <w:marTop w:val="0"/>
      <w:marBottom w:val="0"/>
      <w:divBdr>
        <w:top w:val="none" w:sz="0" w:space="0" w:color="auto"/>
        <w:left w:val="none" w:sz="0" w:space="0" w:color="auto"/>
        <w:bottom w:val="none" w:sz="0" w:space="0" w:color="auto"/>
        <w:right w:val="none" w:sz="0" w:space="0" w:color="auto"/>
      </w:divBdr>
    </w:div>
    <w:div w:id="372468279">
      <w:bodyDiv w:val="1"/>
      <w:marLeft w:val="0"/>
      <w:marRight w:val="0"/>
      <w:marTop w:val="0"/>
      <w:marBottom w:val="0"/>
      <w:divBdr>
        <w:top w:val="none" w:sz="0" w:space="0" w:color="auto"/>
        <w:left w:val="none" w:sz="0" w:space="0" w:color="auto"/>
        <w:bottom w:val="none" w:sz="0" w:space="0" w:color="auto"/>
        <w:right w:val="none" w:sz="0" w:space="0" w:color="auto"/>
      </w:divBdr>
    </w:div>
    <w:div w:id="382752452">
      <w:bodyDiv w:val="1"/>
      <w:marLeft w:val="0"/>
      <w:marRight w:val="0"/>
      <w:marTop w:val="0"/>
      <w:marBottom w:val="0"/>
      <w:divBdr>
        <w:top w:val="none" w:sz="0" w:space="0" w:color="auto"/>
        <w:left w:val="none" w:sz="0" w:space="0" w:color="auto"/>
        <w:bottom w:val="none" w:sz="0" w:space="0" w:color="auto"/>
        <w:right w:val="none" w:sz="0" w:space="0" w:color="auto"/>
      </w:divBdr>
    </w:div>
    <w:div w:id="424347734">
      <w:bodyDiv w:val="1"/>
      <w:marLeft w:val="0"/>
      <w:marRight w:val="0"/>
      <w:marTop w:val="0"/>
      <w:marBottom w:val="0"/>
      <w:divBdr>
        <w:top w:val="none" w:sz="0" w:space="0" w:color="auto"/>
        <w:left w:val="none" w:sz="0" w:space="0" w:color="auto"/>
        <w:bottom w:val="none" w:sz="0" w:space="0" w:color="auto"/>
        <w:right w:val="none" w:sz="0" w:space="0" w:color="auto"/>
      </w:divBdr>
    </w:div>
    <w:div w:id="435446421">
      <w:bodyDiv w:val="1"/>
      <w:marLeft w:val="0"/>
      <w:marRight w:val="0"/>
      <w:marTop w:val="0"/>
      <w:marBottom w:val="0"/>
      <w:divBdr>
        <w:top w:val="none" w:sz="0" w:space="0" w:color="auto"/>
        <w:left w:val="none" w:sz="0" w:space="0" w:color="auto"/>
        <w:bottom w:val="none" w:sz="0" w:space="0" w:color="auto"/>
        <w:right w:val="none" w:sz="0" w:space="0" w:color="auto"/>
      </w:divBdr>
    </w:div>
    <w:div w:id="451438142">
      <w:bodyDiv w:val="1"/>
      <w:marLeft w:val="0"/>
      <w:marRight w:val="0"/>
      <w:marTop w:val="0"/>
      <w:marBottom w:val="0"/>
      <w:divBdr>
        <w:top w:val="none" w:sz="0" w:space="0" w:color="auto"/>
        <w:left w:val="none" w:sz="0" w:space="0" w:color="auto"/>
        <w:bottom w:val="none" w:sz="0" w:space="0" w:color="auto"/>
        <w:right w:val="none" w:sz="0" w:space="0" w:color="auto"/>
      </w:divBdr>
    </w:div>
    <w:div w:id="453331288">
      <w:bodyDiv w:val="1"/>
      <w:marLeft w:val="0"/>
      <w:marRight w:val="0"/>
      <w:marTop w:val="0"/>
      <w:marBottom w:val="0"/>
      <w:divBdr>
        <w:top w:val="none" w:sz="0" w:space="0" w:color="auto"/>
        <w:left w:val="none" w:sz="0" w:space="0" w:color="auto"/>
        <w:bottom w:val="none" w:sz="0" w:space="0" w:color="auto"/>
        <w:right w:val="none" w:sz="0" w:space="0" w:color="auto"/>
      </w:divBdr>
    </w:div>
    <w:div w:id="454760826">
      <w:bodyDiv w:val="1"/>
      <w:marLeft w:val="0"/>
      <w:marRight w:val="0"/>
      <w:marTop w:val="0"/>
      <w:marBottom w:val="0"/>
      <w:divBdr>
        <w:top w:val="none" w:sz="0" w:space="0" w:color="auto"/>
        <w:left w:val="none" w:sz="0" w:space="0" w:color="auto"/>
        <w:bottom w:val="none" w:sz="0" w:space="0" w:color="auto"/>
        <w:right w:val="none" w:sz="0" w:space="0" w:color="auto"/>
      </w:divBdr>
    </w:div>
    <w:div w:id="464323761">
      <w:bodyDiv w:val="1"/>
      <w:marLeft w:val="0"/>
      <w:marRight w:val="0"/>
      <w:marTop w:val="0"/>
      <w:marBottom w:val="0"/>
      <w:divBdr>
        <w:top w:val="none" w:sz="0" w:space="0" w:color="auto"/>
        <w:left w:val="none" w:sz="0" w:space="0" w:color="auto"/>
        <w:bottom w:val="none" w:sz="0" w:space="0" w:color="auto"/>
        <w:right w:val="none" w:sz="0" w:space="0" w:color="auto"/>
      </w:divBdr>
    </w:div>
    <w:div w:id="493230345">
      <w:bodyDiv w:val="1"/>
      <w:marLeft w:val="0"/>
      <w:marRight w:val="0"/>
      <w:marTop w:val="0"/>
      <w:marBottom w:val="0"/>
      <w:divBdr>
        <w:top w:val="none" w:sz="0" w:space="0" w:color="auto"/>
        <w:left w:val="none" w:sz="0" w:space="0" w:color="auto"/>
        <w:bottom w:val="none" w:sz="0" w:space="0" w:color="auto"/>
        <w:right w:val="none" w:sz="0" w:space="0" w:color="auto"/>
      </w:divBdr>
    </w:div>
    <w:div w:id="521239535">
      <w:bodyDiv w:val="1"/>
      <w:marLeft w:val="0"/>
      <w:marRight w:val="0"/>
      <w:marTop w:val="0"/>
      <w:marBottom w:val="0"/>
      <w:divBdr>
        <w:top w:val="none" w:sz="0" w:space="0" w:color="auto"/>
        <w:left w:val="none" w:sz="0" w:space="0" w:color="auto"/>
        <w:bottom w:val="none" w:sz="0" w:space="0" w:color="auto"/>
        <w:right w:val="none" w:sz="0" w:space="0" w:color="auto"/>
      </w:divBdr>
    </w:div>
    <w:div w:id="524710674">
      <w:bodyDiv w:val="1"/>
      <w:marLeft w:val="0"/>
      <w:marRight w:val="0"/>
      <w:marTop w:val="0"/>
      <w:marBottom w:val="0"/>
      <w:divBdr>
        <w:top w:val="none" w:sz="0" w:space="0" w:color="auto"/>
        <w:left w:val="none" w:sz="0" w:space="0" w:color="auto"/>
        <w:bottom w:val="none" w:sz="0" w:space="0" w:color="auto"/>
        <w:right w:val="none" w:sz="0" w:space="0" w:color="auto"/>
      </w:divBdr>
    </w:div>
    <w:div w:id="529412183">
      <w:bodyDiv w:val="1"/>
      <w:marLeft w:val="0"/>
      <w:marRight w:val="0"/>
      <w:marTop w:val="0"/>
      <w:marBottom w:val="0"/>
      <w:divBdr>
        <w:top w:val="none" w:sz="0" w:space="0" w:color="auto"/>
        <w:left w:val="none" w:sz="0" w:space="0" w:color="auto"/>
        <w:bottom w:val="none" w:sz="0" w:space="0" w:color="auto"/>
        <w:right w:val="none" w:sz="0" w:space="0" w:color="auto"/>
      </w:divBdr>
    </w:div>
    <w:div w:id="529997860">
      <w:bodyDiv w:val="1"/>
      <w:marLeft w:val="0"/>
      <w:marRight w:val="0"/>
      <w:marTop w:val="0"/>
      <w:marBottom w:val="0"/>
      <w:divBdr>
        <w:top w:val="none" w:sz="0" w:space="0" w:color="auto"/>
        <w:left w:val="none" w:sz="0" w:space="0" w:color="auto"/>
        <w:bottom w:val="none" w:sz="0" w:space="0" w:color="auto"/>
        <w:right w:val="none" w:sz="0" w:space="0" w:color="auto"/>
      </w:divBdr>
    </w:div>
    <w:div w:id="531113353">
      <w:bodyDiv w:val="1"/>
      <w:marLeft w:val="0"/>
      <w:marRight w:val="0"/>
      <w:marTop w:val="0"/>
      <w:marBottom w:val="0"/>
      <w:divBdr>
        <w:top w:val="none" w:sz="0" w:space="0" w:color="auto"/>
        <w:left w:val="none" w:sz="0" w:space="0" w:color="auto"/>
        <w:bottom w:val="none" w:sz="0" w:space="0" w:color="auto"/>
        <w:right w:val="none" w:sz="0" w:space="0" w:color="auto"/>
      </w:divBdr>
    </w:div>
    <w:div w:id="541527399">
      <w:bodyDiv w:val="1"/>
      <w:marLeft w:val="0"/>
      <w:marRight w:val="0"/>
      <w:marTop w:val="0"/>
      <w:marBottom w:val="0"/>
      <w:divBdr>
        <w:top w:val="none" w:sz="0" w:space="0" w:color="auto"/>
        <w:left w:val="none" w:sz="0" w:space="0" w:color="auto"/>
        <w:bottom w:val="none" w:sz="0" w:space="0" w:color="auto"/>
        <w:right w:val="none" w:sz="0" w:space="0" w:color="auto"/>
      </w:divBdr>
    </w:div>
    <w:div w:id="551232303">
      <w:bodyDiv w:val="1"/>
      <w:marLeft w:val="0"/>
      <w:marRight w:val="0"/>
      <w:marTop w:val="0"/>
      <w:marBottom w:val="0"/>
      <w:divBdr>
        <w:top w:val="none" w:sz="0" w:space="0" w:color="auto"/>
        <w:left w:val="none" w:sz="0" w:space="0" w:color="auto"/>
        <w:bottom w:val="none" w:sz="0" w:space="0" w:color="auto"/>
        <w:right w:val="none" w:sz="0" w:space="0" w:color="auto"/>
      </w:divBdr>
    </w:div>
    <w:div w:id="581647320">
      <w:bodyDiv w:val="1"/>
      <w:marLeft w:val="0"/>
      <w:marRight w:val="0"/>
      <w:marTop w:val="0"/>
      <w:marBottom w:val="0"/>
      <w:divBdr>
        <w:top w:val="none" w:sz="0" w:space="0" w:color="auto"/>
        <w:left w:val="none" w:sz="0" w:space="0" w:color="auto"/>
        <w:bottom w:val="none" w:sz="0" w:space="0" w:color="auto"/>
        <w:right w:val="none" w:sz="0" w:space="0" w:color="auto"/>
      </w:divBdr>
    </w:div>
    <w:div w:id="585574993">
      <w:bodyDiv w:val="1"/>
      <w:marLeft w:val="0"/>
      <w:marRight w:val="0"/>
      <w:marTop w:val="0"/>
      <w:marBottom w:val="0"/>
      <w:divBdr>
        <w:top w:val="none" w:sz="0" w:space="0" w:color="auto"/>
        <w:left w:val="none" w:sz="0" w:space="0" w:color="auto"/>
        <w:bottom w:val="none" w:sz="0" w:space="0" w:color="auto"/>
        <w:right w:val="none" w:sz="0" w:space="0" w:color="auto"/>
      </w:divBdr>
    </w:div>
    <w:div w:id="592934248">
      <w:bodyDiv w:val="1"/>
      <w:marLeft w:val="0"/>
      <w:marRight w:val="0"/>
      <w:marTop w:val="0"/>
      <w:marBottom w:val="0"/>
      <w:divBdr>
        <w:top w:val="none" w:sz="0" w:space="0" w:color="auto"/>
        <w:left w:val="none" w:sz="0" w:space="0" w:color="auto"/>
        <w:bottom w:val="none" w:sz="0" w:space="0" w:color="auto"/>
        <w:right w:val="none" w:sz="0" w:space="0" w:color="auto"/>
      </w:divBdr>
    </w:div>
    <w:div w:id="623001765">
      <w:bodyDiv w:val="1"/>
      <w:marLeft w:val="0"/>
      <w:marRight w:val="0"/>
      <w:marTop w:val="0"/>
      <w:marBottom w:val="0"/>
      <w:divBdr>
        <w:top w:val="none" w:sz="0" w:space="0" w:color="auto"/>
        <w:left w:val="none" w:sz="0" w:space="0" w:color="auto"/>
        <w:bottom w:val="none" w:sz="0" w:space="0" w:color="auto"/>
        <w:right w:val="none" w:sz="0" w:space="0" w:color="auto"/>
      </w:divBdr>
    </w:div>
    <w:div w:id="631254839">
      <w:bodyDiv w:val="1"/>
      <w:marLeft w:val="0"/>
      <w:marRight w:val="0"/>
      <w:marTop w:val="0"/>
      <w:marBottom w:val="0"/>
      <w:divBdr>
        <w:top w:val="none" w:sz="0" w:space="0" w:color="auto"/>
        <w:left w:val="none" w:sz="0" w:space="0" w:color="auto"/>
        <w:bottom w:val="none" w:sz="0" w:space="0" w:color="auto"/>
        <w:right w:val="none" w:sz="0" w:space="0" w:color="auto"/>
      </w:divBdr>
    </w:div>
    <w:div w:id="633370558">
      <w:bodyDiv w:val="1"/>
      <w:marLeft w:val="0"/>
      <w:marRight w:val="0"/>
      <w:marTop w:val="0"/>
      <w:marBottom w:val="0"/>
      <w:divBdr>
        <w:top w:val="none" w:sz="0" w:space="0" w:color="auto"/>
        <w:left w:val="none" w:sz="0" w:space="0" w:color="auto"/>
        <w:bottom w:val="none" w:sz="0" w:space="0" w:color="auto"/>
        <w:right w:val="none" w:sz="0" w:space="0" w:color="auto"/>
      </w:divBdr>
    </w:div>
    <w:div w:id="635065469">
      <w:bodyDiv w:val="1"/>
      <w:marLeft w:val="0"/>
      <w:marRight w:val="0"/>
      <w:marTop w:val="0"/>
      <w:marBottom w:val="0"/>
      <w:divBdr>
        <w:top w:val="none" w:sz="0" w:space="0" w:color="auto"/>
        <w:left w:val="none" w:sz="0" w:space="0" w:color="auto"/>
        <w:bottom w:val="none" w:sz="0" w:space="0" w:color="auto"/>
        <w:right w:val="none" w:sz="0" w:space="0" w:color="auto"/>
      </w:divBdr>
    </w:div>
    <w:div w:id="635182908">
      <w:bodyDiv w:val="1"/>
      <w:marLeft w:val="0"/>
      <w:marRight w:val="0"/>
      <w:marTop w:val="0"/>
      <w:marBottom w:val="0"/>
      <w:divBdr>
        <w:top w:val="none" w:sz="0" w:space="0" w:color="auto"/>
        <w:left w:val="none" w:sz="0" w:space="0" w:color="auto"/>
        <w:bottom w:val="none" w:sz="0" w:space="0" w:color="auto"/>
        <w:right w:val="none" w:sz="0" w:space="0" w:color="auto"/>
      </w:divBdr>
    </w:div>
    <w:div w:id="659499382">
      <w:bodyDiv w:val="1"/>
      <w:marLeft w:val="0"/>
      <w:marRight w:val="0"/>
      <w:marTop w:val="0"/>
      <w:marBottom w:val="0"/>
      <w:divBdr>
        <w:top w:val="none" w:sz="0" w:space="0" w:color="auto"/>
        <w:left w:val="none" w:sz="0" w:space="0" w:color="auto"/>
        <w:bottom w:val="none" w:sz="0" w:space="0" w:color="auto"/>
        <w:right w:val="none" w:sz="0" w:space="0" w:color="auto"/>
      </w:divBdr>
    </w:div>
    <w:div w:id="672296858">
      <w:bodyDiv w:val="1"/>
      <w:marLeft w:val="0"/>
      <w:marRight w:val="0"/>
      <w:marTop w:val="0"/>
      <w:marBottom w:val="0"/>
      <w:divBdr>
        <w:top w:val="none" w:sz="0" w:space="0" w:color="auto"/>
        <w:left w:val="none" w:sz="0" w:space="0" w:color="auto"/>
        <w:bottom w:val="none" w:sz="0" w:space="0" w:color="auto"/>
        <w:right w:val="none" w:sz="0" w:space="0" w:color="auto"/>
      </w:divBdr>
    </w:div>
    <w:div w:id="708649782">
      <w:bodyDiv w:val="1"/>
      <w:marLeft w:val="0"/>
      <w:marRight w:val="0"/>
      <w:marTop w:val="0"/>
      <w:marBottom w:val="0"/>
      <w:divBdr>
        <w:top w:val="none" w:sz="0" w:space="0" w:color="auto"/>
        <w:left w:val="none" w:sz="0" w:space="0" w:color="auto"/>
        <w:bottom w:val="none" w:sz="0" w:space="0" w:color="auto"/>
        <w:right w:val="none" w:sz="0" w:space="0" w:color="auto"/>
      </w:divBdr>
    </w:div>
    <w:div w:id="710569648">
      <w:bodyDiv w:val="1"/>
      <w:marLeft w:val="0"/>
      <w:marRight w:val="0"/>
      <w:marTop w:val="0"/>
      <w:marBottom w:val="0"/>
      <w:divBdr>
        <w:top w:val="none" w:sz="0" w:space="0" w:color="auto"/>
        <w:left w:val="none" w:sz="0" w:space="0" w:color="auto"/>
        <w:bottom w:val="none" w:sz="0" w:space="0" w:color="auto"/>
        <w:right w:val="none" w:sz="0" w:space="0" w:color="auto"/>
      </w:divBdr>
    </w:div>
    <w:div w:id="741486046">
      <w:bodyDiv w:val="1"/>
      <w:marLeft w:val="0"/>
      <w:marRight w:val="0"/>
      <w:marTop w:val="0"/>
      <w:marBottom w:val="0"/>
      <w:divBdr>
        <w:top w:val="none" w:sz="0" w:space="0" w:color="auto"/>
        <w:left w:val="none" w:sz="0" w:space="0" w:color="auto"/>
        <w:bottom w:val="none" w:sz="0" w:space="0" w:color="auto"/>
        <w:right w:val="none" w:sz="0" w:space="0" w:color="auto"/>
      </w:divBdr>
    </w:div>
    <w:div w:id="742024382">
      <w:bodyDiv w:val="1"/>
      <w:marLeft w:val="0"/>
      <w:marRight w:val="0"/>
      <w:marTop w:val="0"/>
      <w:marBottom w:val="0"/>
      <w:divBdr>
        <w:top w:val="none" w:sz="0" w:space="0" w:color="auto"/>
        <w:left w:val="none" w:sz="0" w:space="0" w:color="auto"/>
        <w:bottom w:val="none" w:sz="0" w:space="0" w:color="auto"/>
        <w:right w:val="none" w:sz="0" w:space="0" w:color="auto"/>
      </w:divBdr>
    </w:div>
    <w:div w:id="745955630">
      <w:bodyDiv w:val="1"/>
      <w:marLeft w:val="0"/>
      <w:marRight w:val="0"/>
      <w:marTop w:val="0"/>
      <w:marBottom w:val="0"/>
      <w:divBdr>
        <w:top w:val="none" w:sz="0" w:space="0" w:color="auto"/>
        <w:left w:val="none" w:sz="0" w:space="0" w:color="auto"/>
        <w:bottom w:val="none" w:sz="0" w:space="0" w:color="auto"/>
        <w:right w:val="none" w:sz="0" w:space="0" w:color="auto"/>
      </w:divBdr>
    </w:div>
    <w:div w:id="755322849">
      <w:bodyDiv w:val="1"/>
      <w:marLeft w:val="0"/>
      <w:marRight w:val="0"/>
      <w:marTop w:val="0"/>
      <w:marBottom w:val="0"/>
      <w:divBdr>
        <w:top w:val="none" w:sz="0" w:space="0" w:color="auto"/>
        <w:left w:val="none" w:sz="0" w:space="0" w:color="auto"/>
        <w:bottom w:val="none" w:sz="0" w:space="0" w:color="auto"/>
        <w:right w:val="none" w:sz="0" w:space="0" w:color="auto"/>
      </w:divBdr>
    </w:div>
    <w:div w:id="767694702">
      <w:bodyDiv w:val="1"/>
      <w:marLeft w:val="0"/>
      <w:marRight w:val="0"/>
      <w:marTop w:val="0"/>
      <w:marBottom w:val="0"/>
      <w:divBdr>
        <w:top w:val="none" w:sz="0" w:space="0" w:color="auto"/>
        <w:left w:val="none" w:sz="0" w:space="0" w:color="auto"/>
        <w:bottom w:val="none" w:sz="0" w:space="0" w:color="auto"/>
        <w:right w:val="none" w:sz="0" w:space="0" w:color="auto"/>
      </w:divBdr>
    </w:div>
    <w:div w:id="774983812">
      <w:bodyDiv w:val="1"/>
      <w:marLeft w:val="0"/>
      <w:marRight w:val="0"/>
      <w:marTop w:val="0"/>
      <w:marBottom w:val="0"/>
      <w:divBdr>
        <w:top w:val="none" w:sz="0" w:space="0" w:color="auto"/>
        <w:left w:val="none" w:sz="0" w:space="0" w:color="auto"/>
        <w:bottom w:val="none" w:sz="0" w:space="0" w:color="auto"/>
        <w:right w:val="none" w:sz="0" w:space="0" w:color="auto"/>
      </w:divBdr>
    </w:div>
    <w:div w:id="801533512">
      <w:bodyDiv w:val="1"/>
      <w:marLeft w:val="0"/>
      <w:marRight w:val="0"/>
      <w:marTop w:val="0"/>
      <w:marBottom w:val="0"/>
      <w:divBdr>
        <w:top w:val="none" w:sz="0" w:space="0" w:color="auto"/>
        <w:left w:val="none" w:sz="0" w:space="0" w:color="auto"/>
        <w:bottom w:val="none" w:sz="0" w:space="0" w:color="auto"/>
        <w:right w:val="none" w:sz="0" w:space="0" w:color="auto"/>
      </w:divBdr>
    </w:div>
    <w:div w:id="839389590">
      <w:bodyDiv w:val="1"/>
      <w:marLeft w:val="0"/>
      <w:marRight w:val="0"/>
      <w:marTop w:val="0"/>
      <w:marBottom w:val="0"/>
      <w:divBdr>
        <w:top w:val="none" w:sz="0" w:space="0" w:color="auto"/>
        <w:left w:val="none" w:sz="0" w:space="0" w:color="auto"/>
        <w:bottom w:val="none" w:sz="0" w:space="0" w:color="auto"/>
        <w:right w:val="none" w:sz="0" w:space="0" w:color="auto"/>
      </w:divBdr>
    </w:div>
    <w:div w:id="840655151">
      <w:bodyDiv w:val="1"/>
      <w:marLeft w:val="0"/>
      <w:marRight w:val="0"/>
      <w:marTop w:val="0"/>
      <w:marBottom w:val="0"/>
      <w:divBdr>
        <w:top w:val="none" w:sz="0" w:space="0" w:color="auto"/>
        <w:left w:val="none" w:sz="0" w:space="0" w:color="auto"/>
        <w:bottom w:val="none" w:sz="0" w:space="0" w:color="auto"/>
        <w:right w:val="none" w:sz="0" w:space="0" w:color="auto"/>
      </w:divBdr>
    </w:div>
    <w:div w:id="888613505">
      <w:bodyDiv w:val="1"/>
      <w:marLeft w:val="0"/>
      <w:marRight w:val="0"/>
      <w:marTop w:val="0"/>
      <w:marBottom w:val="0"/>
      <w:divBdr>
        <w:top w:val="none" w:sz="0" w:space="0" w:color="auto"/>
        <w:left w:val="none" w:sz="0" w:space="0" w:color="auto"/>
        <w:bottom w:val="none" w:sz="0" w:space="0" w:color="auto"/>
        <w:right w:val="none" w:sz="0" w:space="0" w:color="auto"/>
      </w:divBdr>
    </w:div>
    <w:div w:id="921069209">
      <w:bodyDiv w:val="1"/>
      <w:marLeft w:val="0"/>
      <w:marRight w:val="0"/>
      <w:marTop w:val="0"/>
      <w:marBottom w:val="0"/>
      <w:divBdr>
        <w:top w:val="none" w:sz="0" w:space="0" w:color="auto"/>
        <w:left w:val="none" w:sz="0" w:space="0" w:color="auto"/>
        <w:bottom w:val="none" w:sz="0" w:space="0" w:color="auto"/>
        <w:right w:val="none" w:sz="0" w:space="0" w:color="auto"/>
      </w:divBdr>
    </w:div>
    <w:div w:id="926423123">
      <w:bodyDiv w:val="1"/>
      <w:marLeft w:val="0"/>
      <w:marRight w:val="0"/>
      <w:marTop w:val="0"/>
      <w:marBottom w:val="0"/>
      <w:divBdr>
        <w:top w:val="none" w:sz="0" w:space="0" w:color="auto"/>
        <w:left w:val="none" w:sz="0" w:space="0" w:color="auto"/>
        <w:bottom w:val="none" w:sz="0" w:space="0" w:color="auto"/>
        <w:right w:val="none" w:sz="0" w:space="0" w:color="auto"/>
      </w:divBdr>
    </w:div>
    <w:div w:id="1022825445">
      <w:bodyDiv w:val="1"/>
      <w:marLeft w:val="0"/>
      <w:marRight w:val="0"/>
      <w:marTop w:val="0"/>
      <w:marBottom w:val="0"/>
      <w:divBdr>
        <w:top w:val="none" w:sz="0" w:space="0" w:color="auto"/>
        <w:left w:val="none" w:sz="0" w:space="0" w:color="auto"/>
        <w:bottom w:val="none" w:sz="0" w:space="0" w:color="auto"/>
        <w:right w:val="none" w:sz="0" w:space="0" w:color="auto"/>
      </w:divBdr>
    </w:div>
    <w:div w:id="1041515508">
      <w:bodyDiv w:val="1"/>
      <w:marLeft w:val="0"/>
      <w:marRight w:val="0"/>
      <w:marTop w:val="0"/>
      <w:marBottom w:val="0"/>
      <w:divBdr>
        <w:top w:val="none" w:sz="0" w:space="0" w:color="auto"/>
        <w:left w:val="none" w:sz="0" w:space="0" w:color="auto"/>
        <w:bottom w:val="none" w:sz="0" w:space="0" w:color="auto"/>
        <w:right w:val="none" w:sz="0" w:space="0" w:color="auto"/>
      </w:divBdr>
    </w:div>
    <w:div w:id="1060397693">
      <w:bodyDiv w:val="1"/>
      <w:marLeft w:val="0"/>
      <w:marRight w:val="0"/>
      <w:marTop w:val="0"/>
      <w:marBottom w:val="0"/>
      <w:divBdr>
        <w:top w:val="none" w:sz="0" w:space="0" w:color="auto"/>
        <w:left w:val="none" w:sz="0" w:space="0" w:color="auto"/>
        <w:bottom w:val="none" w:sz="0" w:space="0" w:color="auto"/>
        <w:right w:val="none" w:sz="0" w:space="0" w:color="auto"/>
      </w:divBdr>
    </w:div>
    <w:div w:id="1068572584">
      <w:bodyDiv w:val="1"/>
      <w:marLeft w:val="0"/>
      <w:marRight w:val="0"/>
      <w:marTop w:val="0"/>
      <w:marBottom w:val="0"/>
      <w:divBdr>
        <w:top w:val="none" w:sz="0" w:space="0" w:color="auto"/>
        <w:left w:val="none" w:sz="0" w:space="0" w:color="auto"/>
        <w:bottom w:val="none" w:sz="0" w:space="0" w:color="auto"/>
        <w:right w:val="none" w:sz="0" w:space="0" w:color="auto"/>
      </w:divBdr>
    </w:div>
    <w:div w:id="1073355734">
      <w:bodyDiv w:val="1"/>
      <w:marLeft w:val="0"/>
      <w:marRight w:val="0"/>
      <w:marTop w:val="0"/>
      <w:marBottom w:val="0"/>
      <w:divBdr>
        <w:top w:val="none" w:sz="0" w:space="0" w:color="auto"/>
        <w:left w:val="none" w:sz="0" w:space="0" w:color="auto"/>
        <w:bottom w:val="none" w:sz="0" w:space="0" w:color="auto"/>
        <w:right w:val="none" w:sz="0" w:space="0" w:color="auto"/>
      </w:divBdr>
    </w:div>
    <w:div w:id="1083530494">
      <w:bodyDiv w:val="1"/>
      <w:marLeft w:val="0"/>
      <w:marRight w:val="0"/>
      <w:marTop w:val="0"/>
      <w:marBottom w:val="0"/>
      <w:divBdr>
        <w:top w:val="none" w:sz="0" w:space="0" w:color="auto"/>
        <w:left w:val="none" w:sz="0" w:space="0" w:color="auto"/>
        <w:bottom w:val="none" w:sz="0" w:space="0" w:color="auto"/>
        <w:right w:val="none" w:sz="0" w:space="0" w:color="auto"/>
      </w:divBdr>
    </w:div>
    <w:div w:id="1094933469">
      <w:bodyDiv w:val="1"/>
      <w:marLeft w:val="0"/>
      <w:marRight w:val="0"/>
      <w:marTop w:val="0"/>
      <w:marBottom w:val="0"/>
      <w:divBdr>
        <w:top w:val="none" w:sz="0" w:space="0" w:color="auto"/>
        <w:left w:val="none" w:sz="0" w:space="0" w:color="auto"/>
        <w:bottom w:val="none" w:sz="0" w:space="0" w:color="auto"/>
        <w:right w:val="none" w:sz="0" w:space="0" w:color="auto"/>
      </w:divBdr>
    </w:div>
    <w:div w:id="1104617814">
      <w:bodyDiv w:val="1"/>
      <w:marLeft w:val="0"/>
      <w:marRight w:val="0"/>
      <w:marTop w:val="0"/>
      <w:marBottom w:val="0"/>
      <w:divBdr>
        <w:top w:val="none" w:sz="0" w:space="0" w:color="auto"/>
        <w:left w:val="none" w:sz="0" w:space="0" w:color="auto"/>
        <w:bottom w:val="none" w:sz="0" w:space="0" w:color="auto"/>
        <w:right w:val="none" w:sz="0" w:space="0" w:color="auto"/>
      </w:divBdr>
    </w:div>
    <w:div w:id="1118451341">
      <w:bodyDiv w:val="1"/>
      <w:marLeft w:val="0"/>
      <w:marRight w:val="0"/>
      <w:marTop w:val="0"/>
      <w:marBottom w:val="0"/>
      <w:divBdr>
        <w:top w:val="none" w:sz="0" w:space="0" w:color="auto"/>
        <w:left w:val="none" w:sz="0" w:space="0" w:color="auto"/>
        <w:bottom w:val="none" w:sz="0" w:space="0" w:color="auto"/>
        <w:right w:val="none" w:sz="0" w:space="0" w:color="auto"/>
      </w:divBdr>
    </w:div>
    <w:div w:id="1169104337">
      <w:bodyDiv w:val="1"/>
      <w:marLeft w:val="0"/>
      <w:marRight w:val="0"/>
      <w:marTop w:val="0"/>
      <w:marBottom w:val="0"/>
      <w:divBdr>
        <w:top w:val="none" w:sz="0" w:space="0" w:color="auto"/>
        <w:left w:val="none" w:sz="0" w:space="0" w:color="auto"/>
        <w:bottom w:val="none" w:sz="0" w:space="0" w:color="auto"/>
        <w:right w:val="none" w:sz="0" w:space="0" w:color="auto"/>
      </w:divBdr>
    </w:div>
    <w:div w:id="1173836728">
      <w:bodyDiv w:val="1"/>
      <w:marLeft w:val="0"/>
      <w:marRight w:val="0"/>
      <w:marTop w:val="0"/>
      <w:marBottom w:val="0"/>
      <w:divBdr>
        <w:top w:val="none" w:sz="0" w:space="0" w:color="auto"/>
        <w:left w:val="none" w:sz="0" w:space="0" w:color="auto"/>
        <w:bottom w:val="none" w:sz="0" w:space="0" w:color="auto"/>
        <w:right w:val="none" w:sz="0" w:space="0" w:color="auto"/>
      </w:divBdr>
    </w:div>
    <w:div w:id="1180659292">
      <w:bodyDiv w:val="1"/>
      <w:marLeft w:val="0"/>
      <w:marRight w:val="0"/>
      <w:marTop w:val="0"/>
      <w:marBottom w:val="0"/>
      <w:divBdr>
        <w:top w:val="none" w:sz="0" w:space="0" w:color="auto"/>
        <w:left w:val="none" w:sz="0" w:space="0" w:color="auto"/>
        <w:bottom w:val="none" w:sz="0" w:space="0" w:color="auto"/>
        <w:right w:val="none" w:sz="0" w:space="0" w:color="auto"/>
      </w:divBdr>
    </w:div>
    <w:div w:id="1189679226">
      <w:bodyDiv w:val="1"/>
      <w:marLeft w:val="0"/>
      <w:marRight w:val="0"/>
      <w:marTop w:val="0"/>
      <w:marBottom w:val="0"/>
      <w:divBdr>
        <w:top w:val="none" w:sz="0" w:space="0" w:color="auto"/>
        <w:left w:val="none" w:sz="0" w:space="0" w:color="auto"/>
        <w:bottom w:val="none" w:sz="0" w:space="0" w:color="auto"/>
        <w:right w:val="none" w:sz="0" w:space="0" w:color="auto"/>
      </w:divBdr>
    </w:div>
    <w:div w:id="1220554660">
      <w:bodyDiv w:val="1"/>
      <w:marLeft w:val="0"/>
      <w:marRight w:val="0"/>
      <w:marTop w:val="0"/>
      <w:marBottom w:val="0"/>
      <w:divBdr>
        <w:top w:val="none" w:sz="0" w:space="0" w:color="auto"/>
        <w:left w:val="none" w:sz="0" w:space="0" w:color="auto"/>
        <w:bottom w:val="none" w:sz="0" w:space="0" w:color="auto"/>
        <w:right w:val="none" w:sz="0" w:space="0" w:color="auto"/>
      </w:divBdr>
    </w:div>
    <w:div w:id="1242326807">
      <w:bodyDiv w:val="1"/>
      <w:marLeft w:val="0"/>
      <w:marRight w:val="0"/>
      <w:marTop w:val="0"/>
      <w:marBottom w:val="0"/>
      <w:divBdr>
        <w:top w:val="none" w:sz="0" w:space="0" w:color="auto"/>
        <w:left w:val="none" w:sz="0" w:space="0" w:color="auto"/>
        <w:bottom w:val="none" w:sz="0" w:space="0" w:color="auto"/>
        <w:right w:val="none" w:sz="0" w:space="0" w:color="auto"/>
      </w:divBdr>
    </w:div>
    <w:div w:id="1247107705">
      <w:bodyDiv w:val="1"/>
      <w:marLeft w:val="0"/>
      <w:marRight w:val="0"/>
      <w:marTop w:val="0"/>
      <w:marBottom w:val="0"/>
      <w:divBdr>
        <w:top w:val="none" w:sz="0" w:space="0" w:color="auto"/>
        <w:left w:val="none" w:sz="0" w:space="0" w:color="auto"/>
        <w:bottom w:val="none" w:sz="0" w:space="0" w:color="auto"/>
        <w:right w:val="none" w:sz="0" w:space="0" w:color="auto"/>
      </w:divBdr>
    </w:div>
    <w:div w:id="1252204428">
      <w:bodyDiv w:val="1"/>
      <w:marLeft w:val="0"/>
      <w:marRight w:val="0"/>
      <w:marTop w:val="0"/>
      <w:marBottom w:val="0"/>
      <w:divBdr>
        <w:top w:val="none" w:sz="0" w:space="0" w:color="auto"/>
        <w:left w:val="none" w:sz="0" w:space="0" w:color="auto"/>
        <w:bottom w:val="none" w:sz="0" w:space="0" w:color="auto"/>
        <w:right w:val="none" w:sz="0" w:space="0" w:color="auto"/>
      </w:divBdr>
    </w:div>
    <w:div w:id="1252667887">
      <w:bodyDiv w:val="1"/>
      <w:marLeft w:val="0"/>
      <w:marRight w:val="0"/>
      <w:marTop w:val="0"/>
      <w:marBottom w:val="0"/>
      <w:divBdr>
        <w:top w:val="none" w:sz="0" w:space="0" w:color="auto"/>
        <w:left w:val="none" w:sz="0" w:space="0" w:color="auto"/>
        <w:bottom w:val="none" w:sz="0" w:space="0" w:color="auto"/>
        <w:right w:val="none" w:sz="0" w:space="0" w:color="auto"/>
      </w:divBdr>
    </w:div>
    <w:div w:id="1271476948">
      <w:bodyDiv w:val="1"/>
      <w:marLeft w:val="0"/>
      <w:marRight w:val="0"/>
      <w:marTop w:val="0"/>
      <w:marBottom w:val="0"/>
      <w:divBdr>
        <w:top w:val="none" w:sz="0" w:space="0" w:color="auto"/>
        <w:left w:val="none" w:sz="0" w:space="0" w:color="auto"/>
        <w:bottom w:val="none" w:sz="0" w:space="0" w:color="auto"/>
        <w:right w:val="none" w:sz="0" w:space="0" w:color="auto"/>
      </w:divBdr>
    </w:div>
    <w:div w:id="1279067594">
      <w:bodyDiv w:val="1"/>
      <w:marLeft w:val="0"/>
      <w:marRight w:val="0"/>
      <w:marTop w:val="0"/>
      <w:marBottom w:val="0"/>
      <w:divBdr>
        <w:top w:val="none" w:sz="0" w:space="0" w:color="auto"/>
        <w:left w:val="none" w:sz="0" w:space="0" w:color="auto"/>
        <w:bottom w:val="none" w:sz="0" w:space="0" w:color="auto"/>
        <w:right w:val="none" w:sz="0" w:space="0" w:color="auto"/>
      </w:divBdr>
    </w:div>
    <w:div w:id="1300644615">
      <w:bodyDiv w:val="1"/>
      <w:marLeft w:val="0"/>
      <w:marRight w:val="0"/>
      <w:marTop w:val="0"/>
      <w:marBottom w:val="0"/>
      <w:divBdr>
        <w:top w:val="none" w:sz="0" w:space="0" w:color="auto"/>
        <w:left w:val="none" w:sz="0" w:space="0" w:color="auto"/>
        <w:bottom w:val="none" w:sz="0" w:space="0" w:color="auto"/>
        <w:right w:val="none" w:sz="0" w:space="0" w:color="auto"/>
      </w:divBdr>
    </w:div>
    <w:div w:id="1309748984">
      <w:bodyDiv w:val="1"/>
      <w:marLeft w:val="0"/>
      <w:marRight w:val="0"/>
      <w:marTop w:val="0"/>
      <w:marBottom w:val="0"/>
      <w:divBdr>
        <w:top w:val="none" w:sz="0" w:space="0" w:color="auto"/>
        <w:left w:val="none" w:sz="0" w:space="0" w:color="auto"/>
        <w:bottom w:val="none" w:sz="0" w:space="0" w:color="auto"/>
        <w:right w:val="none" w:sz="0" w:space="0" w:color="auto"/>
      </w:divBdr>
    </w:div>
    <w:div w:id="1333877318">
      <w:bodyDiv w:val="1"/>
      <w:marLeft w:val="0"/>
      <w:marRight w:val="0"/>
      <w:marTop w:val="0"/>
      <w:marBottom w:val="0"/>
      <w:divBdr>
        <w:top w:val="none" w:sz="0" w:space="0" w:color="auto"/>
        <w:left w:val="none" w:sz="0" w:space="0" w:color="auto"/>
        <w:bottom w:val="none" w:sz="0" w:space="0" w:color="auto"/>
        <w:right w:val="none" w:sz="0" w:space="0" w:color="auto"/>
      </w:divBdr>
    </w:div>
    <w:div w:id="1341859929">
      <w:bodyDiv w:val="1"/>
      <w:marLeft w:val="0"/>
      <w:marRight w:val="0"/>
      <w:marTop w:val="0"/>
      <w:marBottom w:val="0"/>
      <w:divBdr>
        <w:top w:val="none" w:sz="0" w:space="0" w:color="auto"/>
        <w:left w:val="none" w:sz="0" w:space="0" w:color="auto"/>
        <w:bottom w:val="none" w:sz="0" w:space="0" w:color="auto"/>
        <w:right w:val="none" w:sz="0" w:space="0" w:color="auto"/>
      </w:divBdr>
    </w:div>
    <w:div w:id="1361082359">
      <w:bodyDiv w:val="1"/>
      <w:marLeft w:val="0"/>
      <w:marRight w:val="0"/>
      <w:marTop w:val="0"/>
      <w:marBottom w:val="0"/>
      <w:divBdr>
        <w:top w:val="none" w:sz="0" w:space="0" w:color="auto"/>
        <w:left w:val="none" w:sz="0" w:space="0" w:color="auto"/>
        <w:bottom w:val="none" w:sz="0" w:space="0" w:color="auto"/>
        <w:right w:val="none" w:sz="0" w:space="0" w:color="auto"/>
      </w:divBdr>
    </w:div>
    <w:div w:id="1365599413">
      <w:bodyDiv w:val="1"/>
      <w:marLeft w:val="0"/>
      <w:marRight w:val="0"/>
      <w:marTop w:val="0"/>
      <w:marBottom w:val="0"/>
      <w:divBdr>
        <w:top w:val="none" w:sz="0" w:space="0" w:color="auto"/>
        <w:left w:val="none" w:sz="0" w:space="0" w:color="auto"/>
        <w:bottom w:val="none" w:sz="0" w:space="0" w:color="auto"/>
        <w:right w:val="none" w:sz="0" w:space="0" w:color="auto"/>
      </w:divBdr>
    </w:div>
    <w:div w:id="1368679791">
      <w:bodyDiv w:val="1"/>
      <w:marLeft w:val="0"/>
      <w:marRight w:val="0"/>
      <w:marTop w:val="0"/>
      <w:marBottom w:val="0"/>
      <w:divBdr>
        <w:top w:val="none" w:sz="0" w:space="0" w:color="auto"/>
        <w:left w:val="none" w:sz="0" w:space="0" w:color="auto"/>
        <w:bottom w:val="none" w:sz="0" w:space="0" w:color="auto"/>
        <w:right w:val="none" w:sz="0" w:space="0" w:color="auto"/>
      </w:divBdr>
    </w:div>
    <w:div w:id="1382903646">
      <w:bodyDiv w:val="1"/>
      <w:marLeft w:val="0"/>
      <w:marRight w:val="0"/>
      <w:marTop w:val="0"/>
      <w:marBottom w:val="0"/>
      <w:divBdr>
        <w:top w:val="none" w:sz="0" w:space="0" w:color="auto"/>
        <w:left w:val="none" w:sz="0" w:space="0" w:color="auto"/>
        <w:bottom w:val="none" w:sz="0" w:space="0" w:color="auto"/>
        <w:right w:val="none" w:sz="0" w:space="0" w:color="auto"/>
      </w:divBdr>
    </w:div>
    <w:div w:id="1394113426">
      <w:bodyDiv w:val="1"/>
      <w:marLeft w:val="0"/>
      <w:marRight w:val="0"/>
      <w:marTop w:val="0"/>
      <w:marBottom w:val="0"/>
      <w:divBdr>
        <w:top w:val="none" w:sz="0" w:space="0" w:color="auto"/>
        <w:left w:val="none" w:sz="0" w:space="0" w:color="auto"/>
        <w:bottom w:val="none" w:sz="0" w:space="0" w:color="auto"/>
        <w:right w:val="none" w:sz="0" w:space="0" w:color="auto"/>
      </w:divBdr>
    </w:div>
    <w:div w:id="1407996104">
      <w:bodyDiv w:val="1"/>
      <w:marLeft w:val="0"/>
      <w:marRight w:val="0"/>
      <w:marTop w:val="0"/>
      <w:marBottom w:val="0"/>
      <w:divBdr>
        <w:top w:val="none" w:sz="0" w:space="0" w:color="auto"/>
        <w:left w:val="none" w:sz="0" w:space="0" w:color="auto"/>
        <w:bottom w:val="none" w:sz="0" w:space="0" w:color="auto"/>
        <w:right w:val="none" w:sz="0" w:space="0" w:color="auto"/>
      </w:divBdr>
    </w:div>
    <w:div w:id="1416395929">
      <w:bodyDiv w:val="1"/>
      <w:marLeft w:val="0"/>
      <w:marRight w:val="0"/>
      <w:marTop w:val="0"/>
      <w:marBottom w:val="0"/>
      <w:divBdr>
        <w:top w:val="none" w:sz="0" w:space="0" w:color="auto"/>
        <w:left w:val="none" w:sz="0" w:space="0" w:color="auto"/>
        <w:bottom w:val="none" w:sz="0" w:space="0" w:color="auto"/>
        <w:right w:val="none" w:sz="0" w:space="0" w:color="auto"/>
      </w:divBdr>
    </w:div>
    <w:div w:id="1425102908">
      <w:bodyDiv w:val="1"/>
      <w:marLeft w:val="0"/>
      <w:marRight w:val="0"/>
      <w:marTop w:val="0"/>
      <w:marBottom w:val="0"/>
      <w:divBdr>
        <w:top w:val="none" w:sz="0" w:space="0" w:color="auto"/>
        <w:left w:val="none" w:sz="0" w:space="0" w:color="auto"/>
        <w:bottom w:val="none" w:sz="0" w:space="0" w:color="auto"/>
        <w:right w:val="none" w:sz="0" w:space="0" w:color="auto"/>
      </w:divBdr>
    </w:div>
    <w:div w:id="1428379711">
      <w:bodyDiv w:val="1"/>
      <w:marLeft w:val="0"/>
      <w:marRight w:val="0"/>
      <w:marTop w:val="0"/>
      <w:marBottom w:val="0"/>
      <w:divBdr>
        <w:top w:val="none" w:sz="0" w:space="0" w:color="auto"/>
        <w:left w:val="none" w:sz="0" w:space="0" w:color="auto"/>
        <w:bottom w:val="none" w:sz="0" w:space="0" w:color="auto"/>
        <w:right w:val="none" w:sz="0" w:space="0" w:color="auto"/>
      </w:divBdr>
    </w:div>
    <w:div w:id="1440642273">
      <w:bodyDiv w:val="1"/>
      <w:marLeft w:val="0"/>
      <w:marRight w:val="0"/>
      <w:marTop w:val="0"/>
      <w:marBottom w:val="0"/>
      <w:divBdr>
        <w:top w:val="none" w:sz="0" w:space="0" w:color="auto"/>
        <w:left w:val="none" w:sz="0" w:space="0" w:color="auto"/>
        <w:bottom w:val="none" w:sz="0" w:space="0" w:color="auto"/>
        <w:right w:val="none" w:sz="0" w:space="0" w:color="auto"/>
      </w:divBdr>
    </w:div>
    <w:div w:id="1446536676">
      <w:bodyDiv w:val="1"/>
      <w:marLeft w:val="0"/>
      <w:marRight w:val="0"/>
      <w:marTop w:val="0"/>
      <w:marBottom w:val="0"/>
      <w:divBdr>
        <w:top w:val="none" w:sz="0" w:space="0" w:color="auto"/>
        <w:left w:val="none" w:sz="0" w:space="0" w:color="auto"/>
        <w:bottom w:val="none" w:sz="0" w:space="0" w:color="auto"/>
        <w:right w:val="none" w:sz="0" w:space="0" w:color="auto"/>
      </w:divBdr>
    </w:div>
    <w:div w:id="1446659490">
      <w:bodyDiv w:val="1"/>
      <w:marLeft w:val="0"/>
      <w:marRight w:val="0"/>
      <w:marTop w:val="0"/>
      <w:marBottom w:val="0"/>
      <w:divBdr>
        <w:top w:val="none" w:sz="0" w:space="0" w:color="auto"/>
        <w:left w:val="none" w:sz="0" w:space="0" w:color="auto"/>
        <w:bottom w:val="none" w:sz="0" w:space="0" w:color="auto"/>
        <w:right w:val="none" w:sz="0" w:space="0" w:color="auto"/>
      </w:divBdr>
    </w:div>
    <w:div w:id="1481263667">
      <w:bodyDiv w:val="1"/>
      <w:marLeft w:val="0"/>
      <w:marRight w:val="0"/>
      <w:marTop w:val="0"/>
      <w:marBottom w:val="0"/>
      <w:divBdr>
        <w:top w:val="none" w:sz="0" w:space="0" w:color="auto"/>
        <w:left w:val="none" w:sz="0" w:space="0" w:color="auto"/>
        <w:bottom w:val="none" w:sz="0" w:space="0" w:color="auto"/>
        <w:right w:val="none" w:sz="0" w:space="0" w:color="auto"/>
      </w:divBdr>
    </w:div>
    <w:div w:id="1506630038">
      <w:bodyDiv w:val="1"/>
      <w:marLeft w:val="0"/>
      <w:marRight w:val="0"/>
      <w:marTop w:val="0"/>
      <w:marBottom w:val="0"/>
      <w:divBdr>
        <w:top w:val="none" w:sz="0" w:space="0" w:color="auto"/>
        <w:left w:val="none" w:sz="0" w:space="0" w:color="auto"/>
        <w:bottom w:val="none" w:sz="0" w:space="0" w:color="auto"/>
        <w:right w:val="none" w:sz="0" w:space="0" w:color="auto"/>
      </w:divBdr>
    </w:div>
    <w:div w:id="1513178647">
      <w:bodyDiv w:val="1"/>
      <w:marLeft w:val="0"/>
      <w:marRight w:val="0"/>
      <w:marTop w:val="0"/>
      <w:marBottom w:val="0"/>
      <w:divBdr>
        <w:top w:val="none" w:sz="0" w:space="0" w:color="auto"/>
        <w:left w:val="none" w:sz="0" w:space="0" w:color="auto"/>
        <w:bottom w:val="none" w:sz="0" w:space="0" w:color="auto"/>
        <w:right w:val="none" w:sz="0" w:space="0" w:color="auto"/>
      </w:divBdr>
    </w:div>
    <w:div w:id="1552696110">
      <w:bodyDiv w:val="1"/>
      <w:marLeft w:val="0"/>
      <w:marRight w:val="0"/>
      <w:marTop w:val="0"/>
      <w:marBottom w:val="0"/>
      <w:divBdr>
        <w:top w:val="none" w:sz="0" w:space="0" w:color="auto"/>
        <w:left w:val="none" w:sz="0" w:space="0" w:color="auto"/>
        <w:bottom w:val="none" w:sz="0" w:space="0" w:color="auto"/>
        <w:right w:val="none" w:sz="0" w:space="0" w:color="auto"/>
      </w:divBdr>
    </w:div>
    <w:div w:id="1562863795">
      <w:bodyDiv w:val="1"/>
      <w:marLeft w:val="0"/>
      <w:marRight w:val="0"/>
      <w:marTop w:val="0"/>
      <w:marBottom w:val="0"/>
      <w:divBdr>
        <w:top w:val="none" w:sz="0" w:space="0" w:color="auto"/>
        <w:left w:val="none" w:sz="0" w:space="0" w:color="auto"/>
        <w:bottom w:val="none" w:sz="0" w:space="0" w:color="auto"/>
        <w:right w:val="none" w:sz="0" w:space="0" w:color="auto"/>
      </w:divBdr>
    </w:div>
    <w:div w:id="1571578452">
      <w:bodyDiv w:val="1"/>
      <w:marLeft w:val="0"/>
      <w:marRight w:val="0"/>
      <w:marTop w:val="0"/>
      <w:marBottom w:val="0"/>
      <w:divBdr>
        <w:top w:val="none" w:sz="0" w:space="0" w:color="auto"/>
        <w:left w:val="none" w:sz="0" w:space="0" w:color="auto"/>
        <w:bottom w:val="none" w:sz="0" w:space="0" w:color="auto"/>
        <w:right w:val="none" w:sz="0" w:space="0" w:color="auto"/>
      </w:divBdr>
    </w:div>
    <w:div w:id="1585871454">
      <w:bodyDiv w:val="1"/>
      <w:marLeft w:val="0"/>
      <w:marRight w:val="0"/>
      <w:marTop w:val="0"/>
      <w:marBottom w:val="0"/>
      <w:divBdr>
        <w:top w:val="none" w:sz="0" w:space="0" w:color="auto"/>
        <w:left w:val="none" w:sz="0" w:space="0" w:color="auto"/>
        <w:bottom w:val="none" w:sz="0" w:space="0" w:color="auto"/>
        <w:right w:val="none" w:sz="0" w:space="0" w:color="auto"/>
      </w:divBdr>
    </w:div>
    <w:div w:id="1592079862">
      <w:bodyDiv w:val="1"/>
      <w:marLeft w:val="0"/>
      <w:marRight w:val="0"/>
      <w:marTop w:val="0"/>
      <w:marBottom w:val="0"/>
      <w:divBdr>
        <w:top w:val="none" w:sz="0" w:space="0" w:color="auto"/>
        <w:left w:val="none" w:sz="0" w:space="0" w:color="auto"/>
        <w:bottom w:val="none" w:sz="0" w:space="0" w:color="auto"/>
        <w:right w:val="none" w:sz="0" w:space="0" w:color="auto"/>
      </w:divBdr>
    </w:div>
    <w:div w:id="1601598371">
      <w:bodyDiv w:val="1"/>
      <w:marLeft w:val="0"/>
      <w:marRight w:val="0"/>
      <w:marTop w:val="0"/>
      <w:marBottom w:val="0"/>
      <w:divBdr>
        <w:top w:val="none" w:sz="0" w:space="0" w:color="auto"/>
        <w:left w:val="none" w:sz="0" w:space="0" w:color="auto"/>
        <w:bottom w:val="none" w:sz="0" w:space="0" w:color="auto"/>
        <w:right w:val="none" w:sz="0" w:space="0" w:color="auto"/>
      </w:divBdr>
    </w:div>
    <w:div w:id="1616711635">
      <w:bodyDiv w:val="1"/>
      <w:marLeft w:val="0"/>
      <w:marRight w:val="0"/>
      <w:marTop w:val="0"/>
      <w:marBottom w:val="0"/>
      <w:divBdr>
        <w:top w:val="none" w:sz="0" w:space="0" w:color="auto"/>
        <w:left w:val="none" w:sz="0" w:space="0" w:color="auto"/>
        <w:bottom w:val="none" w:sz="0" w:space="0" w:color="auto"/>
        <w:right w:val="none" w:sz="0" w:space="0" w:color="auto"/>
      </w:divBdr>
    </w:div>
    <w:div w:id="1627737393">
      <w:bodyDiv w:val="1"/>
      <w:marLeft w:val="0"/>
      <w:marRight w:val="0"/>
      <w:marTop w:val="0"/>
      <w:marBottom w:val="0"/>
      <w:divBdr>
        <w:top w:val="none" w:sz="0" w:space="0" w:color="auto"/>
        <w:left w:val="none" w:sz="0" w:space="0" w:color="auto"/>
        <w:bottom w:val="none" w:sz="0" w:space="0" w:color="auto"/>
        <w:right w:val="none" w:sz="0" w:space="0" w:color="auto"/>
      </w:divBdr>
    </w:div>
    <w:div w:id="1653678361">
      <w:bodyDiv w:val="1"/>
      <w:marLeft w:val="0"/>
      <w:marRight w:val="0"/>
      <w:marTop w:val="0"/>
      <w:marBottom w:val="0"/>
      <w:divBdr>
        <w:top w:val="none" w:sz="0" w:space="0" w:color="auto"/>
        <w:left w:val="none" w:sz="0" w:space="0" w:color="auto"/>
        <w:bottom w:val="none" w:sz="0" w:space="0" w:color="auto"/>
        <w:right w:val="none" w:sz="0" w:space="0" w:color="auto"/>
      </w:divBdr>
    </w:div>
    <w:div w:id="1671368364">
      <w:bodyDiv w:val="1"/>
      <w:marLeft w:val="0"/>
      <w:marRight w:val="0"/>
      <w:marTop w:val="0"/>
      <w:marBottom w:val="0"/>
      <w:divBdr>
        <w:top w:val="none" w:sz="0" w:space="0" w:color="auto"/>
        <w:left w:val="none" w:sz="0" w:space="0" w:color="auto"/>
        <w:bottom w:val="none" w:sz="0" w:space="0" w:color="auto"/>
        <w:right w:val="none" w:sz="0" w:space="0" w:color="auto"/>
      </w:divBdr>
    </w:div>
    <w:div w:id="1671716384">
      <w:bodyDiv w:val="1"/>
      <w:marLeft w:val="0"/>
      <w:marRight w:val="0"/>
      <w:marTop w:val="0"/>
      <w:marBottom w:val="0"/>
      <w:divBdr>
        <w:top w:val="none" w:sz="0" w:space="0" w:color="auto"/>
        <w:left w:val="none" w:sz="0" w:space="0" w:color="auto"/>
        <w:bottom w:val="none" w:sz="0" w:space="0" w:color="auto"/>
        <w:right w:val="none" w:sz="0" w:space="0" w:color="auto"/>
      </w:divBdr>
    </w:div>
    <w:div w:id="1679187956">
      <w:bodyDiv w:val="1"/>
      <w:marLeft w:val="0"/>
      <w:marRight w:val="0"/>
      <w:marTop w:val="0"/>
      <w:marBottom w:val="0"/>
      <w:divBdr>
        <w:top w:val="none" w:sz="0" w:space="0" w:color="auto"/>
        <w:left w:val="none" w:sz="0" w:space="0" w:color="auto"/>
        <w:bottom w:val="none" w:sz="0" w:space="0" w:color="auto"/>
        <w:right w:val="none" w:sz="0" w:space="0" w:color="auto"/>
      </w:divBdr>
    </w:div>
    <w:div w:id="1686519933">
      <w:bodyDiv w:val="1"/>
      <w:marLeft w:val="0"/>
      <w:marRight w:val="0"/>
      <w:marTop w:val="0"/>
      <w:marBottom w:val="0"/>
      <w:divBdr>
        <w:top w:val="none" w:sz="0" w:space="0" w:color="auto"/>
        <w:left w:val="none" w:sz="0" w:space="0" w:color="auto"/>
        <w:bottom w:val="none" w:sz="0" w:space="0" w:color="auto"/>
        <w:right w:val="none" w:sz="0" w:space="0" w:color="auto"/>
      </w:divBdr>
    </w:div>
    <w:div w:id="1692489344">
      <w:bodyDiv w:val="1"/>
      <w:marLeft w:val="0"/>
      <w:marRight w:val="0"/>
      <w:marTop w:val="0"/>
      <w:marBottom w:val="0"/>
      <w:divBdr>
        <w:top w:val="none" w:sz="0" w:space="0" w:color="auto"/>
        <w:left w:val="none" w:sz="0" w:space="0" w:color="auto"/>
        <w:bottom w:val="none" w:sz="0" w:space="0" w:color="auto"/>
        <w:right w:val="none" w:sz="0" w:space="0" w:color="auto"/>
      </w:divBdr>
    </w:div>
    <w:div w:id="1719281914">
      <w:bodyDiv w:val="1"/>
      <w:marLeft w:val="0"/>
      <w:marRight w:val="0"/>
      <w:marTop w:val="0"/>
      <w:marBottom w:val="0"/>
      <w:divBdr>
        <w:top w:val="none" w:sz="0" w:space="0" w:color="auto"/>
        <w:left w:val="none" w:sz="0" w:space="0" w:color="auto"/>
        <w:bottom w:val="none" w:sz="0" w:space="0" w:color="auto"/>
        <w:right w:val="none" w:sz="0" w:space="0" w:color="auto"/>
      </w:divBdr>
    </w:div>
    <w:div w:id="1727340513">
      <w:bodyDiv w:val="1"/>
      <w:marLeft w:val="0"/>
      <w:marRight w:val="0"/>
      <w:marTop w:val="0"/>
      <w:marBottom w:val="0"/>
      <w:divBdr>
        <w:top w:val="none" w:sz="0" w:space="0" w:color="auto"/>
        <w:left w:val="none" w:sz="0" w:space="0" w:color="auto"/>
        <w:bottom w:val="none" w:sz="0" w:space="0" w:color="auto"/>
        <w:right w:val="none" w:sz="0" w:space="0" w:color="auto"/>
      </w:divBdr>
    </w:div>
    <w:div w:id="1796173909">
      <w:bodyDiv w:val="1"/>
      <w:marLeft w:val="0"/>
      <w:marRight w:val="0"/>
      <w:marTop w:val="0"/>
      <w:marBottom w:val="0"/>
      <w:divBdr>
        <w:top w:val="none" w:sz="0" w:space="0" w:color="auto"/>
        <w:left w:val="none" w:sz="0" w:space="0" w:color="auto"/>
        <w:bottom w:val="none" w:sz="0" w:space="0" w:color="auto"/>
        <w:right w:val="none" w:sz="0" w:space="0" w:color="auto"/>
      </w:divBdr>
    </w:div>
    <w:div w:id="1844969618">
      <w:bodyDiv w:val="1"/>
      <w:marLeft w:val="0"/>
      <w:marRight w:val="0"/>
      <w:marTop w:val="0"/>
      <w:marBottom w:val="0"/>
      <w:divBdr>
        <w:top w:val="none" w:sz="0" w:space="0" w:color="auto"/>
        <w:left w:val="none" w:sz="0" w:space="0" w:color="auto"/>
        <w:bottom w:val="none" w:sz="0" w:space="0" w:color="auto"/>
        <w:right w:val="none" w:sz="0" w:space="0" w:color="auto"/>
      </w:divBdr>
    </w:div>
    <w:div w:id="1856193994">
      <w:bodyDiv w:val="1"/>
      <w:marLeft w:val="0"/>
      <w:marRight w:val="0"/>
      <w:marTop w:val="0"/>
      <w:marBottom w:val="0"/>
      <w:divBdr>
        <w:top w:val="none" w:sz="0" w:space="0" w:color="auto"/>
        <w:left w:val="none" w:sz="0" w:space="0" w:color="auto"/>
        <w:bottom w:val="none" w:sz="0" w:space="0" w:color="auto"/>
        <w:right w:val="none" w:sz="0" w:space="0" w:color="auto"/>
      </w:divBdr>
    </w:div>
    <w:div w:id="1871844922">
      <w:bodyDiv w:val="1"/>
      <w:marLeft w:val="0"/>
      <w:marRight w:val="0"/>
      <w:marTop w:val="0"/>
      <w:marBottom w:val="0"/>
      <w:divBdr>
        <w:top w:val="none" w:sz="0" w:space="0" w:color="auto"/>
        <w:left w:val="none" w:sz="0" w:space="0" w:color="auto"/>
        <w:bottom w:val="none" w:sz="0" w:space="0" w:color="auto"/>
        <w:right w:val="none" w:sz="0" w:space="0" w:color="auto"/>
      </w:divBdr>
    </w:div>
    <w:div w:id="1880967018">
      <w:bodyDiv w:val="1"/>
      <w:marLeft w:val="0"/>
      <w:marRight w:val="0"/>
      <w:marTop w:val="0"/>
      <w:marBottom w:val="0"/>
      <w:divBdr>
        <w:top w:val="none" w:sz="0" w:space="0" w:color="auto"/>
        <w:left w:val="none" w:sz="0" w:space="0" w:color="auto"/>
        <w:bottom w:val="none" w:sz="0" w:space="0" w:color="auto"/>
        <w:right w:val="none" w:sz="0" w:space="0" w:color="auto"/>
      </w:divBdr>
    </w:div>
    <w:div w:id="1889141074">
      <w:bodyDiv w:val="1"/>
      <w:marLeft w:val="0"/>
      <w:marRight w:val="0"/>
      <w:marTop w:val="0"/>
      <w:marBottom w:val="0"/>
      <w:divBdr>
        <w:top w:val="none" w:sz="0" w:space="0" w:color="auto"/>
        <w:left w:val="none" w:sz="0" w:space="0" w:color="auto"/>
        <w:bottom w:val="none" w:sz="0" w:space="0" w:color="auto"/>
        <w:right w:val="none" w:sz="0" w:space="0" w:color="auto"/>
      </w:divBdr>
    </w:div>
    <w:div w:id="1890680628">
      <w:bodyDiv w:val="1"/>
      <w:marLeft w:val="0"/>
      <w:marRight w:val="0"/>
      <w:marTop w:val="0"/>
      <w:marBottom w:val="0"/>
      <w:divBdr>
        <w:top w:val="none" w:sz="0" w:space="0" w:color="auto"/>
        <w:left w:val="none" w:sz="0" w:space="0" w:color="auto"/>
        <w:bottom w:val="none" w:sz="0" w:space="0" w:color="auto"/>
        <w:right w:val="none" w:sz="0" w:space="0" w:color="auto"/>
      </w:divBdr>
    </w:div>
    <w:div w:id="1901624630">
      <w:bodyDiv w:val="1"/>
      <w:marLeft w:val="0"/>
      <w:marRight w:val="0"/>
      <w:marTop w:val="0"/>
      <w:marBottom w:val="0"/>
      <w:divBdr>
        <w:top w:val="none" w:sz="0" w:space="0" w:color="auto"/>
        <w:left w:val="none" w:sz="0" w:space="0" w:color="auto"/>
        <w:bottom w:val="none" w:sz="0" w:space="0" w:color="auto"/>
        <w:right w:val="none" w:sz="0" w:space="0" w:color="auto"/>
      </w:divBdr>
    </w:div>
    <w:div w:id="1911620594">
      <w:bodyDiv w:val="1"/>
      <w:marLeft w:val="0"/>
      <w:marRight w:val="0"/>
      <w:marTop w:val="0"/>
      <w:marBottom w:val="0"/>
      <w:divBdr>
        <w:top w:val="none" w:sz="0" w:space="0" w:color="auto"/>
        <w:left w:val="none" w:sz="0" w:space="0" w:color="auto"/>
        <w:bottom w:val="none" w:sz="0" w:space="0" w:color="auto"/>
        <w:right w:val="none" w:sz="0" w:space="0" w:color="auto"/>
      </w:divBdr>
    </w:div>
    <w:div w:id="1912347274">
      <w:bodyDiv w:val="1"/>
      <w:marLeft w:val="0"/>
      <w:marRight w:val="0"/>
      <w:marTop w:val="0"/>
      <w:marBottom w:val="0"/>
      <w:divBdr>
        <w:top w:val="none" w:sz="0" w:space="0" w:color="auto"/>
        <w:left w:val="none" w:sz="0" w:space="0" w:color="auto"/>
        <w:bottom w:val="none" w:sz="0" w:space="0" w:color="auto"/>
        <w:right w:val="none" w:sz="0" w:space="0" w:color="auto"/>
      </w:divBdr>
    </w:div>
    <w:div w:id="1938829659">
      <w:bodyDiv w:val="1"/>
      <w:marLeft w:val="0"/>
      <w:marRight w:val="0"/>
      <w:marTop w:val="0"/>
      <w:marBottom w:val="0"/>
      <w:divBdr>
        <w:top w:val="none" w:sz="0" w:space="0" w:color="auto"/>
        <w:left w:val="none" w:sz="0" w:space="0" w:color="auto"/>
        <w:bottom w:val="none" w:sz="0" w:space="0" w:color="auto"/>
        <w:right w:val="none" w:sz="0" w:space="0" w:color="auto"/>
      </w:divBdr>
    </w:div>
    <w:div w:id="1951468980">
      <w:bodyDiv w:val="1"/>
      <w:marLeft w:val="0"/>
      <w:marRight w:val="0"/>
      <w:marTop w:val="0"/>
      <w:marBottom w:val="0"/>
      <w:divBdr>
        <w:top w:val="none" w:sz="0" w:space="0" w:color="auto"/>
        <w:left w:val="none" w:sz="0" w:space="0" w:color="auto"/>
        <w:bottom w:val="none" w:sz="0" w:space="0" w:color="auto"/>
        <w:right w:val="none" w:sz="0" w:space="0" w:color="auto"/>
      </w:divBdr>
    </w:div>
    <w:div w:id="1964648703">
      <w:bodyDiv w:val="1"/>
      <w:marLeft w:val="0"/>
      <w:marRight w:val="0"/>
      <w:marTop w:val="0"/>
      <w:marBottom w:val="0"/>
      <w:divBdr>
        <w:top w:val="none" w:sz="0" w:space="0" w:color="auto"/>
        <w:left w:val="none" w:sz="0" w:space="0" w:color="auto"/>
        <w:bottom w:val="none" w:sz="0" w:space="0" w:color="auto"/>
        <w:right w:val="none" w:sz="0" w:space="0" w:color="auto"/>
      </w:divBdr>
    </w:div>
    <w:div w:id="2001233701">
      <w:bodyDiv w:val="1"/>
      <w:marLeft w:val="0"/>
      <w:marRight w:val="0"/>
      <w:marTop w:val="0"/>
      <w:marBottom w:val="0"/>
      <w:divBdr>
        <w:top w:val="none" w:sz="0" w:space="0" w:color="auto"/>
        <w:left w:val="none" w:sz="0" w:space="0" w:color="auto"/>
        <w:bottom w:val="none" w:sz="0" w:space="0" w:color="auto"/>
        <w:right w:val="none" w:sz="0" w:space="0" w:color="auto"/>
      </w:divBdr>
    </w:div>
    <w:div w:id="2011635341">
      <w:bodyDiv w:val="1"/>
      <w:marLeft w:val="0"/>
      <w:marRight w:val="0"/>
      <w:marTop w:val="0"/>
      <w:marBottom w:val="0"/>
      <w:divBdr>
        <w:top w:val="none" w:sz="0" w:space="0" w:color="auto"/>
        <w:left w:val="none" w:sz="0" w:space="0" w:color="auto"/>
        <w:bottom w:val="none" w:sz="0" w:space="0" w:color="auto"/>
        <w:right w:val="none" w:sz="0" w:space="0" w:color="auto"/>
      </w:divBdr>
    </w:div>
    <w:div w:id="2054886014">
      <w:bodyDiv w:val="1"/>
      <w:marLeft w:val="0"/>
      <w:marRight w:val="0"/>
      <w:marTop w:val="0"/>
      <w:marBottom w:val="0"/>
      <w:divBdr>
        <w:top w:val="none" w:sz="0" w:space="0" w:color="auto"/>
        <w:left w:val="none" w:sz="0" w:space="0" w:color="auto"/>
        <w:bottom w:val="none" w:sz="0" w:space="0" w:color="auto"/>
        <w:right w:val="none" w:sz="0" w:space="0" w:color="auto"/>
      </w:divBdr>
    </w:div>
    <w:div w:id="2099323136">
      <w:bodyDiv w:val="1"/>
      <w:marLeft w:val="0"/>
      <w:marRight w:val="0"/>
      <w:marTop w:val="0"/>
      <w:marBottom w:val="0"/>
      <w:divBdr>
        <w:top w:val="none" w:sz="0" w:space="0" w:color="auto"/>
        <w:left w:val="none" w:sz="0" w:space="0" w:color="auto"/>
        <w:bottom w:val="none" w:sz="0" w:space="0" w:color="auto"/>
        <w:right w:val="none" w:sz="0" w:space="0" w:color="auto"/>
      </w:divBdr>
    </w:div>
    <w:div w:id="2099331344">
      <w:bodyDiv w:val="1"/>
      <w:marLeft w:val="0"/>
      <w:marRight w:val="0"/>
      <w:marTop w:val="0"/>
      <w:marBottom w:val="0"/>
      <w:divBdr>
        <w:top w:val="none" w:sz="0" w:space="0" w:color="auto"/>
        <w:left w:val="none" w:sz="0" w:space="0" w:color="auto"/>
        <w:bottom w:val="none" w:sz="0" w:space="0" w:color="auto"/>
        <w:right w:val="none" w:sz="0" w:space="0" w:color="auto"/>
      </w:divBdr>
    </w:div>
    <w:div w:id="2108769250">
      <w:bodyDiv w:val="1"/>
      <w:marLeft w:val="0"/>
      <w:marRight w:val="0"/>
      <w:marTop w:val="0"/>
      <w:marBottom w:val="0"/>
      <w:divBdr>
        <w:top w:val="none" w:sz="0" w:space="0" w:color="auto"/>
        <w:left w:val="none" w:sz="0" w:space="0" w:color="auto"/>
        <w:bottom w:val="none" w:sz="0" w:space="0" w:color="auto"/>
        <w:right w:val="none" w:sz="0" w:space="0" w:color="auto"/>
      </w:divBdr>
    </w:div>
    <w:div w:id="2112123417">
      <w:bodyDiv w:val="1"/>
      <w:marLeft w:val="0"/>
      <w:marRight w:val="0"/>
      <w:marTop w:val="0"/>
      <w:marBottom w:val="0"/>
      <w:divBdr>
        <w:top w:val="none" w:sz="0" w:space="0" w:color="auto"/>
        <w:left w:val="none" w:sz="0" w:space="0" w:color="auto"/>
        <w:bottom w:val="none" w:sz="0" w:space="0" w:color="auto"/>
        <w:right w:val="none" w:sz="0" w:space="0" w:color="auto"/>
      </w:divBdr>
    </w:div>
    <w:div w:id="21444996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9CDE18-1670-472B-A54B-9222E0F07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5</Pages>
  <Words>447</Words>
  <Characters>2550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huayu</dc:creator>
  <cp:keywords/>
  <dc:description/>
  <cp:lastModifiedBy>Sharel YuanlingWen</cp:lastModifiedBy>
  <cp:revision>14</cp:revision>
  <dcterms:created xsi:type="dcterms:W3CDTF">2021-09-02T11:54:00Z</dcterms:created>
  <dcterms:modified xsi:type="dcterms:W3CDTF">2021-09-07T09:31:00Z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