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C718B" w14:textId="77777777" w:rsidR="002949F2" w:rsidRPr="00C62ACE" w:rsidRDefault="002949F2" w:rsidP="002949F2">
      <w:pPr>
        <w:pStyle w:val="2"/>
        <w:jc w:val="center"/>
        <w:textAlignment w:val="baseline"/>
        <w:rPr>
          <w:rFonts w:ascii="宋体" w:eastAsia="宋体" w:hAnsi="宋体"/>
          <w:sz w:val="36"/>
          <w:szCs w:val="36"/>
        </w:rPr>
      </w:pPr>
      <w:r w:rsidRPr="00C62ACE">
        <w:rPr>
          <w:rFonts w:ascii="宋体" w:eastAsia="宋体" w:hAnsi="宋体" w:hint="eastAsia"/>
          <w:sz w:val="36"/>
          <w:szCs w:val="36"/>
        </w:rPr>
        <w:t>财产变价方案（补充）</w:t>
      </w:r>
    </w:p>
    <w:p w14:paraId="03758C53" w14:textId="74DCB02B" w:rsidR="00053F6B" w:rsidRPr="00C62ACE" w:rsidRDefault="00053F6B">
      <w:pPr>
        <w:rPr>
          <w:rFonts w:ascii="宋体" w:eastAsia="宋体" w:hAnsi="宋体"/>
        </w:rPr>
      </w:pPr>
    </w:p>
    <w:p w14:paraId="155245F1" w14:textId="77777777" w:rsidR="002949F2" w:rsidRPr="00C62ACE" w:rsidRDefault="002949F2" w:rsidP="002949F2">
      <w:pPr>
        <w:textAlignment w:val="baseline"/>
        <w:rPr>
          <w:rFonts w:ascii="宋体" w:eastAsia="宋体" w:hAnsi="宋体"/>
          <w:sz w:val="28"/>
          <w:szCs w:val="28"/>
        </w:rPr>
      </w:pPr>
      <w:r w:rsidRPr="00C62ACE">
        <w:rPr>
          <w:rFonts w:ascii="宋体" w:eastAsia="宋体" w:hAnsi="宋体" w:hint="eastAsia"/>
          <w:sz w:val="28"/>
          <w:szCs w:val="28"/>
        </w:rPr>
        <w:t>恒天动力有限公司债权人会议：</w:t>
      </w:r>
    </w:p>
    <w:p w14:paraId="152B15A5" w14:textId="233EBECB"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为完善、补充管理人提交第三次债权人会议审议的《财产变价方案》，同时为使债务人财产变价利益最大化，管理人</w:t>
      </w:r>
      <w:proofErr w:type="gramStart"/>
      <w:r w:rsidRPr="00C62ACE">
        <w:rPr>
          <w:rFonts w:ascii="宋体" w:eastAsia="宋体" w:hAnsi="宋体" w:hint="eastAsia"/>
          <w:sz w:val="28"/>
          <w:szCs w:val="28"/>
        </w:rPr>
        <w:t>作出</w:t>
      </w:r>
      <w:proofErr w:type="gramEnd"/>
      <w:r w:rsidRPr="00C62ACE">
        <w:rPr>
          <w:rFonts w:ascii="宋体" w:eastAsia="宋体" w:hAnsi="宋体" w:hint="eastAsia"/>
          <w:sz w:val="28"/>
          <w:szCs w:val="28"/>
        </w:rPr>
        <w:t>以下《财产变价方案》（补充），提请全体债权人会议审议，财产变价原则上参照相关法律法规规定，通过公开方式进行。</w:t>
      </w:r>
    </w:p>
    <w:p w14:paraId="7212607D"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一、财产变价方案（补充）所涉及财产的范围</w:t>
      </w:r>
    </w:p>
    <w:p w14:paraId="51AF3B27" w14:textId="31A7B8B9" w:rsidR="00CC774E" w:rsidRPr="00C62ACE" w:rsidRDefault="002949F2" w:rsidP="00C62ACE">
      <w:pPr>
        <w:ind w:firstLineChars="200" w:firstLine="560"/>
        <w:textAlignment w:val="baseline"/>
        <w:rPr>
          <w:rFonts w:ascii="宋体" w:eastAsia="宋体" w:hAnsi="宋体" w:hint="eastAsia"/>
          <w:sz w:val="28"/>
          <w:szCs w:val="28"/>
        </w:rPr>
      </w:pPr>
      <w:r w:rsidRPr="00C62ACE">
        <w:rPr>
          <w:rFonts w:ascii="宋体" w:eastAsia="宋体" w:hAnsi="宋体" w:hint="eastAsia"/>
          <w:sz w:val="28"/>
          <w:szCs w:val="28"/>
        </w:rPr>
        <w:t>本财产变价方案（补充）所涉及财产的范围，包括债务人的土地、地上建筑物等所有不可移动的不动产。</w:t>
      </w:r>
    </w:p>
    <w:p w14:paraId="6A2B4544"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二、变价原则</w:t>
      </w:r>
    </w:p>
    <w:p w14:paraId="190D34F2"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（一）公开、公平、公正原则</w:t>
      </w:r>
    </w:p>
    <w:p w14:paraId="2AB4E954"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财产是全体债权人实现债权的基础，变价工作事关每一位债权人的切身利益，管理人将严格按照债权人会议表决通过或者法院裁定的财产变价方案，依法履行职责，以公开、公平、公正的原则进行财产变价。</w:t>
      </w:r>
    </w:p>
    <w:p w14:paraId="796804F1"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（二）债权人利益最大化原则</w:t>
      </w:r>
    </w:p>
    <w:p w14:paraId="6A9EAF18" w14:textId="0A665E03" w:rsidR="00CC774E" w:rsidRPr="00C62ACE" w:rsidRDefault="002949F2" w:rsidP="00C62ACE">
      <w:pPr>
        <w:ind w:firstLineChars="200" w:firstLine="560"/>
        <w:textAlignment w:val="baseline"/>
        <w:rPr>
          <w:rFonts w:ascii="宋体" w:eastAsia="宋体" w:hAnsi="宋体" w:hint="eastAsia"/>
          <w:sz w:val="28"/>
          <w:szCs w:val="28"/>
        </w:rPr>
      </w:pPr>
      <w:r w:rsidRPr="00C62ACE">
        <w:rPr>
          <w:rFonts w:ascii="宋体" w:eastAsia="宋体" w:hAnsi="宋体" w:hint="eastAsia"/>
          <w:sz w:val="28"/>
          <w:szCs w:val="28"/>
        </w:rPr>
        <w:t>除债权人会议另有决议以及法律法规另有规定的以外，管理人处理财产方式以财产变价价值最大化为目标，最大限度维护广大债权人的合法权益。</w:t>
      </w:r>
    </w:p>
    <w:p w14:paraId="5FF9EA57"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三、财产变价方案（补充）</w:t>
      </w:r>
    </w:p>
    <w:p w14:paraId="0584CFFB"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lastRenderedPageBreak/>
        <w:t>（一）变价目的</w:t>
      </w:r>
    </w:p>
    <w:p w14:paraId="48A00DF8" w14:textId="419A2DBA" w:rsidR="002949F2" w:rsidRPr="00C62ACE" w:rsidRDefault="002949F2" w:rsidP="00CC774E">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为了维护债权人利益，管理人与多方有重整意向的投资人进行了洽谈，但多名意向投资人对债务人资产情况进行了解后选择放弃。因债务人土地、建筑物性质原因，评估价值有限，管理人为使全体债权人利益最大化，与债务人所处辖区行政部门进行洽谈，拟沟通以土地收储方式将债务人土地及地上建筑物等所有不可移动的不动产进行变现。本方案通过视为债权人会议同意以土地收储方式将债务人土地及地上建筑物等所有不可移动的不动产进行变现。</w:t>
      </w:r>
    </w:p>
    <w:p w14:paraId="3F44C7A6" w14:textId="7FD3E383"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（二）土地收储流程及处置方式</w:t>
      </w:r>
    </w:p>
    <w:p w14:paraId="4CABFC01" w14:textId="4A78C495"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1、提出申请。由原土地使用权人向土地收储交易中心提出土地储备申请，填写《国有土地使用权储备申请书》。为尽快推进破产进程，管理人拟先行提出申请，如本方案通过视为债权人会议授权管理人向土地收储交易中心提出土地储备申请。</w:t>
      </w:r>
    </w:p>
    <w:p w14:paraId="3F857C42" w14:textId="036904C6" w:rsidR="00CC774E"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2、</w:t>
      </w:r>
      <w:r w:rsidR="008B6AB3" w:rsidRPr="00C62ACE">
        <w:rPr>
          <w:rFonts w:ascii="宋体" w:eastAsia="宋体" w:hAnsi="宋体" w:hint="eastAsia"/>
          <w:sz w:val="28"/>
          <w:szCs w:val="28"/>
        </w:rPr>
        <w:t>相关工作和</w:t>
      </w:r>
      <w:r w:rsidR="00AB45F5" w:rsidRPr="00C62ACE">
        <w:rPr>
          <w:rFonts w:ascii="宋体" w:eastAsia="宋体" w:hAnsi="宋体" w:hint="eastAsia"/>
          <w:sz w:val="28"/>
          <w:szCs w:val="28"/>
        </w:rPr>
        <w:t>费用。</w:t>
      </w:r>
      <w:r w:rsidR="004E48A0" w:rsidRPr="00C62ACE">
        <w:rPr>
          <w:rFonts w:ascii="宋体" w:eastAsia="宋体" w:hAnsi="宋体" w:hint="eastAsia"/>
          <w:sz w:val="28"/>
          <w:szCs w:val="28"/>
        </w:rPr>
        <w:t>管理人</w:t>
      </w:r>
      <w:r w:rsidR="008B6AB3" w:rsidRPr="00C62ACE">
        <w:rPr>
          <w:rFonts w:ascii="宋体" w:eastAsia="宋体" w:hAnsi="宋体" w:hint="eastAsia"/>
          <w:sz w:val="28"/>
          <w:szCs w:val="28"/>
        </w:rPr>
        <w:t>需根据债务人属地政府对土地收储的要求进行</w:t>
      </w:r>
      <w:r w:rsidR="004E48A0" w:rsidRPr="00C62ACE">
        <w:rPr>
          <w:rFonts w:ascii="宋体" w:eastAsia="宋体" w:hAnsi="宋体" w:hint="eastAsia"/>
          <w:sz w:val="28"/>
          <w:szCs w:val="28"/>
        </w:rPr>
        <w:t>检测</w:t>
      </w:r>
      <w:r w:rsidR="008B6AB3" w:rsidRPr="00C62ACE">
        <w:rPr>
          <w:rFonts w:ascii="宋体" w:eastAsia="宋体" w:hAnsi="宋体" w:hint="eastAsia"/>
          <w:sz w:val="28"/>
          <w:szCs w:val="28"/>
        </w:rPr>
        <w:t>、</w:t>
      </w:r>
      <w:r w:rsidR="004E48A0" w:rsidRPr="00C62ACE">
        <w:rPr>
          <w:rFonts w:ascii="宋体" w:eastAsia="宋体" w:hAnsi="宋体" w:hint="eastAsia"/>
          <w:sz w:val="28"/>
          <w:szCs w:val="28"/>
        </w:rPr>
        <w:t>评估</w:t>
      </w:r>
      <w:r w:rsidR="008B6AB3" w:rsidRPr="00C62ACE">
        <w:rPr>
          <w:rFonts w:ascii="宋体" w:eastAsia="宋体" w:hAnsi="宋体" w:hint="eastAsia"/>
          <w:sz w:val="28"/>
          <w:szCs w:val="28"/>
        </w:rPr>
        <w:t>等工作（</w:t>
      </w:r>
      <w:r w:rsidR="00CC774E" w:rsidRPr="00C62ACE">
        <w:rPr>
          <w:rFonts w:ascii="宋体" w:eastAsia="宋体" w:hAnsi="宋体" w:hint="eastAsia"/>
          <w:sz w:val="28"/>
          <w:szCs w:val="28"/>
        </w:rPr>
        <w:t>包括但不限于环境评估、资产评估与土地评估）</w:t>
      </w:r>
      <w:r w:rsidR="008B6AB3" w:rsidRPr="00C62ACE">
        <w:rPr>
          <w:rFonts w:ascii="宋体" w:eastAsia="宋体" w:hAnsi="宋体" w:hint="eastAsia"/>
          <w:sz w:val="28"/>
          <w:szCs w:val="28"/>
        </w:rPr>
        <w:t>，并支付相应费用</w:t>
      </w:r>
      <w:r w:rsidR="00CC774E" w:rsidRPr="00C62ACE">
        <w:rPr>
          <w:rFonts w:ascii="宋体" w:eastAsia="宋体" w:hAnsi="宋体" w:hint="eastAsia"/>
          <w:sz w:val="28"/>
          <w:szCs w:val="28"/>
        </w:rPr>
        <w:t>。</w:t>
      </w:r>
      <w:r w:rsidR="00D57F4D" w:rsidRPr="00C62ACE">
        <w:rPr>
          <w:rFonts w:ascii="宋体" w:eastAsia="宋体" w:hAnsi="宋体" w:hint="eastAsia"/>
          <w:sz w:val="28"/>
          <w:szCs w:val="28"/>
        </w:rPr>
        <w:t>同时，由于债务人进入破产程序，无力支付相关费用，管理人拟向恒</w:t>
      </w:r>
      <w:proofErr w:type="gramStart"/>
      <w:r w:rsidR="00D57F4D" w:rsidRPr="00C62ACE">
        <w:rPr>
          <w:rFonts w:ascii="宋体" w:eastAsia="宋体" w:hAnsi="宋体" w:hint="eastAsia"/>
          <w:sz w:val="28"/>
          <w:szCs w:val="28"/>
        </w:rPr>
        <w:t>天资产</w:t>
      </w:r>
      <w:proofErr w:type="gramEnd"/>
      <w:r w:rsidR="00D57F4D" w:rsidRPr="00C62ACE">
        <w:rPr>
          <w:rFonts w:ascii="宋体" w:eastAsia="宋体" w:hAnsi="宋体" w:hint="eastAsia"/>
          <w:sz w:val="28"/>
          <w:szCs w:val="28"/>
        </w:rPr>
        <w:t>管理有限公司（以下简称“恒天资产”）借资用于支付相关费用。</w:t>
      </w:r>
      <w:r w:rsidR="008B6AB3" w:rsidRPr="00C62ACE">
        <w:rPr>
          <w:rFonts w:ascii="宋体" w:eastAsia="宋体" w:hAnsi="宋体" w:hint="eastAsia"/>
          <w:sz w:val="28"/>
          <w:szCs w:val="28"/>
        </w:rPr>
        <w:t>为了推进土地收储事项的快速进行，实现债务人资产价值最大化，本方案通过视为债权人会议授权管理人进行检测、评估等中介机构的选定和其他相关工作，</w:t>
      </w:r>
      <w:r w:rsidR="00D57F4D" w:rsidRPr="00C62ACE">
        <w:rPr>
          <w:rFonts w:ascii="宋体" w:eastAsia="宋体" w:hAnsi="宋体" w:hint="eastAsia"/>
          <w:sz w:val="28"/>
          <w:szCs w:val="28"/>
        </w:rPr>
        <w:t>并授权管理人对于</w:t>
      </w:r>
      <w:r w:rsidR="008B6AB3" w:rsidRPr="00C62ACE">
        <w:rPr>
          <w:rFonts w:ascii="宋体" w:eastAsia="宋体" w:hAnsi="宋体" w:hint="eastAsia"/>
          <w:sz w:val="28"/>
          <w:szCs w:val="28"/>
        </w:rPr>
        <w:t>相关费用的</w:t>
      </w:r>
      <w:r w:rsidR="00D57F4D" w:rsidRPr="00C62ACE">
        <w:rPr>
          <w:rFonts w:ascii="宋体" w:eastAsia="宋体" w:hAnsi="宋体" w:hint="eastAsia"/>
          <w:sz w:val="28"/>
          <w:szCs w:val="28"/>
        </w:rPr>
        <w:t>借资以及</w:t>
      </w:r>
      <w:r w:rsidR="008B6AB3" w:rsidRPr="00C62ACE">
        <w:rPr>
          <w:rFonts w:ascii="宋体" w:eastAsia="宋体" w:hAnsi="宋体" w:hint="eastAsia"/>
          <w:sz w:val="28"/>
          <w:szCs w:val="28"/>
        </w:rPr>
        <w:t>支付。</w:t>
      </w:r>
      <w:r w:rsidR="00AB45F5" w:rsidRPr="00C62ACE">
        <w:rPr>
          <w:rFonts w:ascii="宋体" w:eastAsia="宋体" w:hAnsi="宋体" w:hint="eastAsia"/>
          <w:sz w:val="28"/>
          <w:szCs w:val="28"/>
        </w:rPr>
        <w:t>该</w:t>
      </w:r>
      <w:r w:rsidR="00D57F4D" w:rsidRPr="00C62ACE">
        <w:rPr>
          <w:rFonts w:ascii="宋体" w:eastAsia="宋体" w:hAnsi="宋体" w:hint="eastAsia"/>
          <w:sz w:val="28"/>
          <w:szCs w:val="28"/>
        </w:rPr>
        <w:t>借资</w:t>
      </w:r>
      <w:r w:rsidR="00AB45F5" w:rsidRPr="00C62ACE">
        <w:rPr>
          <w:rFonts w:ascii="宋体" w:eastAsia="宋体" w:hAnsi="宋体" w:hint="eastAsia"/>
          <w:sz w:val="28"/>
          <w:szCs w:val="28"/>
        </w:rPr>
        <w:t>费用将列入破产管理费用，在破产财产处置后按破产费用顺位进行清偿。</w:t>
      </w:r>
    </w:p>
    <w:p w14:paraId="0ABD7144" w14:textId="6BD932C0"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lastRenderedPageBreak/>
        <w:t>3、</w:t>
      </w:r>
      <w:r w:rsidR="00AB45F5" w:rsidRPr="00C62ACE">
        <w:rPr>
          <w:rFonts w:ascii="宋体" w:eastAsia="宋体" w:hAnsi="宋体" w:hint="eastAsia"/>
          <w:sz w:val="28"/>
          <w:szCs w:val="28"/>
        </w:rPr>
        <w:t>协议签订。</w:t>
      </w:r>
      <w:r w:rsidRPr="00C62ACE">
        <w:rPr>
          <w:rFonts w:ascii="宋体" w:eastAsia="宋体" w:hAnsi="宋体" w:hint="eastAsia"/>
          <w:sz w:val="28"/>
          <w:szCs w:val="28"/>
        </w:rPr>
        <w:t>土地收储方案报批并取得同意后，由土地收储部门与原土地使用权人签订《国有土地使用权收回协议》，但由于</w:t>
      </w:r>
      <w:r w:rsidR="00FE786B" w:rsidRPr="00C62ACE">
        <w:rPr>
          <w:rFonts w:ascii="宋体" w:eastAsia="宋体" w:hAnsi="宋体" w:hint="eastAsia"/>
          <w:sz w:val="28"/>
          <w:szCs w:val="28"/>
        </w:rPr>
        <w:t>债务人</w:t>
      </w:r>
      <w:r w:rsidRPr="00C62ACE">
        <w:rPr>
          <w:rFonts w:ascii="宋体" w:eastAsia="宋体" w:hAnsi="宋体" w:hint="eastAsia"/>
          <w:sz w:val="28"/>
          <w:szCs w:val="28"/>
        </w:rPr>
        <w:t>进入破产程序，需由债权人会议向管理人进行授权，如若土地收储协议中交易价格高于管理人所聘请的</w:t>
      </w:r>
      <w:r w:rsidR="0065557C" w:rsidRPr="00C62ACE">
        <w:rPr>
          <w:rFonts w:ascii="宋体" w:eastAsia="宋体" w:hAnsi="宋体" w:hint="eastAsia"/>
          <w:sz w:val="28"/>
          <w:szCs w:val="28"/>
        </w:rPr>
        <w:t>江西人和大</w:t>
      </w:r>
      <w:proofErr w:type="gramStart"/>
      <w:r w:rsidR="0065557C" w:rsidRPr="00C62ACE">
        <w:rPr>
          <w:rFonts w:ascii="宋体" w:eastAsia="宋体" w:hAnsi="宋体" w:hint="eastAsia"/>
          <w:sz w:val="28"/>
          <w:szCs w:val="28"/>
        </w:rPr>
        <w:t>华资产</w:t>
      </w:r>
      <w:proofErr w:type="gramEnd"/>
      <w:r w:rsidR="0065557C" w:rsidRPr="00C62ACE">
        <w:rPr>
          <w:rFonts w:ascii="宋体" w:eastAsia="宋体" w:hAnsi="宋体" w:hint="eastAsia"/>
          <w:sz w:val="28"/>
          <w:szCs w:val="28"/>
        </w:rPr>
        <w:t>评估事务所有限公司</w:t>
      </w:r>
      <w:r w:rsidRPr="00C62ACE">
        <w:rPr>
          <w:rFonts w:ascii="宋体" w:eastAsia="宋体" w:hAnsi="宋体" w:hint="eastAsia"/>
          <w:sz w:val="28"/>
          <w:szCs w:val="28"/>
        </w:rPr>
        <w:t>所</w:t>
      </w:r>
      <w:proofErr w:type="gramStart"/>
      <w:r w:rsidRPr="00C62ACE">
        <w:rPr>
          <w:rFonts w:ascii="宋体" w:eastAsia="宋体" w:hAnsi="宋体" w:hint="eastAsia"/>
          <w:sz w:val="28"/>
          <w:szCs w:val="28"/>
        </w:rPr>
        <w:t>作出</w:t>
      </w:r>
      <w:proofErr w:type="gramEnd"/>
      <w:r w:rsidRPr="00C62ACE">
        <w:rPr>
          <w:rFonts w:ascii="宋体" w:eastAsia="宋体" w:hAnsi="宋体" w:hint="eastAsia"/>
          <w:sz w:val="28"/>
          <w:szCs w:val="28"/>
        </w:rPr>
        <w:t>《评估报告》中土地及地上建筑物等不动产所示价格，管理人可直接与土地收储部门签订《国有土地使用权收回协议》。本方案通过视为债权人会议授权管理人在土地收储交易价格高于</w:t>
      </w:r>
      <w:r w:rsidR="0065557C" w:rsidRPr="00C62ACE">
        <w:rPr>
          <w:rFonts w:ascii="宋体" w:eastAsia="宋体" w:hAnsi="宋体" w:hint="eastAsia"/>
          <w:sz w:val="28"/>
          <w:szCs w:val="28"/>
        </w:rPr>
        <w:t>江西人和大</w:t>
      </w:r>
      <w:proofErr w:type="gramStart"/>
      <w:r w:rsidR="0065557C" w:rsidRPr="00C62ACE">
        <w:rPr>
          <w:rFonts w:ascii="宋体" w:eastAsia="宋体" w:hAnsi="宋体" w:hint="eastAsia"/>
          <w:sz w:val="28"/>
          <w:szCs w:val="28"/>
        </w:rPr>
        <w:t>华资产</w:t>
      </w:r>
      <w:proofErr w:type="gramEnd"/>
      <w:r w:rsidR="0065557C" w:rsidRPr="00C62ACE">
        <w:rPr>
          <w:rFonts w:ascii="宋体" w:eastAsia="宋体" w:hAnsi="宋体" w:hint="eastAsia"/>
          <w:sz w:val="28"/>
          <w:szCs w:val="28"/>
        </w:rPr>
        <w:t>评估事务所有限公司所</w:t>
      </w:r>
      <w:proofErr w:type="gramStart"/>
      <w:r w:rsidR="0065557C" w:rsidRPr="00C62ACE">
        <w:rPr>
          <w:rFonts w:ascii="宋体" w:eastAsia="宋体" w:hAnsi="宋体" w:hint="eastAsia"/>
          <w:sz w:val="28"/>
          <w:szCs w:val="28"/>
        </w:rPr>
        <w:t>作出</w:t>
      </w:r>
      <w:proofErr w:type="gramEnd"/>
      <w:r w:rsidRPr="00C62ACE">
        <w:rPr>
          <w:rFonts w:ascii="宋体" w:eastAsia="宋体" w:hAnsi="宋体" w:hint="eastAsia"/>
          <w:sz w:val="28"/>
          <w:szCs w:val="28"/>
        </w:rPr>
        <w:t>《评估报告》</w:t>
      </w:r>
      <w:r w:rsidR="0065557C" w:rsidRPr="00C62ACE">
        <w:rPr>
          <w:rFonts w:ascii="宋体" w:eastAsia="宋体" w:hAnsi="宋体" w:hint="eastAsia"/>
          <w:sz w:val="28"/>
          <w:szCs w:val="28"/>
        </w:rPr>
        <w:t>中</w:t>
      </w:r>
      <w:r w:rsidRPr="00C62ACE">
        <w:rPr>
          <w:rFonts w:ascii="宋体" w:eastAsia="宋体" w:hAnsi="宋体" w:hint="eastAsia"/>
          <w:sz w:val="28"/>
          <w:szCs w:val="28"/>
        </w:rPr>
        <w:t>土地及地上建筑物等不动产所示价格时，可以直接与土地收储部门签订《国有土地使用权收回协议》。</w:t>
      </w:r>
    </w:p>
    <w:p w14:paraId="7674FD30" w14:textId="14315389" w:rsidR="002949F2" w:rsidRPr="00C62ACE" w:rsidRDefault="002949F2" w:rsidP="00C62ACE">
      <w:pPr>
        <w:ind w:firstLineChars="200" w:firstLine="560"/>
        <w:textAlignment w:val="baseline"/>
        <w:rPr>
          <w:rFonts w:ascii="宋体" w:eastAsia="宋体" w:hAnsi="宋体" w:hint="eastAsia"/>
          <w:sz w:val="28"/>
          <w:szCs w:val="28"/>
        </w:rPr>
      </w:pPr>
      <w:r w:rsidRPr="00C62ACE">
        <w:rPr>
          <w:rFonts w:ascii="宋体" w:eastAsia="宋体" w:hAnsi="宋体" w:hint="eastAsia"/>
          <w:sz w:val="28"/>
          <w:szCs w:val="28"/>
        </w:rPr>
        <w:t>4、土地收储部门根据《国有土地使用权收回协议》约定向原土地使用权人（现为管理人）支付收购费用后，</w:t>
      </w:r>
      <w:r w:rsidR="001E3C81" w:rsidRPr="00C62ACE">
        <w:rPr>
          <w:rFonts w:ascii="宋体" w:eastAsia="宋体" w:hAnsi="宋体" w:hint="eastAsia"/>
          <w:sz w:val="28"/>
          <w:szCs w:val="28"/>
        </w:rPr>
        <w:t>管理人</w:t>
      </w:r>
      <w:r w:rsidRPr="00C62ACE">
        <w:rPr>
          <w:rFonts w:ascii="宋体" w:eastAsia="宋体" w:hAnsi="宋体" w:hint="eastAsia"/>
          <w:sz w:val="28"/>
          <w:szCs w:val="28"/>
        </w:rPr>
        <w:t>将配合办理权属变更，并交付</w:t>
      </w:r>
      <w:r w:rsidR="00D57F4D" w:rsidRPr="00C62ACE">
        <w:rPr>
          <w:rFonts w:ascii="宋体" w:eastAsia="宋体" w:hAnsi="宋体" w:hint="eastAsia"/>
          <w:sz w:val="28"/>
          <w:szCs w:val="28"/>
        </w:rPr>
        <w:t>土地、地上建筑物等所有不可移动的不动产</w:t>
      </w:r>
      <w:r w:rsidRPr="00C62ACE">
        <w:rPr>
          <w:rFonts w:ascii="宋体" w:eastAsia="宋体" w:hAnsi="宋体" w:hint="eastAsia"/>
          <w:sz w:val="28"/>
          <w:szCs w:val="28"/>
        </w:rPr>
        <w:t>。本方案通过视为债权人会议授权管理人在土地收储部门支付收购费用后，按照收储协议约定办理权属变更手续并交付</w:t>
      </w:r>
      <w:r w:rsidR="00D57F4D" w:rsidRPr="00C62ACE">
        <w:rPr>
          <w:rFonts w:ascii="宋体" w:eastAsia="宋体" w:hAnsi="宋体" w:hint="eastAsia"/>
          <w:sz w:val="28"/>
          <w:szCs w:val="28"/>
        </w:rPr>
        <w:t>土地、地上建筑物等所有不可移动的不动产</w:t>
      </w:r>
      <w:r w:rsidRPr="00C62ACE">
        <w:rPr>
          <w:rFonts w:ascii="宋体" w:eastAsia="宋体" w:hAnsi="宋体" w:hint="eastAsia"/>
          <w:sz w:val="28"/>
          <w:szCs w:val="28"/>
        </w:rPr>
        <w:t>。</w:t>
      </w:r>
    </w:p>
    <w:p w14:paraId="705BB8B3"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四、附则</w:t>
      </w:r>
    </w:p>
    <w:p w14:paraId="09C998F3"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一）财产变价过程中的技术性条款，本方案未作规定的，由管理人按照有利于财产及时变价、有利于财产价值最大化的原则，合理确定。在变价财产转移给买受人之前，管理人将按照《财产管理方案》、《财产变价方案》妥善管理财产，防止财产毁损、灭失。</w:t>
      </w:r>
    </w:p>
    <w:p w14:paraId="15FD67BD"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（二）本方案未尽事宜，《企业破产法》及法律、司法解释和当</w:t>
      </w:r>
      <w:r w:rsidRPr="00C62ACE">
        <w:rPr>
          <w:rFonts w:ascii="宋体" w:eastAsia="宋体" w:hAnsi="宋体" w:hint="eastAsia"/>
          <w:sz w:val="28"/>
          <w:szCs w:val="28"/>
        </w:rPr>
        <w:lastRenderedPageBreak/>
        <w:t>时司法政策有相关规定的，管理人可参照执行；如无相关规定，经债权人委员会审议通过后实施。</w:t>
      </w:r>
    </w:p>
    <w:p w14:paraId="35817FBF"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（三）债务人被宣告破产后，本方案所称债务人财产即为破产财产。</w:t>
      </w:r>
    </w:p>
    <w:p w14:paraId="440EA42B"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（四）本方案自本次债权人会议表决通过或表决未通过由南昌市中级人民法院依法裁定后批准生效。</w:t>
      </w:r>
    </w:p>
    <w:p w14:paraId="00BCE10A" w14:textId="77777777" w:rsidR="002949F2" w:rsidRPr="00C62ACE" w:rsidRDefault="002949F2" w:rsidP="002949F2">
      <w:pPr>
        <w:ind w:firstLineChars="200" w:firstLine="560"/>
        <w:textAlignment w:val="baseline"/>
        <w:rPr>
          <w:rFonts w:ascii="宋体" w:eastAsia="宋体" w:hAnsi="宋体"/>
          <w:sz w:val="28"/>
          <w:szCs w:val="28"/>
        </w:rPr>
      </w:pPr>
      <w:r w:rsidRPr="00C62ACE">
        <w:rPr>
          <w:rFonts w:ascii="宋体" w:eastAsia="宋体" w:hAnsi="宋体" w:hint="eastAsia"/>
          <w:sz w:val="28"/>
          <w:szCs w:val="28"/>
        </w:rPr>
        <w:t>（五）上述财产变价方案提交本次债权人会议，请各债权人审议表决，经债权人会议通过后，管理人将按方案积极实施财产变现工作。</w:t>
      </w:r>
    </w:p>
    <w:p w14:paraId="6911E0D2" w14:textId="4734365A" w:rsidR="002949F2" w:rsidRPr="00C62ACE" w:rsidRDefault="002949F2" w:rsidP="002949F2">
      <w:pPr>
        <w:ind w:firstLineChars="200" w:firstLine="560"/>
        <w:textAlignment w:val="baseline"/>
        <w:rPr>
          <w:rFonts w:ascii="宋体" w:eastAsia="宋体" w:hAnsi="宋体"/>
          <w:sz w:val="28"/>
          <w:szCs w:val="28"/>
        </w:rPr>
      </w:pPr>
    </w:p>
    <w:p w14:paraId="3915E3AD" w14:textId="77777777" w:rsidR="00C62ACE" w:rsidRPr="00C62ACE" w:rsidRDefault="00C62ACE" w:rsidP="002949F2">
      <w:pPr>
        <w:ind w:firstLineChars="200" w:firstLine="560"/>
        <w:textAlignment w:val="baseline"/>
        <w:rPr>
          <w:rFonts w:ascii="宋体" w:eastAsia="宋体" w:hAnsi="宋体" w:hint="eastAsia"/>
          <w:sz w:val="28"/>
          <w:szCs w:val="28"/>
        </w:rPr>
      </w:pPr>
    </w:p>
    <w:p w14:paraId="6DEACE3A" w14:textId="77777777" w:rsidR="002949F2" w:rsidRPr="00C62ACE" w:rsidRDefault="002949F2" w:rsidP="002949F2">
      <w:pPr>
        <w:ind w:firstLineChars="200" w:firstLine="560"/>
        <w:jc w:val="right"/>
        <w:textAlignment w:val="baseline"/>
        <w:rPr>
          <w:rFonts w:ascii="宋体" w:eastAsia="宋体" w:hAnsi="宋体"/>
          <w:sz w:val="28"/>
          <w:szCs w:val="28"/>
        </w:rPr>
      </w:pPr>
      <w:r w:rsidRPr="00C62ACE">
        <w:rPr>
          <w:rFonts w:ascii="宋体" w:eastAsia="宋体" w:hAnsi="宋体" w:hint="eastAsia"/>
          <w:sz w:val="28"/>
          <w:szCs w:val="28"/>
        </w:rPr>
        <w:t>恒天动力有限公司破产管理人</w:t>
      </w:r>
    </w:p>
    <w:p w14:paraId="63F668A0" w14:textId="15AA7416" w:rsidR="002949F2" w:rsidRPr="00C62ACE" w:rsidRDefault="002949F2" w:rsidP="002949F2">
      <w:pPr>
        <w:ind w:firstLineChars="200" w:firstLine="560"/>
        <w:jc w:val="right"/>
        <w:textAlignment w:val="baseline"/>
        <w:rPr>
          <w:rFonts w:ascii="宋体" w:eastAsia="宋体" w:hAnsi="宋体"/>
          <w:sz w:val="28"/>
          <w:szCs w:val="28"/>
        </w:rPr>
      </w:pPr>
      <w:r w:rsidRPr="00C62ACE">
        <w:rPr>
          <w:rFonts w:ascii="宋体" w:eastAsia="宋体" w:hAnsi="宋体" w:hint="eastAsia"/>
          <w:sz w:val="28"/>
          <w:szCs w:val="28"/>
        </w:rPr>
        <w:t>二〇二一年九月</w:t>
      </w:r>
      <w:r w:rsidR="00C62ACE" w:rsidRPr="00C62ACE">
        <w:rPr>
          <w:rFonts w:ascii="宋体" w:eastAsia="宋体" w:hAnsi="宋体" w:hint="eastAsia"/>
          <w:sz w:val="28"/>
          <w:szCs w:val="28"/>
        </w:rPr>
        <w:t>十五</w:t>
      </w:r>
      <w:r w:rsidRPr="00C62ACE">
        <w:rPr>
          <w:rFonts w:ascii="宋体" w:eastAsia="宋体" w:hAnsi="宋体" w:hint="eastAsia"/>
          <w:sz w:val="28"/>
          <w:szCs w:val="28"/>
        </w:rPr>
        <w:t>日</w:t>
      </w:r>
    </w:p>
    <w:p w14:paraId="70AB229C" w14:textId="77777777" w:rsidR="002949F2" w:rsidRPr="00C62ACE" w:rsidRDefault="002949F2">
      <w:pPr>
        <w:rPr>
          <w:rFonts w:ascii="宋体" w:eastAsia="宋体" w:hAnsi="宋体"/>
        </w:rPr>
      </w:pPr>
    </w:p>
    <w:sectPr w:rsidR="002949F2" w:rsidRPr="00C62AC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EE1FA" w14:textId="77777777" w:rsidR="008D2E64" w:rsidRDefault="008D2E64" w:rsidP="00CC774E">
      <w:r>
        <w:separator/>
      </w:r>
    </w:p>
  </w:endnote>
  <w:endnote w:type="continuationSeparator" w:id="0">
    <w:p w14:paraId="678084EB" w14:textId="77777777" w:rsidR="008D2E64" w:rsidRDefault="008D2E64" w:rsidP="00CC7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4BCD7" w14:textId="20F41D1A" w:rsidR="00C62ACE" w:rsidRDefault="00C62ACE">
    <w:pPr>
      <w:pStyle w:val="a5"/>
      <w:jc w:val="center"/>
    </w:pPr>
    <w:r>
      <w:rPr>
        <w:rFonts w:hint="eastAsia"/>
      </w:rPr>
      <w:t xml:space="preserve">第 </w:t>
    </w:r>
    <w:r>
      <w:t xml:space="preserve"> </w:t>
    </w:r>
    <w:sdt>
      <w:sdtPr>
        <w:id w:val="-207180652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t xml:space="preserve">  </w:t>
        </w:r>
        <w:r>
          <w:rPr>
            <w:rFonts w:hint="eastAsia"/>
          </w:rPr>
          <w:t>页</w:t>
        </w:r>
      </w:sdtContent>
    </w:sdt>
  </w:p>
  <w:p w14:paraId="1F9756F3" w14:textId="77777777" w:rsidR="00C62ACE" w:rsidRDefault="00C62AC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678285" w14:textId="77777777" w:rsidR="008D2E64" w:rsidRDefault="008D2E64" w:rsidP="00CC774E">
      <w:r>
        <w:separator/>
      </w:r>
    </w:p>
  </w:footnote>
  <w:footnote w:type="continuationSeparator" w:id="0">
    <w:p w14:paraId="4B548E66" w14:textId="77777777" w:rsidR="008D2E64" w:rsidRDefault="008D2E64" w:rsidP="00CC77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576AE" w14:textId="258C944B" w:rsidR="00C62ACE" w:rsidRDefault="00C62ACE" w:rsidP="00C62ACE">
    <w:pPr>
      <w:pStyle w:val="a3"/>
      <w:jc w:val="both"/>
      <w:rPr>
        <w:rFonts w:hint="eastAsia"/>
      </w:rPr>
    </w:pPr>
    <w:r>
      <w:rPr>
        <w:rFonts w:hint="eastAsia"/>
        <w:noProof/>
      </w:rPr>
      <w:drawing>
        <wp:anchor distT="0" distB="0" distL="114300" distR="114300" simplePos="0" relativeHeight="251658240" behindDoc="0" locked="0" layoutInCell="1" allowOverlap="1" wp14:anchorId="372347BB" wp14:editId="1A0F41AB">
          <wp:simplePos x="0" y="0"/>
          <wp:positionH relativeFrom="column">
            <wp:posOffset>105410</wp:posOffset>
          </wp:positionH>
          <wp:positionV relativeFrom="paragraph">
            <wp:posOffset>89535</wp:posOffset>
          </wp:positionV>
          <wp:extent cx="1447165" cy="288290"/>
          <wp:effectExtent l="0" t="0" r="635"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1">
                    <a:extLst>
                      <a:ext uri="{28A0092B-C50C-407E-A947-70E740481C1C}">
                        <a14:useLocalDpi xmlns:a14="http://schemas.microsoft.com/office/drawing/2010/main" val="0"/>
                      </a:ext>
                    </a:extLst>
                  </a:blip>
                  <a:srcRect l="37820"/>
                  <a:stretch>
                    <a:fillRect/>
                  </a:stretch>
                </pic:blipFill>
                <pic:spPr bwMode="auto">
                  <a:xfrm>
                    <a:off x="0" y="0"/>
                    <a:ext cx="1447165" cy="2882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9F2"/>
    <w:rsid w:val="00053F6B"/>
    <w:rsid w:val="00176A08"/>
    <w:rsid w:val="001D1519"/>
    <w:rsid w:val="001E3C81"/>
    <w:rsid w:val="002949F2"/>
    <w:rsid w:val="002B0236"/>
    <w:rsid w:val="00352CF7"/>
    <w:rsid w:val="003A65B2"/>
    <w:rsid w:val="004E48A0"/>
    <w:rsid w:val="0065557C"/>
    <w:rsid w:val="008B6AB3"/>
    <w:rsid w:val="008D2E64"/>
    <w:rsid w:val="00AB45F5"/>
    <w:rsid w:val="00AF1661"/>
    <w:rsid w:val="00C420D1"/>
    <w:rsid w:val="00C53DB0"/>
    <w:rsid w:val="00C62ACE"/>
    <w:rsid w:val="00CB386E"/>
    <w:rsid w:val="00CC40A5"/>
    <w:rsid w:val="00CC774E"/>
    <w:rsid w:val="00CE01EB"/>
    <w:rsid w:val="00D54B0D"/>
    <w:rsid w:val="00D57F4D"/>
    <w:rsid w:val="00FE78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FA8DDD"/>
  <w15:chartTrackingRefBased/>
  <w15:docId w15:val="{49A8F7D4-4CCC-4DA6-9AA7-2D7C81517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2949F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2949F2"/>
    <w:rPr>
      <w:rFonts w:asciiTheme="majorHAnsi" w:eastAsiaTheme="majorEastAsia" w:hAnsiTheme="majorHAnsi" w:cstheme="majorBidi"/>
      <w:b/>
      <w:bCs/>
      <w:sz w:val="32"/>
      <w:szCs w:val="32"/>
    </w:rPr>
  </w:style>
  <w:style w:type="paragraph" w:styleId="a3">
    <w:name w:val="header"/>
    <w:basedOn w:val="a"/>
    <w:link w:val="a4"/>
    <w:uiPriority w:val="99"/>
    <w:unhideWhenUsed/>
    <w:rsid w:val="00CC77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C774E"/>
    <w:rPr>
      <w:sz w:val="18"/>
      <w:szCs w:val="18"/>
    </w:rPr>
  </w:style>
  <w:style w:type="paragraph" w:styleId="a5">
    <w:name w:val="footer"/>
    <w:basedOn w:val="a"/>
    <w:link w:val="a6"/>
    <w:uiPriority w:val="99"/>
    <w:unhideWhenUsed/>
    <w:rsid w:val="00CC774E"/>
    <w:pPr>
      <w:tabs>
        <w:tab w:val="center" w:pos="4153"/>
        <w:tab w:val="right" w:pos="8306"/>
      </w:tabs>
      <w:snapToGrid w:val="0"/>
      <w:jc w:val="left"/>
    </w:pPr>
    <w:rPr>
      <w:sz w:val="18"/>
      <w:szCs w:val="18"/>
    </w:rPr>
  </w:style>
  <w:style w:type="character" w:customStyle="1" w:styleId="a6">
    <w:name w:val="页脚 字符"/>
    <w:basedOn w:val="a0"/>
    <w:link w:val="a5"/>
    <w:uiPriority w:val="99"/>
    <w:rsid w:val="00CC77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267</Words>
  <Characters>1522</Characters>
  <Application>Microsoft Office Word</Application>
  <DocSecurity>0</DocSecurity>
  <Lines>12</Lines>
  <Paragraphs>3</Paragraphs>
  <ScaleCrop>false</ScaleCrop>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段 衍锋</dc:creator>
  <cp:keywords/>
  <dc:description/>
  <cp:lastModifiedBy>段 衍锋</cp:lastModifiedBy>
  <cp:revision>5</cp:revision>
  <dcterms:created xsi:type="dcterms:W3CDTF">2021-09-07T03:24:00Z</dcterms:created>
  <dcterms:modified xsi:type="dcterms:W3CDTF">2021-09-14T07:56:00Z</dcterms:modified>
</cp:coreProperties>
</file>