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8" w:line="384" w:lineRule="auto"/>
        <w:ind w:right="43"/>
        <w:jc w:val="center"/>
        <w:rPr>
          <w:rFonts w:hint="eastAsia" w:ascii="仿宋" w:hAnsi="仿宋" w:eastAsia="仿宋" w:cs="仿宋"/>
          <w:b/>
          <w:bCs/>
          <w:spacing w:val="-5"/>
          <w:sz w:val="36"/>
          <w:szCs w:val="36"/>
          <w:lang w:val="en-US" w:eastAsia="zh-CN"/>
        </w:rPr>
      </w:pPr>
      <w:r>
        <w:rPr>
          <w:rFonts w:hint="eastAsia" w:ascii="仿宋" w:hAnsi="仿宋" w:eastAsia="仿宋" w:cs="仿宋"/>
          <w:b/>
          <w:bCs/>
          <w:spacing w:val="-5"/>
          <w:sz w:val="36"/>
          <w:szCs w:val="36"/>
          <w:lang w:val="en-US" w:eastAsia="zh-CN"/>
        </w:rPr>
        <w:t>关于召开中机环建集团有限公司及其关联企业</w:t>
      </w:r>
    </w:p>
    <w:p>
      <w:pPr>
        <w:spacing w:before="98" w:line="384" w:lineRule="auto"/>
        <w:ind w:right="43"/>
        <w:jc w:val="center"/>
        <w:rPr>
          <w:rFonts w:ascii="仿宋" w:hAnsi="仿宋" w:eastAsia="仿宋" w:cs="仿宋"/>
          <w:b/>
          <w:bCs/>
          <w:spacing w:val="-5"/>
          <w:sz w:val="36"/>
          <w:szCs w:val="36"/>
        </w:rPr>
      </w:pPr>
      <w:r>
        <w:rPr>
          <w:rFonts w:hint="eastAsia" w:ascii="仿宋" w:hAnsi="仿宋" w:eastAsia="仿宋" w:cs="仿宋"/>
          <w:b/>
          <w:bCs/>
          <w:spacing w:val="-5"/>
          <w:sz w:val="36"/>
          <w:szCs w:val="36"/>
          <w:lang w:val="en-US" w:eastAsia="zh-CN"/>
        </w:rPr>
        <w:t>实质性合并破产听证会的</w:t>
      </w:r>
      <w:r>
        <w:rPr>
          <w:rFonts w:ascii="仿宋" w:hAnsi="仿宋" w:eastAsia="仿宋" w:cs="仿宋"/>
          <w:b/>
          <w:bCs/>
          <w:spacing w:val="-5"/>
          <w:sz w:val="36"/>
          <w:szCs w:val="36"/>
        </w:rPr>
        <w:t>公告</w:t>
      </w:r>
    </w:p>
    <w:p>
      <w:pPr>
        <w:spacing w:line="262" w:lineRule="auto"/>
        <w:rPr>
          <w:rFonts w:ascii="黑体"/>
          <w:sz w:val="21"/>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2019年10月10日</w:t>
      </w:r>
      <w:r>
        <w:rPr>
          <w:rFonts w:hint="eastAsia" w:ascii="Times New Roman" w:hAnsi="Times New Roman" w:eastAsia="仿宋" w:cs="仿宋"/>
          <w:sz w:val="28"/>
          <w:szCs w:val="28"/>
          <w:lang w:val="en-US" w:eastAsia="zh-CN"/>
        </w:rPr>
        <w:t>扬州市中级人民法</w:t>
      </w:r>
      <w:r>
        <w:rPr>
          <w:rFonts w:hint="eastAsia" w:ascii="Times New Roman" w:hAnsi="Times New Roman" w:eastAsia="仿宋" w:cs="仿宋"/>
          <w:sz w:val="28"/>
          <w:szCs w:val="28"/>
        </w:rPr>
        <w:t>院</w:t>
      </w:r>
      <w:r>
        <w:rPr>
          <w:rFonts w:hint="eastAsia" w:ascii="Times New Roman" w:hAnsi="Times New Roman" w:eastAsia="仿宋" w:cs="仿宋"/>
          <w:sz w:val="28"/>
          <w:szCs w:val="28"/>
          <w:lang w:eastAsia="zh-CN"/>
        </w:rPr>
        <w:t>（</w:t>
      </w:r>
      <w:r>
        <w:rPr>
          <w:rFonts w:hint="eastAsia" w:ascii="Times New Roman" w:hAnsi="Times New Roman" w:eastAsia="仿宋" w:cs="仿宋"/>
          <w:sz w:val="28"/>
          <w:szCs w:val="28"/>
          <w:lang w:val="en-US" w:eastAsia="zh-CN"/>
        </w:rPr>
        <w:t>以下简称扬州中院</w:t>
      </w:r>
      <w:r>
        <w:rPr>
          <w:rFonts w:hint="eastAsia" w:ascii="Times New Roman" w:hAnsi="Times New Roman" w:eastAsia="仿宋" w:cs="仿宋"/>
          <w:sz w:val="28"/>
          <w:szCs w:val="28"/>
          <w:lang w:eastAsia="zh-CN"/>
        </w:rPr>
        <w:t>）</w:t>
      </w:r>
      <w:r>
        <w:rPr>
          <w:rFonts w:hint="eastAsia" w:ascii="Times New Roman" w:hAnsi="Times New Roman" w:eastAsia="仿宋" w:cs="仿宋"/>
          <w:sz w:val="28"/>
          <w:szCs w:val="28"/>
        </w:rPr>
        <w:t>作出（2019）苏10破申15号民事裁定书，裁定受理蜀冈—瘦西湖风景名胜区昌立达木业经营部对中机环建集团有限公司（以下简称中机公司）的破产清算（预重整）申请，并于2019年11月20日作出（2019）苏10破4号决定书，指定江苏石塔律师事务所担任中机公司管理人。</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lang w:val="en-US" w:eastAsia="zh-CN"/>
        </w:rPr>
        <w:t>后扬州中院分别于2021年1月28日、2021年2月22日、2021年10月27日裁定受理江苏润环建设工程有限公司（以下简称润环公司）、江苏中昇安装工程有限公司（以下简称中昇公司）、江苏中汛建筑装饰设计工程有限公司（以下简称中汛公司）、扬州市众城房地产开发有限公司（以下简称众城公司）、扬州中润劳务有限公司（以下简称中润公司）、扬州中贸国际贸易有限公司（以下简称中贸公司）的破产清算申请，并指定</w:t>
      </w:r>
      <w:r>
        <w:rPr>
          <w:rFonts w:hint="eastAsia" w:ascii="Times New Roman" w:hAnsi="Times New Roman" w:eastAsia="仿宋" w:cs="仿宋"/>
          <w:sz w:val="28"/>
          <w:szCs w:val="28"/>
        </w:rPr>
        <w:t>江苏石塔律师事务所担任</w:t>
      </w:r>
      <w:r>
        <w:rPr>
          <w:rFonts w:hint="eastAsia" w:ascii="Times New Roman" w:hAnsi="Times New Roman" w:eastAsia="仿宋" w:cs="仿宋"/>
          <w:sz w:val="28"/>
          <w:szCs w:val="28"/>
          <w:lang w:val="en-US" w:eastAsia="zh-CN"/>
        </w:rPr>
        <w:t>上述公司管理人。上述六个公司与中机公司均是关联公司，除众城公司是中机公司的股东外，其他五个公司都是中机公司的子公司。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 w:cs="仿宋"/>
          <w:color w:val="auto"/>
          <w:sz w:val="28"/>
          <w:szCs w:val="28"/>
          <w:lang w:val="en-US" w:eastAsia="zh-CN"/>
        </w:rPr>
      </w:pPr>
      <w:r>
        <w:rPr>
          <w:rFonts w:hint="eastAsia" w:ascii="Times New Roman" w:hAnsi="Times New Roman" w:eastAsia="仿宋" w:cs="仿宋"/>
          <w:sz w:val="28"/>
          <w:szCs w:val="28"/>
          <w:lang w:val="en-US" w:eastAsia="zh-CN"/>
        </w:rPr>
        <w:t>2021年6月25日，润环公司债权人胡富根向扬州中院及管理人提交书面申请，要求将中机公司与润环公司合并破产。管理人接到其书面申请后，对其提出的申请及中机公司与上述六家关联企业之间</w:t>
      </w:r>
      <w:r>
        <w:rPr>
          <w:rFonts w:hint="eastAsia" w:ascii="Times New Roman" w:hAnsi="Times New Roman" w:eastAsia="仿宋" w:cs="仿宋"/>
          <w:color w:val="auto"/>
          <w:sz w:val="28"/>
          <w:szCs w:val="28"/>
          <w:lang w:val="en-US" w:eastAsia="zh-CN"/>
        </w:rPr>
        <w:t>是否应实质性合并破产</w:t>
      </w:r>
      <w:r>
        <w:rPr>
          <w:rFonts w:hint="eastAsia" w:ascii="Times New Roman" w:hAnsi="Times New Roman" w:eastAsia="仿宋" w:cs="仿宋"/>
          <w:sz w:val="28"/>
          <w:szCs w:val="28"/>
          <w:lang w:val="en-US" w:eastAsia="zh-CN"/>
        </w:rPr>
        <w:t>展开了调查，并向扬州中院提交了书面报告。</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为充分听取各方意见，依法保障债权人及利益相关方的合法权益，扬州中院定于 2021 年12 月 2 日下午 2：30 在该院第十法庭召开听证会，会议将对上述各公司之间是否符合关联企业实质性合并破产情形进行听证。上述各公司的债权人、利害关系人 有意向参加本次听证会的， 应于 2021 年12月 1日前向扬州中院或管理人报名参会。</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特此公告</w:t>
      </w:r>
    </w:p>
    <w:p>
      <w:pPr>
        <w:keepNext w:val="0"/>
        <w:keepLines w:val="0"/>
        <w:pageBreakBefore w:val="0"/>
        <w:widowControl w:val="0"/>
        <w:kinsoku/>
        <w:wordWrap/>
        <w:overflowPunct/>
        <w:topLinePunct w:val="0"/>
        <w:autoSpaceDE/>
        <w:autoSpaceDN/>
        <w:bidi w:val="0"/>
        <w:adjustRightInd w:val="0"/>
        <w:snapToGrid w:val="0"/>
        <w:spacing w:line="560" w:lineRule="exact"/>
        <w:jc w:val="right"/>
        <w:textAlignment w:val="auto"/>
        <w:rPr>
          <w:rFonts w:hint="eastAsia" w:ascii="Times New Roman" w:hAnsi="Times New Roman" w:eastAsia="仿宋" w:cs="仿宋"/>
          <w:color w:val="0000FF"/>
          <w:sz w:val="28"/>
          <w:szCs w:val="28"/>
          <w:lang w:val="en-US" w:eastAsia="zh-CN"/>
        </w:rPr>
      </w:pPr>
      <w:r>
        <w:rPr>
          <w:rFonts w:hint="eastAsia" w:ascii="Times New Roman" w:hAnsi="Times New Roman" w:eastAsia="仿宋" w:cs="仿宋"/>
          <w:color w:val="000000" w:themeColor="text1"/>
          <w:sz w:val="28"/>
          <w:szCs w:val="28"/>
          <w:lang w:val="en-US" w:eastAsia="zh-CN"/>
          <w14:textFill>
            <w14:solidFill>
              <w14:schemeClr w14:val="tx1"/>
            </w14:solidFill>
          </w14:textFill>
        </w:rPr>
        <w:t>扬州旺洲国际贸易</w:t>
      </w:r>
      <w:bookmarkStart w:id="0" w:name="_GoBack"/>
      <w:bookmarkEnd w:id="0"/>
      <w:r>
        <w:rPr>
          <w:rFonts w:hint="eastAsia" w:ascii="Times New Roman" w:hAnsi="Times New Roman" w:eastAsia="仿宋" w:cs="仿宋"/>
          <w:color w:val="000000" w:themeColor="text1"/>
          <w:sz w:val="28"/>
          <w:szCs w:val="28"/>
          <w:lang w:val="en-US" w:eastAsia="zh-CN"/>
          <w14:textFill>
            <w14:solidFill>
              <w14:schemeClr w14:val="tx1"/>
            </w14:solidFill>
          </w14:textFill>
        </w:rPr>
        <w:t>有限公司管理人</w:t>
      </w:r>
    </w:p>
    <w:p>
      <w:pPr>
        <w:keepNext w:val="0"/>
        <w:keepLines w:val="0"/>
        <w:pageBreakBefore w:val="0"/>
        <w:widowControl w:val="0"/>
        <w:kinsoku/>
        <w:wordWrap/>
        <w:overflowPunct/>
        <w:topLinePunct w:val="0"/>
        <w:autoSpaceDE/>
        <w:autoSpaceDN/>
        <w:bidi w:val="0"/>
        <w:adjustRightInd w:val="0"/>
        <w:snapToGrid w:val="0"/>
        <w:spacing w:line="560" w:lineRule="exact"/>
        <w:jc w:val="right"/>
        <w:textAlignment w:val="auto"/>
        <w:rPr>
          <w:rFonts w:hint="eastAsia"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二〇二一年十一月二十六日</w:t>
      </w:r>
    </w:p>
    <w:sectPr>
      <w:pgSz w:w="11907" w:h="16839"/>
      <w:pgMar w:top="1379" w:right="1769" w:bottom="0" w:left="177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5E44F4"/>
    <w:rsid w:val="18443BE3"/>
    <w:rsid w:val="2D825525"/>
    <w:rsid w:val="3DCE0E0D"/>
    <w:rsid w:val="45230F44"/>
    <w:rsid w:val="516703A9"/>
    <w:rsid w:val="6114110B"/>
    <w:rsid w:val="66BE2BE7"/>
    <w:rsid w:val="76D70CA1"/>
    <w:rsid w:val="770650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21</TotalTime>
  <ScaleCrop>false</ScaleCrop>
  <LinksUpToDate>false</LinksUpToDate>
  <Application>WPS Office_11.1.0.11035_F1E327BC-269C-435d-A152-05C5408002CA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2021-09-16T16:32:00Z</dcterms:created>
  <dc:creator>Administrator.USER-20181020BD</dc:creator>
  <cp:lastModifiedBy>彭志荣 石塔律所</cp:lastModifiedBy>
  <dcterms:modified xsi:type="dcterms:W3CDTF">2021-11-26T10:00:05Z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2021-11-26T16:18:26Z</vt:filetime>
  </property>
  <property fmtid="{D5CDD505-2E9C-101B-9397-08002B2CF9AE}" pid="4" name="KSOProductBuildVer">
    <vt:lpwstr>2052-11.1.0.11035</vt:lpwstr>
  </property>
  <property fmtid="{D5CDD505-2E9C-101B-9397-08002B2CF9AE}" pid="5" name="ICV">
    <vt:lpwstr>F5EAA3A115914194ACCCC11D8C1A6588</vt:lpwstr>
  </property>
</Properties>
</file>