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147"/>
        <w:contextualSpacing/>
        <w:jc w:val="center"/>
        <w:rPr>
          <w:rFonts w:ascii="Times New Roman" w:hAnsi="Times New Roman" w:eastAsia="宋体" w:cs="Times New Roman"/>
          <w:b/>
          <w:color w:val="242424"/>
          <w:sz w:val="44"/>
          <w:szCs w:val="44"/>
        </w:rPr>
      </w:pPr>
      <w:r>
        <w:rPr>
          <w:rFonts w:ascii="Times New Roman" w:hAnsi="Times New Roman" w:eastAsia="宋体" w:cs="Times New Roman"/>
          <w:b/>
          <w:color w:val="242424"/>
          <w:sz w:val="44"/>
          <w:szCs w:val="44"/>
        </w:rPr>
        <w:t>安阳永金化工有限公司</w:t>
      </w:r>
    </w:p>
    <w:p>
      <w:pPr>
        <w:spacing w:line="560" w:lineRule="exact"/>
        <w:ind w:right="147"/>
        <w:contextualSpacing/>
        <w:jc w:val="center"/>
        <w:rPr>
          <w:rFonts w:ascii="Times New Roman" w:hAnsi="Times New Roman" w:eastAsia="微软雅黑" w:cs="Times New Roman"/>
          <w:b/>
          <w:color w:val="242424"/>
          <w:sz w:val="44"/>
          <w:szCs w:val="44"/>
        </w:rPr>
      </w:pPr>
      <w:r>
        <w:rPr>
          <w:rFonts w:ascii="Times New Roman" w:hAnsi="Times New Roman" w:eastAsia="宋体" w:cs="Times New Roman"/>
          <w:b/>
          <w:color w:val="242424"/>
          <w:sz w:val="44"/>
          <w:szCs w:val="44"/>
          <w:lang w:val="en-US"/>
        </w:rPr>
        <w:t>预</w:t>
      </w:r>
      <w:r>
        <w:rPr>
          <w:rFonts w:ascii="Times New Roman" w:hAnsi="Times New Roman" w:eastAsia="宋体" w:cs="Times New Roman"/>
          <w:b/>
          <w:color w:val="242424"/>
          <w:sz w:val="44"/>
          <w:szCs w:val="44"/>
        </w:rPr>
        <w:t>重整投资人</w:t>
      </w:r>
      <w:r>
        <w:rPr>
          <w:rFonts w:hint="eastAsia" w:ascii="Times New Roman" w:hAnsi="Times New Roman" w:eastAsia="宋体" w:cs="Times New Roman"/>
          <w:b/>
          <w:color w:val="242424"/>
          <w:sz w:val="44"/>
          <w:szCs w:val="44"/>
          <w:lang w:val="en-US"/>
        </w:rPr>
        <w:t>第二次</w:t>
      </w:r>
      <w:r>
        <w:rPr>
          <w:rFonts w:ascii="Times New Roman" w:hAnsi="Times New Roman" w:eastAsia="宋体" w:cs="Times New Roman"/>
          <w:b/>
          <w:color w:val="242424"/>
          <w:sz w:val="44"/>
          <w:szCs w:val="44"/>
        </w:rPr>
        <w:t>招募公告</w:t>
      </w:r>
    </w:p>
    <w:p>
      <w:pPr>
        <w:spacing w:line="560" w:lineRule="exact"/>
        <w:ind w:left="130" w:right="147" w:firstLine="660" w:firstLineChars="200"/>
        <w:contextualSpacing/>
        <w:jc w:val="both"/>
        <w:rPr>
          <w:rFonts w:ascii="Times New Roman" w:hAnsi="Times New Roman" w:eastAsia="微软雅黑" w:cs="Times New Roman"/>
          <w:b/>
          <w:color w:val="242424"/>
          <w:sz w:val="33"/>
        </w:rPr>
      </w:pPr>
    </w:p>
    <w:p>
      <w:pPr>
        <w:pStyle w:val="4"/>
        <w:spacing w:before="0" w:line="560" w:lineRule="exact"/>
        <w:ind w:left="0" w:firstLine="640" w:firstLineChars="200"/>
        <w:contextualSpacing/>
        <w:jc w:val="both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</w:rPr>
        <w:t>202</w:t>
      </w:r>
      <w:r>
        <w:rPr>
          <w:rFonts w:ascii="Times New Roman" w:hAnsi="Times New Roman" w:cs="Times New Roman"/>
          <w:color w:val="000000"/>
          <w:sz w:val="32"/>
          <w:szCs w:val="32"/>
          <w:lang w:val="en-US"/>
        </w:rPr>
        <w:t>1</w:t>
      </w:r>
      <w:r>
        <w:rPr>
          <w:rFonts w:ascii="Times New Roman" w:hAnsi="Times New Roman" w:cs="Times New Roman"/>
          <w:color w:val="000000"/>
          <w:sz w:val="32"/>
          <w:szCs w:val="32"/>
        </w:rPr>
        <w:t>年</w:t>
      </w:r>
      <w:r>
        <w:rPr>
          <w:rFonts w:ascii="Times New Roman" w:hAnsi="Times New Roman" w:cs="Times New Roman"/>
          <w:color w:val="000000"/>
          <w:sz w:val="32"/>
          <w:szCs w:val="32"/>
          <w:lang w:val="en-US"/>
        </w:rPr>
        <w:t>9</w:t>
      </w:r>
      <w:r>
        <w:rPr>
          <w:rFonts w:ascii="Times New Roman" w:hAnsi="Times New Roman" w:cs="Times New Roman"/>
          <w:color w:val="000000"/>
          <w:sz w:val="32"/>
          <w:szCs w:val="32"/>
        </w:rPr>
        <w:t>月</w:t>
      </w:r>
      <w:r>
        <w:rPr>
          <w:rFonts w:ascii="Times New Roman" w:hAnsi="Times New Roman" w:cs="Times New Roman"/>
          <w:color w:val="000000"/>
          <w:sz w:val="32"/>
          <w:szCs w:val="32"/>
          <w:lang w:val="en-US"/>
        </w:rPr>
        <w:t>17</w:t>
      </w:r>
      <w:r>
        <w:rPr>
          <w:rFonts w:ascii="Times New Roman" w:hAnsi="Times New Roman" w:cs="Times New Roman"/>
          <w:color w:val="000000"/>
          <w:sz w:val="32"/>
          <w:szCs w:val="32"/>
        </w:rPr>
        <w:t>日，</w:t>
      </w:r>
      <w:r>
        <w:rPr>
          <w:rFonts w:ascii="Times New Roman" w:hAnsi="Times New Roman" w:cs="Times New Roman"/>
          <w:sz w:val="32"/>
          <w:szCs w:val="32"/>
          <w:lang w:val="en-US"/>
        </w:rPr>
        <w:t>安阳市中级人民法院（以下简称</w:t>
      </w:r>
      <w:r>
        <w:rPr>
          <w:rFonts w:hint="eastAsia" w:ascii="Times New Roman" w:hAnsi="Times New Roman" w:cs="Times New Roman"/>
          <w:sz w:val="32"/>
          <w:szCs w:val="32"/>
          <w:lang w:val="en-US"/>
        </w:rPr>
        <w:t>:</w:t>
      </w:r>
      <w:r>
        <w:rPr>
          <w:rFonts w:ascii="Times New Roman" w:hAnsi="Times New Roman" w:cs="Times New Roman"/>
          <w:sz w:val="32"/>
          <w:szCs w:val="32"/>
          <w:lang w:val="en-US"/>
        </w:rPr>
        <w:t>安阳中院）决定对</w:t>
      </w:r>
      <w:r>
        <w:rPr>
          <w:rFonts w:ascii="Times New Roman" w:hAnsi="Times New Roman" w:cs="Times New Roman"/>
          <w:color w:val="000000"/>
          <w:sz w:val="32"/>
          <w:szCs w:val="32"/>
          <w:lang w:val="zh-TW" w:bidi="zh-TW"/>
        </w:rPr>
        <w:t>安阳永金化工有限公司（以下简称</w:t>
      </w:r>
      <w:r>
        <w:rPr>
          <w:rFonts w:hint="eastAsia" w:ascii="Times New Roman" w:hAnsi="Times New Roman" w:cs="Times New Roman"/>
          <w:color w:val="000000"/>
          <w:sz w:val="32"/>
          <w:szCs w:val="32"/>
          <w:lang w:val="zh-TW" w:bidi="zh-TW"/>
        </w:rPr>
        <w:t>:</w:t>
      </w:r>
      <w:r>
        <w:rPr>
          <w:rFonts w:ascii="Times New Roman" w:hAnsi="Times New Roman" w:cs="Times New Roman"/>
          <w:color w:val="000000"/>
          <w:sz w:val="32"/>
          <w:szCs w:val="32"/>
          <w:lang w:val="zh-TW" w:bidi="zh-TW"/>
        </w:rPr>
        <w:t>安阳永金</w:t>
      </w:r>
      <w:r>
        <w:rPr>
          <w:rFonts w:hint="eastAsia" w:ascii="Times New Roman" w:hAnsi="Times New Roman" w:cs="Times New Roman"/>
          <w:color w:val="000000"/>
          <w:sz w:val="32"/>
          <w:szCs w:val="32"/>
          <w:lang w:val="zh-TW" w:bidi="zh-TW"/>
        </w:rPr>
        <w:t>或</w:t>
      </w:r>
      <w:r>
        <w:rPr>
          <w:rFonts w:ascii="Times New Roman" w:hAnsi="Times New Roman" w:cs="Times New Roman"/>
          <w:color w:val="000000"/>
          <w:sz w:val="32"/>
          <w:szCs w:val="32"/>
          <w:lang w:val="zh-TW" w:bidi="zh-TW"/>
        </w:rPr>
        <w:t>债务人）进行</w:t>
      </w:r>
      <w:r>
        <w:rPr>
          <w:rFonts w:ascii="Times New Roman" w:hAnsi="Times New Roman" w:cs="Times New Roman"/>
          <w:color w:val="000000"/>
          <w:sz w:val="32"/>
          <w:szCs w:val="32"/>
          <w:lang w:val="en-US"/>
        </w:rPr>
        <w:t>预</w:t>
      </w:r>
      <w:r>
        <w:rPr>
          <w:rFonts w:ascii="Times New Roman" w:hAnsi="Times New Roman" w:cs="Times New Roman"/>
          <w:color w:val="000000"/>
          <w:sz w:val="32"/>
          <w:szCs w:val="32"/>
        </w:rPr>
        <w:t>重整。</w:t>
      </w:r>
      <w:r>
        <w:rPr>
          <w:rFonts w:ascii="Times New Roman" w:hAnsi="Times New Roman" w:cs="Times New Roman"/>
          <w:color w:val="000000"/>
          <w:sz w:val="32"/>
          <w:szCs w:val="32"/>
          <w:lang w:val="en-US"/>
        </w:rPr>
        <w:t>同日，安阳中院指定安阳永金公司</w:t>
      </w:r>
      <w:r>
        <w:rPr>
          <w:rFonts w:ascii="Times New Roman" w:hAnsi="Times New Roman" w:cs="Times New Roman"/>
          <w:sz w:val="32"/>
          <w:szCs w:val="32"/>
          <w:lang w:val="en-US"/>
        </w:rPr>
        <w:t>清算</w:t>
      </w:r>
      <w:r>
        <w:rPr>
          <w:rFonts w:ascii="Times New Roman" w:hAnsi="Times New Roman" w:cs="Times New Roman"/>
          <w:sz w:val="32"/>
          <w:szCs w:val="32"/>
          <w:lang w:eastAsia="zh-Hans"/>
        </w:rPr>
        <w:t>组</w:t>
      </w:r>
      <w:r>
        <w:rPr>
          <w:rFonts w:ascii="Times New Roman" w:hAnsi="Times New Roman" w:cs="Times New Roman"/>
          <w:color w:val="000000"/>
          <w:sz w:val="32"/>
          <w:szCs w:val="32"/>
        </w:rPr>
        <w:t>担任</w:t>
      </w:r>
      <w:r>
        <w:rPr>
          <w:rFonts w:ascii="Times New Roman" w:hAnsi="Times New Roman" w:cs="Times New Roman"/>
          <w:color w:val="000000"/>
          <w:sz w:val="32"/>
          <w:szCs w:val="32"/>
          <w:lang w:val="en-US"/>
        </w:rPr>
        <w:t>安阳永金预重整</w:t>
      </w:r>
      <w:r>
        <w:rPr>
          <w:rFonts w:ascii="Times New Roman" w:hAnsi="Times New Roman" w:cs="Times New Roman"/>
          <w:color w:val="000000"/>
          <w:sz w:val="32"/>
          <w:szCs w:val="32"/>
        </w:rPr>
        <w:t>管理人（</w:t>
      </w:r>
      <w:r>
        <w:rPr>
          <w:rFonts w:ascii="Times New Roman" w:hAnsi="Times New Roman" w:cs="Times New Roman"/>
          <w:color w:val="000000"/>
          <w:sz w:val="32"/>
          <w:szCs w:val="32"/>
          <w:lang w:val="en-US"/>
        </w:rPr>
        <w:t>以下简称</w:t>
      </w:r>
      <w:r>
        <w:rPr>
          <w:rFonts w:hint="eastAsia" w:ascii="Times New Roman" w:hAnsi="Times New Roman" w:cs="Times New Roman"/>
          <w:color w:val="000000"/>
          <w:sz w:val="32"/>
          <w:szCs w:val="32"/>
          <w:lang w:val="en-US"/>
        </w:rPr>
        <w:t>:</w:t>
      </w:r>
      <w:r>
        <w:rPr>
          <w:rFonts w:ascii="Times New Roman" w:hAnsi="Times New Roman" w:cs="Times New Roman"/>
          <w:color w:val="000000"/>
          <w:sz w:val="32"/>
          <w:szCs w:val="32"/>
          <w:lang w:val="en-US"/>
        </w:rPr>
        <w:t>管理人</w:t>
      </w:r>
      <w:r>
        <w:rPr>
          <w:rFonts w:ascii="Times New Roman" w:hAnsi="Times New Roman" w:cs="Times New Roman"/>
          <w:color w:val="000000"/>
          <w:sz w:val="32"/>
          <w:szCs w:val="32"/>
        </w:rPr>
        <w:t>）。</w:t>
      </w:r>
    </w:p>
    <w:p>
      <w:pPr>
        <w:pStyle w:val="4"/>
        <w:spacing w:before="0" w:line="560" w:lineRule="exact"/>
        <w:ind w:right="132" w:firstLine="640" w:firstLineChars="200"/>
        <w:contextualSpacing/>
        <w:jc w:val="both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cs="Times New Roman"/>
          <w:sz w:val="32"/>
          <w:szCs w:val="32"/>
        </w:rPr>
        <w:t>管理人于</w:t>
      </w:r>
      <w:r>
        <w:rPr>
          <w:rFonts w:ascii="Times New Roman" w:hAnsi="Times New Roman" w:cs="Times New Roman"/>
          <w:sz w:val="32"/>
          <w:szCs w:val="32"/>
        </w:rPr>
        <w:t>2021年10月20日在全国企业破产重整案件信息网发布《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安阳永金化工有限公司</w:t>
      </w:r>
      <w:r>
        <w:rPr>
          <w:rFonts w:ascii="Times New Roman" w:hAnsi="Times New Roman" w:cs="Times New Roman"/>
          <w:sz w:val="32"/>
          <w:szCs w:val="32"/>
        </w:rPr>
        <w:t>预重整投资人招募公告》，但截止公告载明的报名时间，无企业按照要求</w:t>
      </w:r>
      <w:r>
        <w:rPr>
          <w:rFonts w:hint="eastAsia" w:ascii="Times New Roman" w:hAnsi="Times New Roman" w:cs="Times New Roman"/>
          <w:sz w:val="32"/>
          <w:szCs w:val="32"/>
        </w:rPr>
        <w:t>作为投资人进行报名</w:t>
      </w:r>
      <w:r>
        <w:rPr>
          <w:rFonts w:ascii="Times New Roman" w:hAnsi="Times New Roman" w:cs="Times New Roman"/>
          <w:sz w:val="32"/>
          <w:szCs w:val="32"/>
        </w:rPr>
        <w:t>，为维护</w:t>
      </w:r>
      <w:r>
        <w:rPr>
          <w:rFonts w:hint="eastAsia" w:ascii="Times New Roman" w:hAnsi="Times New Roman" w:cs="Times New Roman"/>
          <w:sz w:val="32"/>
          <w:szCs w:val="32"/>
        </w:rPr>
        <w:t>安阳永金</w:t>
      </w:r>
      <w:r>
        <w:rPr>
          <w:rFonts w:ascii="Times New Roman" w:hAnsi="Times New Roman" w:cs="Times New Roman"/>
          <w:sz w:val="32"/>
          <w:szCs w:val="32"/>
        </w:rPr>
        <w:t>的</w:t>
      </w:r>
      <w:bookmarkStart w:id="7" w:name="_GoBack"/>
      <w:bookmarkEnd w:id="7"/>
      <w:r>
        <w:rPr>
          <w:rFonts w:ascii="Times New Roman" w:hAnsi="Times New Roman" w:cs="Times New Roman"/>
          <w:sz w:val="32"/>
          <w:szCs w:val="32"/>
        </w:rPr>
        <w:t>资产价值，保障债权人的合法权益，尽快推进重整程序，现管理人根据有关规定第二次面向全国公开招募预重整投资人</w:t>
      </w:r>
      <w:r>
        <w:rPr>
          <w:rFonts w:hint="eastAsia" w:ascii="Times New Roman" w:hAnsi="Times New Roman" w:cs="Times New Roman"/>
          <w:sz w:val="32"/>
          <w:szCs w:val="32"/>
        </w:rPr>
        <w:t>，</w:t>
      </w:r>
      <w:r>
        <w:rPr>
          <w:rFonts w:hint="eastAsia" w:ascii="Times New Roman" w:hAnsi="Times New Roman" w:cs="Times New Roman"/>
          <w:sz w:val="32"/>
          <w:szCs w:val="32"/>
          <w:lang w:val="en-US"/>
        </w:rPr>
        <w:t>现就相关事项公告如下：</w:t>
      </w:r>
    </w:p>
    <w:p>
      <w:pPr>
        <w:pStyle w:val="4"/>
        <w:spacing w:before="0" w:line="560" w:lineRule="exact"/>
        <w:ind w:right="132" w:firstLine="640" w:firstLineChars="200"/>
        <w:contextualSpacing/>
        <w:jc w:val="both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一、安阳永金的基本情况</w:t>
      </w:r>
    </w:p>
    <w:p>
      <w:pPr>
        <w:pStyle w:val="13"/>
        <w:spacing w:before="0" w:after="0" w:line="560" w:lineRule="exact"/>
        <w:ind w:firstLine="643" w:firstLineChars="200"/>
        <w:contextualSpacing/>
        <w:jc w:val="both"/>
        <w:rPr>
          <w:rFonts w:hint="default" w:ascii="Times New Roman" w:hAnsi="Times New Roman" w:eastAsia="楷体" w:cs="Times New Roman"/>
        </w:rPr>
      </w:pPr>
      <w:r>
        <w:rPr>
          <w:rFonts w:hint="default" w:ascii="Times New Roman" w:hAnsi="Times New Roman" w:eastAsia="楷体" w:cs="Times New Roman"/>
        </w:rPr>
        <w:t>（一）安阳永金概况</w:t>
      </w:r>
    </w:p>
    <w:p>
      <w:pPr>
        <w:autoSpaceDE/>
        <w:autoSpaceDN/>
        <w:spacing w:line="560" w:lineRule="exact"/>
        <w:ind w:firstLine="640" w:firstLineChars="200"/>
        <w:contextualSpacing/>
        <w:jc w:val="both"/>
        <w:rPr>
          <w:rFonts w:ascii="Times New Roman" w:hAnsi="Times New Roman" w:eastAsia="宋体" w:cs="Times New Roman"/>
          <w:color w:val="000000"/>
          <w:sz w:val="30"/>
          <w:szCs w:val="30"/>
          <w:lang w:val="zh-TW" w:bidi="zh-TW"/>
        </w:rPr>
      </w:pPr>
      <w:r>
        <w:rPr>
          <w:rFonts w:ascii="Times New Roman" w:hAnsi="Times New Roman" w:cs="Times New Roman"/>
          <w:sz w:val="32"/>
          <w:szCs w:val="32"/>
          <w:lang w:val="zh-TW" w:eastAsia="zh-TW"/>
        </w:rPr>
        <w:t>安阳永金于2010年06月12日成立，法定代表人为王一鸣，注册资本500万元。</w:t>
      </w:r>
      <w:r>
        <w:rPr>
          <w:rFonts w:ascii="Times New Roman" w:hAnsi="Times New Roman" w:cs="Times New Roman"/>
          <w:sz w:val="32"/>
          <w:szCs w:val="32"/>
        </w:rPr>
        <w:t>住所</w:t>
      </w:r>
      <w:r>
        <w:rPr>
          <w:rFonts w:ascii="Times New Roman" w:hAnsi="Times New Roman" w:cs="Times New Roman"/>
          <w:sz w:val="32"/>
          <w:szCs w:val="32"/>
          <w:lang w:val="en-US"/>
        </w:rPr>
        <w:t>地</w:t>
      </w:r>
      <w:r>
        <w:rPr>
          <w:rFonts w:ascii="Times New Roman" w:hAnsi="Times New Roman" w:cs="Times New Roman"/>
          <w:sz w:val="32"/>
          <w:szCs w:val="32"/>
        </w:rPr>
        <w:t>：安阳市龙安区彰武街。</w:t>
      </w:r>
      <w:r>
        <w:rPr>
          <w:rFonts w:ascii="Times New Roman" w:hAnsi="Times New Roman" w:cs="Times New Roman"/>
          <w:sz w:val="32"/>
          <w:szCs w:val="32"/>
          <w:lang w:val="zh-TW" w:eastAsia="zh-TW"/>
        </w:rPr>
        <w:t>公司经营范围包括：生产、销售：乙二醇；化工产品（不含危化品）、机械配件、电气仪表、建筑材料（不含木材）的销售；煤化工项目管理、生产经营管理等</w:t>
      </w:r>
      <w:r>
        <w:rPr>
          <w:rFonts w:ascii="Times New Roman" w:hAnsi="Times New Roman" w:cs="Times New Roman"/>
          <w:sz w:val="32"/>
          <w:szCs w:val="32"/>
          <w:lang w:val="zh-TW"/>
        </w:rPr>
        <w:t>。</w:t>
      </w:r>
      <w:r>
        <w:rPr>
          <w:rFonts w:ascii="Times New Roman" w:hAnsi="Times New Roman" w:cs="Times New Roman"/>
          <w:sz w:val="32"/>
          <w:szCs w:val="32"/>
          <w:lang w:val="zh-TW" w:eastAsia="zh-TW"/>
        </w:rPr>
        <w:t>股东为永金化工投资管理有限公司，出资500万元，持股比例为100%。</w:t>
      </w:r>
    </w:p>
    <w:p>
      <w:pPr>
        <w:pStyle w:val="4"/>
        <w:spacing w:before="0" w:line="560" w:lineRule="exact"/>
        <w:ind w:left="0" w:right="130" w:firstLine="643" w:firstLineChars="200"/>
        <w:contextualSpacing/>
        <w:jc w:val="both"/>
        <w:rPr>
          <w:rFonts w:ascii="Times New Roman" w:hAnsi="Times New Roman" w:eastAsia="楷体" w:cs="Times New Roman"/>
          <w:b/>
          <w:bCs/>
          <w:sz w:val="32"/>
          <w:szCs w:val="32"/>
        </w:rPr>
      </w:pPr>
      <w:r>
        <w:rPr>
          <w:rFonts w:ascii="Times New Roman" w:hAnsi="Times New Roman" w:eastAsia="楷体" w:cs="Times New Roman"/>
          <w:b/>
          <w:bCs/>
          <w:sz w:val="32"/>
          <w:szCs w:val="32"/>
        </w:rPr>
        <w:t xml:space="preserve">（二）安阳永金的资产与负债  </w:t>
      </w:r>
    </w:p>
    <w:p>
      <w:pPr>
        <w:autoSpaceDE/>
        <w:autoSpaceDN/>
        <w:spacing w:line="560" w:lineRule="exact"/>
        <w:ind w:firstLine="640" w:firstLineChars="200"/>
        <w:contextualSpacing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 根据安阳永金提供的资产负债表（未经审计），</w:t>
      </w:r>
      <w:r>
        <w:rPr>
          <w:rFonts w:ascii="Times New Roman" w:hAnsi="Times New Roman" w:cs="Times New Roman"/>
          <w:sz w:val="32"/>
          <w:szCs w:val="32"/>
          <w:lang w:val="zh-TW" w:eastAsia="zh-TW"/>
        </w:rPr>
        <w:t>截至2021年</w:t>
      </w:r>
      <w:r>
        <w:rPr>
          <w:rFonts w:ascii="Times New Roman" w:hAnsi="Times New Roman" w:eastAsia="PMingLiU" w:cs="Times New Roman"/>
          <w:sz w:val="32"/>
          <w:szCs w:val="32"/>
          <w:lang w:val="zh-TW" w:eastAsia="zh-TW"/>
        </w:rPr>
        <w:t>9</w:t>
      </w:r>
      <w:r>
        <w:rPr>
          <w:rFonts w:ascii="Times New Roman" w:hAnsi="Times New Roman" w:cs="Times New Roman"/>
          <w:sz w:val="32"/>
          <w:szCs w:val="32"/>
          <w:lang w:val="zh-TW" w:eastAsia="zh-TW"/>
        </w:rPr>
        <w:t>月</w:t>
      </w:r>
      <w:r>
        <w:rPr>
          <w:rFonts w:ascii="Times New Roman" w:hAnsi="Times New Roman" w:cs="Times New Roman"/>
          <w:sz w:val="32"/>
          <w:szCs w:val="32"/>
          <w:lang w:val="en-US" w:eastAsia="zh-TW"/>
        </w:rPr>
        <w:t>17日</w:t>
      </w:r>
      <w:r>
        <w:rPr>
          <w:rFonts w:ascii="Times New Roman" w:hAnsi="Times New Roman" w:cs="Times New Roman"/>
          <w:sz w:val="32"/>
          <w:szCs w:val="32"/>
          <w:lang w:val="zh-TW" w:eastAsia="zh-TW"/>
        </w:rPr>
        <w:t>，安阳永金总资产171,753.24</w:t>
      </w:r>
      <w:r>
        <w:rPr>
          <w:rFonts w:ascii="Times New Roman" w:hAnsi="Times New Roman" w:cs="Times New Roman"/>
          <w:sz w:val="32"/>
          <w:szCs w:val="32"/>
          <w:lang w:val="zh-TW"/>
        </w:rPr>
        <w:t>万</w:t>
      </w:r>
      <w:r>
        <w:rPr>
          <w:rFonts w:ascii="Times New Roman" w:hAnsi="Times New Roman" w:cs="Times New Roman"/>
          <w:sz w:val="32"/>
          <w:szCs w:val="32"/>
          <w:lang w:val="zh-TW" w:eastAsia="zh-TW"/>
        </w:rPr>
        <w:t>元，总负债194,319.92</w:t>
      </w:r>
      <w:r>
        <w:rPr>
          <w:rFonts w:ascii="Times New Roman" w:hAnsi="Times New Roman" w:cs="Times New Roman"/>
          <w:sz w:val="32"/>
          <w:szCs w:val="32"/>
          <w:lang w:val="en-US"/>
        </w:rPr>
        <w:t>万</w:t>
      </w:r>
      <w:r>
        <w:rPr>
          <w:rFonts w:ascii="Times New Roman" w:hAnsi="Times New Roman" w:cs="Times New Roman"/>
          <w:sz w:val="32"/>
          <w:szCs w:val="32"/>
          <w:lang w:val="zh-TW" w:eastAsia="zh-TW"/>
        </w:rPr>
        <w:t>元，资产负债率为113.</w:t>
      </w:r>
      <w:r>
        <w:rPr>
          <w:rFonts w:ascii="Times New Roman" w:hAnsi="Times New Roman" w:eastAsia="PMingLiU" w:cs="Times New Roman"/>
          <w:sz w:val="32"/>
          <w:szCs w:val="32"/>
          <w:lang w:val="zh-TW" w:eastAsia="zh-TW"/>
        </w:rPr>
        <w:t>14</w:t>
      </w:r>
      <w:r>
        <w:rPr>
          <w:rFonts w:ascii="Times New Roman" w:hAnsi="Times New Roman" w:cs="Times New Roman"/>
          <w:sz w:val="32"/>
          <w:szCs w:val="32"/>
          <w:lang w:val="zh-TW" w:eastAsia="zh-TW"/>
        </w:rPr>
        <w:t>%</w:t>
      </w:r>
      <w:r>
        <w:rPr>
          <w:rFonts w:ascii="Times New Roman" w:hAnsi="Times New Roman" w:cs="Times New Roman"/>
          <w:sz w:val="32"/>
          <w:szCs w:val="32"/>
          <w:lang w:val="zh-TW"/>
        </w:rPr>
        <w:t>。</w:t>
      </w:r>
    </w:p>
    <w:p>
      <w:pPr>
        <w:pStyle w:val="4"/>
        <w:spacing w:before="0" w:line="560" w:lineRule="exact"/>
        <w:ind w:left="0" w:right="130" w:firstLine="643" w:firstLineChars="200"/>
        <w:contextualSpacing/>
        <w:jc w:val="both"/>
        <w:rPr>
          <w:rFonts w:ascii="Times New Roman" w:hAnsi="Times New Roman" w:eastAsia="楷体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eastAsia="楷体" w:cs="Times New Roman"/>
          <w:b/>
          <w:bCs/>
          <w:sz w:val="32"/>
          <w:szCs w:val="32"/>
          <w:lang w:val="en-US"/>
        </w:rPr>
        <w:t>（三）安阳永金的投资亮点与前景</w:t>
      </w:r>
    </w:p>
    <w:p>
      <w:pPr>
        <w:autoSpaceDE/>
        <w:autoSpaceDN/>
        <w:spacing w:line="560" w:lineRule="exact"/>
        <w:ind w:firstLine="640" w:firstLineChars="200"/>
        <w:contextualSpacing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安阳永金是国内第一套煤制乙二醇装置达标达产企业。自2012年12月31日打通全流程，顺利采出纯度为99.9%的优等品。2018年3月11日，日产乙二醇602.69吨，经不断调整系统运行控制参数，合理安排生产负荷，力争挖潜增效，实现了装置的满负荷稳定运行，达到日均产612吨，并创国内单套20万吨煤制乙二醇日产620.41吨的最高记录。</w:t>
      </w:r>
    </w:p>
    <w:p>
      <w:pPr>
        <w:autoSpaceDE/>
        <w:autoSpaceDN/>
        <w:spacing w:line="560" w:lineRule="exact"/>
        <w:ind w:firstLine="643" w:firstLineChars="200"/>
        <w:contextualSpacing/>
        <w:jc w:val="both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1.生产亮点</w:t>
      </w:r>
    </w:p>
    <w:p>
      <w:pPr>
        <w:autoSpaceDE/>
        <w:autoSpaceDN/>
        <w:spacing w:line="560" w:lineRule="exact"/>
        <w:ind w:firstLine="640" w:firstLineChars="200"/>
        <w:contextualSpacing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（1）公司拥有独立自主的煤制乙二醇知识产权，首创国内第一套煤制年产20万吨乙二醇达标达产，实现煤制乙二醇首批进入化纤行业。</w:t>
      </w:r>
    </w:p>
    <w:p>
      <w:pPr>
        <w:autoSpaceDE/>
        <w:autoSpaceDN/>
        <w:spacing w:line="560" w:lineRule="exact"/>
        <w:ind w:firstLine="640" w:firstLineChars="200"/>
        <w:contextualSpacing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（2）公司通过近几年生产运行及对装置的不断优化，掌握了煤制乙二醇前沿技术，从原废醇提取分离出新产品，从产品单一化，走向产品多样化的格局。</w:t>
      </w:r>
    </w:p>
    <w:p>
      <w:pPr>
        <w:autoSpaceDE/>
        <w:autoSpaceDN/>
        <w:spacing w:line="560" w:lineRule="exact"/>
        <w:ind w:firstLine="640" w:firstLineChars="200"/>
        <w:contextualSpacing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（3）公司具有较强的创新能力，依托关联单位安阳化学工业集团有限责任公司“河南省碳一化工技术中心”，不断完善乙二醇装置，拥有发明专利1项，使用新型专利8项，完成科技成果评价4项。</w:t>
      </w:r>
    </w:p>
    <w:p>
      <w:pPr>
        <w:autoSpaceDE/>
        <w:autoSpaceDN/>
        <w:spacing w:line="560" w:lineRule="exact"/>
        <w:ind w:firstLine="643" w:firstLineChars="200"/>
        <w:contextualSpacing/>
        <w:jc w:val="both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2.其他亮点</w:t>
      </w:r>
    </w:p>
    <w:p>
      <w:pPr>
        <w:autoSpaceDE/>
        <w:autoSpaceDN/>
        <w:spacing w:line="560" w:lineRule="exact"/>
        <w:ind w:firstLine="640" w:firstLineChars="200"/>
        <w:contextualSpacing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（1）公司所在园区为河南省化工特色产业园。公司位于安阳市规划的新型化工产业园区内，该园区为河南省应急管理厅、河南省发展和改革委员会、河南省工业和信息化厅、河南省自然资源厅、河南省生态环境厅等部门联合发布认定的河南省化工园区（第二批）中的化工特色产业园（2021年8月16日已公示），具有引进新项目发展的良好基础。</w:t>
      </w:r>
    </w:p>
    <w:p>
      <w:pPr>
        <w:autoSpaceDE/>
        <w:autoSpaceDN/>
        <w:spacing w:line="560" w:lineRule="exact"/>
        <w:ind w:firstLine="640" w:firstLineChars="200"/>
        <w:contextualSpacing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（2）公司对外交通快捷高效，对外交通四通八达。公司附近拥有铁路专用线，铁路专用线连通安李铁路、京广铁路、瓦日铁路，园区北侧紧邻安林高速公路，高速出入口位于公司西北2公里处，国道G341在公司北侧平行安林高速公路，高速出入口处与安林公路(省道S301)相连接，公司对外交通快捷高效。</w:t>
      </w:r>
    </w:p>
    <w:p>
      <w:pPr>
        <w:autoSpaceDE/>
        <w:autoSpaceDN/>
        <w:spacing w:line="560" w:lineRule="exact"/>
        <w:ind w:firstLine="640" w:firstLineChars="200"/>
        <w:contextualSpacing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（3）安阳永金经优化调整，乙二醇生产各项消耗均处于最好水平，各项消耗指标性能较优，均创历史最低水平。系统可以达到长期满负荷稳定运行，单日产量最高达到620.41吨，平均日产612吨。CO单耗785.74Nm³/t，H2单耗1741.74Nm³/t，蒸汽5.32t/t，动力电1403.57度/t，直接物料成本同比降低约610元/吨，各项单耗数据均创下最好记录，制造成本达到4002.97元/吨的历史最低。</w:t>
      </w:r>
    </w:p>
    <w:p>
      <w:pPr>
        <w:autoSpaceDE/>
        <w:autoSpaceDN/>
        <w:spacing w:line="560" w:lineRule="exact"/>
        <w:ind w:firstLine="643" w:firstLineChars="200"/>
        <w:contextualSpacing/>
        <w:jc w:val="both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3.前景</w:t>
      </w:r>
    </w:p>
    <w:p>
      <w:pPr>
        <w:autoSpaceDE/>
        <w:autoSpaceDN/>
        <w:spacing w:line="560" w:lineRule="exact"/>
        <w:ind w:firstLine="640" w:firstLineChars="200"/>
        <w:contextualSpacing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基于我国“富煤、贫油、少气”的能源分布现状，现在煤化工仍占主流，因此煤制乙二醇占比有望进一步提升，随着工艺的成熟，生产稳定，生产负荷提高，成本还会下降，相比石油路线的乙二醇，煤制乙二醇具有一定的成本优势。</w:t>
      </w:r>
    </w:p>
    <w:p>
      <w:pPr>
        <w:pStyle w:val="4"/>
        <w:spacing w:before="0" w:line="560" w:lineRule="exact"/>
        <w:ind w:right="132" w:firstLine="640" w:firstLineChars="200"/>
        <w:contextualSpacing/>
        <w:jc w:val="both"/>
        <w:rPr>
          <w:rFonts w:ascii="Times New Roman" w:hAnsi="Times New Roman" w:eastAsia="黑体" w:cs="Times New Roman"/>
          <w:sz w:val="32"/>
          <w:szCs w:val="32"/>
          <w:lang w:val="en-US"/>
        </w:rPr>
      </w:pPr>
      <w:r>
        <w:rPr>
          <w:rFonts w:ascii="Times New Roman" w:hAnsi="Times New Roman" w:eastAsia="黑体" w:cs="Times New Roman"/>
          <w:sz w:val="32"/>
          <w:szCs w:val="32"/>
          <w:lang w:val="en-US"/>
        </w:rPr>
        <w:t>二、招募预重整投资人的目的</w:t>
      </w:r>
    </w:p>
    <w:p>
      <w:pPr>
        <w:pStyle w:val="4"/>
        <w:spacing w:before="0" w:line="560" w:lineRule="exact"/>
        <w:ind w:left="0" w:firstLine="640" w:firstLineChars="200"/>
        <w:contextualSpacing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为维护全体债权人、债务人的合法利益，释放安阳永金重整价值，实现资源有效整合和债务人再次振兴，推动和确保安阳永金重整成功，管理人现</w:t>
      </w:r>
      <w:r>
        <w:rPr>
          <w:rFonts w:hint="eastAsia" w:ascii="Times New Roman" w:hAnsi="Times New Roman" w:cs="Times New Roman"/>
          <w:sz w:val="32"/>
          <w:szCs w:val="32"/>
          <w:lang w:val="en-US"/>
        </w:rPr>
        <w:t>第二次</w:t>
      </w:r>
      <w:r>
        <w:rPr>
          <w:rFonts w:ascii="Times New Roman" w:hAnsi="Times New Roman" w:cs="Times New Roman"/>
          <w:sz w:val="32"/>
          <w:szCs w:val="32"/>
          <w:lang w:val="en-US"/>
        </w:rPr>
        <w:t>公开招募预重整投资人。预重整投资人</w:t>
      </w:r>
      <w:r>
        <w:rPr>
          <w:rFonts w:hint="eastAsia" w:ascii="Times New Roman" w:hAnsi="Times New Roman" w:cs="Times New Roman"/>
          <w:sz w:val="32"/>
          <w:szCs w:val="32"/>
          <w:lang w:val="en-US"/>
        </w:rPr>
        <w:t>需</w:t>
      </w:r>
      <w:r>
        <w:rPr>
          <w:rFonts w:ascii="Times New Roman" w:hAnsi="Times New Roman" w:cs="Times New Roman"/>
          <w:sz w:val="32"/>
          <w:szCs w:val="32"/>
          <w:lang w:val="en-US"/>
        </w:rPr>
        <w:t>提供偿债资金和运营资金支持，协助安阳永金清偿债务、恢复正常</w:t>
      </w:r>
      <w:r>
        <w:rPr>
          <w:rFonts w:hint="eastAsia" w:ascii="Times New Roman" w:hAnsi="Times New Roman" w:cs="Times New Roman"/>
          <w:sz w:val="32"/>
          <w:szCs w:val="32"/>
          <w:lang w:val="en-US"/>
        </w:rPr>
        <w:t>生产</w:t>
      </w:r>
      <w:r>
        <w:rPr>
          <w:rFonts w:ascii="Times New Roman" w:hAnsi="Times New Roman" w:cs="Times New Roman"/>
          <w:sz w:val="32"/>
          <w:szCs w:val="32"/>
          <w:lang w:val="en-US"/>
        </w:rPr>
        <w:t>经营，实现债务人资产运营价值最大化和长远发展，共同缔造债务人新的辉煌。</w:t>
      </w:r>
    </w:p>
    <w:p>
      <w:pPr>
        <w:pStyle w:val="4"/>
        <w:spacing w:before="0" w:line="560" w:lineRule="exact"/>
        <w:ind w:right="132" w:firstLine="640" w:firstLineChars="200"/>
        <w:contextualSpacing/>
        <w:jc w:val="both"/>
        <w:rPr>
          <w:rFonts w:ascii="Times New Roman" w:hAnsi="Times New Roman" w:eastAsia="黑体" w:cs="Times New Roman"/>
          <w:sz w:val="32"/>
          <w:szCs w:val="32"/>
          <w:lang w:val="en-US"/>
        </w:rPr>
      </w:pPr>
      <w:r>
        <w:rPr>
          <w:rFonts w:ascii="Times New Roman" w:hAnsi="Times New Roman" w:eastAsia="黑体" w:cs="Times New Roman"/>
          <w:sz w:val="32"/>
          <w:szCs w:val="32"/>
          <w:lang w:val="en-US"/>
        </w:rPr>
        <w:t>三、招募方案</w:t>
      </w:r>
    </w:p>
    <w:p>
      <w:pPr>
        <w:pStyle w:val="11"/>
        <w:tabs>
          <w:tab w:val="left" w:pos="1583"/>
        </w:tabs>
        <w:spacing w:line="560" w:lineRule="exact"/>
        <w:ind w:firstLine="643" w:firstLineChars="200"/>
        <w:contextualSpacing/>
        <w:jc w:val="both"/>
        <w:rPr>
          <w:rFonts w:ascii="Times New Roman" w:hAnsi="Times New Roman" w:eastAsia="楷体" w:cs="Times New Roman"/>
          <w:b/>
          <w:bCs/>
          <w:sz w:val="32"/>
          <w:szCs w:val="32"/>
        </w:rPr>
      </w:pPr>
      <w:r>
        <w:rPr>
          <w:rFonts w:ascii="Times New Roman" w:hAnsi="Times New Roman" w:eastAsia="楷体" w:cs="Times New Roman"/>
          <w:b/>
          <w:bCs/>
          <w:sz w:val="32"/>
          <w:szCs w:val="32"/>
          <w:lang w:val="en-US" w:eastAsia="zh-CN"/>
        </w:rPr>
        <w:t>（一）</w:t>
      </w:r>
      <w:r>
        <w:rPr>
          <w:rFonts w:ascii="Times New Roman" w:hAnsi="Times New Roman" w:eastAsia="楷体" w:cs="Times New Roman"/>
          <w:b/>
          <w:bCs/>
          <w:color w:val="000000"/>
          <w:sz w:val="32"/>
          <w:szCs w:val="32"/>
        </w:rPr>
        <w:t>招募须知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本公告内容对全体意向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投资人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同等适用，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如出现影响债务人预重整重大事项，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管理人有权随时终止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或撤回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投资人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招募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。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 w:bidi="zh-CN"/>
        </w:rPr>
        <w:t>2.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val="zh-CN" w:eastAsia="zh-CN" w:bidi="zh-CN"/>
        </w:rPr>
        <w:t>本公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告所述信息并不当然替代意向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投资人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尽职调查，意向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投资人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如需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进一步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了解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安阳永金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审计评估情况、债权确认情况、生产经营等情况，或对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安阳永金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进行尽职调查，需向管理人提交报名申请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和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《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投资意向函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》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。</w:t>
      </w:r>
    </w:p>
    <w:p>
      <w:pPr>
        <w:pStyle w:val="11"/>
        <w:spacing w:line="560" w:lineRule="exact"/>
        <w:ind w:firstLine="880" w:firstLineChars="275"/>
        <w:contextualSpacing/>
        <w:jc w:val="both"/>
        <w:rPr>
          <w:rFonts w:ascii="Times New Roman" w:hAnsi="Times New Roman" w:eastAsia="仿宋" w:cs="Times New Roman"/>
          <w:color w:val="000000"/>
          <w:sz w:val="32"/>
          <w:szCs w:val="32"/>
        </w:rPr>
      </w:pPr>
      <w:bookmarkStart w:id="0" w:name="bookmark9"/>
      <w:bookmarkEnd w:id="0"/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3.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本公告并非邀约文件，不具有重整投资协议的约束性效力。</w:t>
      </w:r>
    </w:p>
    <w:p>
      <w:pPr>
        <w:pStyle w:val="11"/>
        <w:spacing w:line="560" w:lineRule="exact"/>
        <w:ind w:firstLine="643" w:firstLineChars="200"/>
        <w:contextualSpacing/>
        <w:jc w:val="both"/>
        <w:rPr>
          <w:rFonts w:ascii="Times New Roman" w:hAnsi="Times New Roman" w:eastAsia="楷体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eastAsia="楷体" w:cs="Times New Roman"/>
          <w:b/>
          <w:bCs/>
          <w:color w:val="000000"/>
          <w:sz w:val="32"/>
          <w:szCs w:val="32"/>
          <w:lang w:eastAsia="zh-CN"/>
        </w:rPr>
        <w:t>（</w:t>
      </w:r>
      <w:r>
        <w:rPr>
          <w:rFonts w:ascii="Times New Roman" w:hAnsi="Times New Roman" w:eastAsia="楷体" w:cs="Times New Roman"/>
          <w:b/>
          <w:bCs/>
          <w:color w:val="000000"/>
          <w:sz w:val="32"/>
          <w:szCs w:val="32"/>
          <w:lang w:val="en-US" w:eastAsia="zh-CN"/>
        </w:rPr>
        <w:t>二</w:t>
      </w:r>
      <w:r>
        <w:rPr>
          <w:rFonts w:ascii="Times New Roman" w:hAnsi="Times New Roman" w:eastAsia="楷体" w:cs="Times New Roman"/>
          <w:b/>
          <w:bCs/>
          <w:color w:val="000000"/>
          <w:sz w:val="32"/>
          <w:szCs w:val="32"/>
          <w:lang w:eastAsia="zh-CN"/>
        </w:rPr>
        <w:t>）</w:t>
      </w:r>
      <w:r>
        <w:rPr>
          <w:rFonts w:ascii="Times New Roman" w:hAnsi="Times New Roman" w:eastAsia="楷体" w:cs="Times New Roman"/>
          <w:b/>
          <w:bCs/>
          <w:color w:val="000000"/>
          <w:sz w:val="32"/>
          <w:szCs w:val="32"/>
        </w:rPr>
        <w:t>招募流程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color w:val="000000"/>
          <w:sz w:val="32"/>
          <w:szCs w:val="32"/>
        </w:rPr>
      </w:pPr>
      <w:bookmarkStart w:id="1" w:name="bookmark11"/>
      <w:bookmarkEnd w:id="1"/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发布公告：管理人编制《招募公告》，并通过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“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全国企业破产重整案件信息网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”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公开发布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。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</w:pPr>
      <w:bookmarkStart w:id="2" w:name="bookmark12"/>
      <w:bookmarkEnd w:id="2"/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2.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报名审核：意向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投资人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按本公告规定向管理人正式报名，管理人对报名者进行资质和条件审核，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经审核后的合格报名者，按照管理人通知要求时限交纳投资保证金</w:t>
      </w:r>
      <w:bookmarkStart w:id="3" w:name="bookmark13"/>
      <w:bookmarkEnd w:id="3"/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。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3.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val="zh-CN" w:eastAsia="zh-CN"/>
        </w:rPr>
        <w:t>尽职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调查：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投资人报名材料审核通过与管理人签定《保密协议》后即可尽调，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12月12日前出具投资方案，管理人协同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债务人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给予配合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。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color w:val="000000"/>
          <w:sz w:val="32"/>
          <w:szCs w:val="32"/>
        </w:rPr>
      </w:pPr>
      <w:bookmarkStart w:id="4" w:name="bookmark14"/>
      <w:bookmarkEnd w:id="4"/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4.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提交方案：尽职调查后的意向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投资人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向管理人提交《重整投资方案》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。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color w:val="000000"/>
          <w:sz w:val="32"/>
          <w:szCs w:val="32"/>
        </w:rPr>
      </w:pPr>
      <w:bookmarkStart w:id="5" w:name="bookmark15"/>
      <w:bookmarkEnd w:id="5"/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5.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竞争遴选：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如有两家以上投资人报名，管理人设立遴选委员会，在安阳中院监督指导下进行遴选评审，确定最终的投资人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。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color w:val="000000"/>
          <w:sz w:val="32"/>
          <w:szCs w:val="32"/>
        </w:rPr>
      </w:pPr>
      <w:bookmarkStart w:id="6" w:name="bookmark16"/>
      <w:bookmarkEnd w:id="6"/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6.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签署协议：经遴选确定的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意向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投资人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与管理人签署投资协议，正式成为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安阳永金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投资人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。</w:t>
      </w:r>
    </w:p>
    <w:p>
      <w:pPr>
        <w:pStyle w:val="11"/>
        <w:spacing w:line="560" w:lineRule="exact"/>
        <w:ind w:firstLine="643" w:firstLineChars="200"/>
        <w:contextualSpacing/>
        <w:jc w:val="both"/>
        <w:rPr>
          <w:rFonts w:ascii="Times New Roman" w:hAnsi="Times New Roman" w:eastAsia="楷体" w:cs="Times New Roman"/>
          <w:b/>
          <w:bCs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楷体" w:cs="Times New Roman"/>
          <w:b/>
          <w:bCs/>
          <w:color w:val="000000"/>
          <w:sz w:val="32"/>
          <w:szCs w:val="32"/>
          <w:lang w:val="en-US" w:eastAsia="zh-CN"/>
        </w:rPr>
        <w:t>（三）招募条件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投资人应拥有足够的资金实力进行重整投资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lang w:eastAsia="zh-CN"/>
        </w:rPr>
        <w:t>。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2.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投资人应具备一定的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大型企业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经营管理能力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，</w:t>
      </w:r>
      <w:r>
        <w:rPr>
          <w:rFonts w:ascii="Times New Roman" w:hAnsi="Times New Roman" w:eastAsia="仿宋" w:cs="Times New Roman"/>
          <w:sz w:val="32"/>
          <w:szCs w:val="32"/>
        </w:rPr>
        <w:t>在相关行业或领域具有领先地位的优先考虑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。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3.投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资人的范围为自然人、企业法人或非法人组织。投资人应具有较高的社会责任感和良好的商业信誉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。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4.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投资人未被列入失信被执行人名单、未被限制高消费，最近三年无重大违法行为等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。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5.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两个或两个以上的投资人联合参与投资的，需书面说明各自的角色分工、权利义务等，且联合体各方须同时符合上述资格条件。</w:t>
      </w:r>
    </w:p>
    <w:p>
      <w:pPr>
        <w:pStyle w:val="4"/>
        <w:spacing w:before="0" w:line="560" w:lineRule="exact"/>
        <w:ind w:right="132" w:firstLine="640" w:firstLineChars="200"/>
        <w:contextualSpacing/>
        <w:jc w:val="both"/>
        <w:rPr>
          <w:rFonts w:ascii="Times New Roman" w:hAnsi="Times New Roman" w:eastAsia="黑体" w:cs="Times New Roman"/>
          <w:sz w:val="32"/>
          <w:szCs w:val="32"/>
          <w:lang w:val="en-US"/>
        </w:rPr>
      </w:pPr>
      <w:r>
        <w:rPr>
          <w:rFonts w:ascii="Times New Roman" w:hAnsi="Times New Roman" w:eastAsia="黑体" w:cs="Times New Roman"/>
          <w:sz w:val="32"/>
          <w:szCs w:val="32"/>
          <w:lang w:val="en-US"/>
        </w:rPr>
        <w:t>四、报名方式</w:t>
      </w:r>
    </w:p>
    <w:p>
      <w:pPr>
        <w:pStyle w:val="11"/>
        <w:spacing w:line="560" w:lineRule="exact"/>
        <w:ind w:firstLine="643" w:firstLineChars="200"/>
        <w:contextualSpacing/>
        <w:jc w:val="both"/>
        <w:rPr>
          <w:rFonts w:ascii="Times New Roman" w:hAnsi="Times New Roman" w:eastAsia="楷体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eastAsia="楷体" w:cs="Times New Roman"/>
          <w:b/>
          <w:bCs/>
          <w:color w:val="000000"/>
          <w:sz w:val="32"/>
          <w:szCs w:val="32"/>
          <w:lang w:eastAsia="zh-CN"/>
        </w:rPr>
        <w:t>（</w:t>
      </w:r>
      <w:r>
        <w:rPr>
          <w:rFonts w:ascii="Times New Roman" w:hAnsi="Times New Roman" w:eastAsia="楷体" w:cs="Times New Roman"/>
          <w:b/>
          <w:bCs/>
          <w:color w:val="000000"/>
          <w:sz w:val="32"/>
          <w:szCs w:val="32"/>
          <w:lang w:val="en-US" w:eastAsia="zh-CN"/>
        </w:rPr>
        <w:t>一</w:t>
      </w:r>
      <w:r>
        <w:rPr>
          <w:rFonts w:ascii="Times New Roman" w:hAnsi="Times New Roman" w:eastAsia="楷体" w:cs="Times New Roman"/>
          <w:b/>
          <w:bCs/>
          <w:color w:val="000000"/>
          <w:sz w:val="32"/>
          <w:szCs w:val="32"/>
          <w:lang w:eastAsia="zh-CN"/>
        </w:rPr>
        <w:t>）</w:t>
      </w:r>
      <w:r>
        <w:rPr>
          <w:rFonts w:ascii="Times New Roman" w:hAnsi="Times New Roman" w:eastAsia="楷体" w:cs="Times New Roman"/>
          <w:b/>
          <w:bCs/>
          <w:color w:val="000000"/>
          <w:sz w:val="32"/>
          <w:szCs w:val="32"/>
        </w:rPr>
        <w:t>报名时间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意向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投资人应自本公告发布之日起至2021年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月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日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前向管理人提交报名材料。</w:t>
      </w:r>
    </w:p>
    <w:p>
      <w:pPr>
        <w:pStyle w:val="11"/>
        <w:spacing w:line="560" w:lineRule="exact"/>
        <w:ind w:firstLine="643" w:firstLineChars="200"/>
        <w:contextualSpacing/>
        <w:jc w:val="both"/>
        <w:rPr>
          <w:rFonts w:ascii="Times New Roman" w:hAnsi="Times New Roman" w:eastAsia="楷体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eastAsia="楷体" w:cs="Times New Roman"/>
          <w:b/>
          <w:bCs/>
          <w:color w:val="000000"/>
          <w:sz w:val="32"/>
          <w:szCs w:val="32"/>
          <w:lang w:eastAsia="zh-CN"/>
        </w:rPr>
        <w:t>（</w:t>
      </w:r>
      <w:r>
        <w:rPr>
          <w:rFonts w:ascii="Times New Roman" w:hAnsi="Times New Roman" w:eastAsia="楷体" w:cs="Times New Roman"/>
          <w:b/>
          <w:bCs/>
          <w:color w:val="000000"/>
          <w:sz w:val="32"/>
          <w:szCs w:val="32"/>
          <w:lang w:val="en-US" w:eastAsia="zh-CN"/>
        </w:rPr>
        <w:t>二</w:t>
      </w:r>
      <w:r>
        <w:rPr>
          <w:rFonts w:ascii="Times New Roman" w:hAnsi="Times New Roman" w:eastAsia="楷体" w:cs="Times New Roman"/>
          <w:b/>
          <w:bCs/>
          <w:color w:val="000000"/>
          <w:sz w:val="32"/>
          <w:szCs w:val="32"/>
          <w:lang w:eastAsia="zh-CN"/>
        </w:rPr>
        <w:t>）</w:t>
      </w:r>
      <w:r>
        <w:rPr>
          <w:rFonts w:ascii="Times New Roman" w:hAnsi="Times New Roman" w:eastAsia="楷体" w:cs="Times New Roman"/>
          <w:b/>
          <w:bCs/>
          <w:color w:val="000000"/>
          <w:sz w:val="32"/>
          <w:szCs w:val="32"/>
        </w:rPr>
        <w:t>报名方式及联系人</w:t>
      </w:r>
    </w:p>
    <w:p>
      <w:pPr>
        <w:pStyle w:val="11"/>
        <w:spacing w:line="560" w:lineRule="exact"/>
        <w:ind w:firstLine="643" w:firstLineChars="200"/>
        <w:contextualSpacing/>
        <w:jc w:val="both"/>
        <w:rPr>
          <w:rFonts w:ascii="Times New Roman" w:hAnsi="Times New Roman" w:eastAsia="仿宋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color w:val="000000"/>
          <w:sz w:val="32"/>
          <w:szCs w:val="32"/>
          <w:lang w:val="en-US"/>
        </w:rPr>
        <w:t xml:space="preserve">1. </w:t>
      </w:r>
      <w:r>
        <w:rPr>
          <w:rFonts w:ascii="Times New Roman" w:hAnsi="Times New Roman" w:eastAsia="仿宋" w:cs="Times New Roman"/>
          <w:b/>
          <w:bCs/>
          <w:color w:val="000000"/>
          <w:sz w:val="32"/>
          <w:szCs w:val="32"/>
        </w:rPr>
        <w:t>网络报名</w:t>
      </w:r>
    </w:p>
    <w:p>
      <w:pPr>
        <w:pStyle w:val="3"/>
        <w:spacing w:before="0" w:after="0"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color w:val="000000"/>
          <w:szCs w:val="32"/>
          <w:lang w:val="en-US" w:eastAsia="zh-TW" w:bidi="zh-TW"/>
        </w:rPr>
      </w:pPr>
      <w:r>
        <w:rPr>
          <w:rFonts w:ascii="Times New Roman" w:hAnsi="Times New Roman" w:eastAsia="仿宋" w:cs="Times New Roman"/>
          <w:color w:val="000000"/>
          <w:szCs w:val="32"/>
          <w:lang w:val="en-US" w:eastAsia="zh-TW" w:bidi="zh-TW"/>
        </w:rPr>
        <w:t>电子</w:t>
      </w:r>
      <w:r>
        <w:rPr>
          <w:rFonts w:ascii="Times New Roman" w:hAnsi="Times New Roman" w:eastAsia="仿宋" w:cs="Times New Roman"/>
          <w:color w:val="000000"/>
          <w:szCs w:val="32"/>
          <w:lang w:val="zh-TW" w:eastAsia="zh-TW" w:bidi="zh-TW"/>
        </w:rPr>
        <w:t>邮箱：</w:t>
      </w:r>
      <w:r>
        <w:rPr>
          <w:rFonts w:ascii="Times New Roman" w:hAnsi="Times New Roman" w:eastAsia="仿宋" w:cs="Times New Roman"/>
          <w:color w:val="000000"/>
          <w:szCs w:val="32"/>
          <w:lang w:val="en-US" w:eastAsia="zh-TW" w:bidi="zh-TW"/>
        </w:rPr>
        <w:t>ahyjglr@163.com</w:t>
      </w:r>
    </w:p>
    <w:p>
      <w:pPr>
        <w:spacing w:line="560" w:lineRule="exact"/>
        <w:ind w:firstLine="640" w:firstLineChars="200"/>
        <w:contextualSpacing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color w:val="000000"/>
          <w:sz w:val="32"/>
          <w:szCs w:val="32"/>
          <w:lang w:val="en-US" w:bidi="zh-TW"/>
        </w:rPr>
        <w:t>请注明：重整投资人报名</w:t>
      </w:r>
    </w:p>
    <w:p>
      <w:pPr>
        <w:pStyle w:val="11"/>
        <w:numPr>
          <w:ilvl w:val="0"/>
          <w:numId w:val="1"/>
        </w:numPr>
        <w:spacing w:line="560" w:lineRule="exact"/>
        <w:ind w:firstLine="643" w:firstLineChars="200"/>
        <w:contextualSpacing/>
        <w:jc w:val="both"/>
        <w:rPr>
          <w:rFonts w:ascii="Times New Roman" w:hAnsi="Times New Roman" w:eastAsia="仿宋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color w:val="000000"/>
          <w:sz w:val="32"/>
          <w:szCs w:val="32"/>
          <w:lang w:val="en-US" w:eastAsia="zh-CN"/>
        </w:rPr>
        <w:t>邮寄</w:t>
      </w:r>
      <w:r>
        <w:rPr>
          <w:rFonts w:ascii="Times New Roman" w:hAnsi="Times New Roman" w:eastAsia="仿宋" w:cs="Times New Roman"/>
          <w:b/>
          <w:bCs/>
          <w:color w:val="000000"/>
          <w:sz w:val="32"/>
          <w:szCs w:val="32"/>
        </w:rPr>
        <w:t>报名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邮寄地址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:</w:t>
      </w:r>
      <w:r>
        <w:rPr>
          <w:rFonts w:ascii="Times New Roman" w:hAnsi="Times New Roman" w:eastAsia="仿宋" w:cs="Times New Roman"/>
          <w:sz w:val="32"/>
          <w:szCs w:val="32"/>
        </w:rPr>
        <w:t>河南省安阳市龙安区彰武街</w:t>
      </w:r>
      <w:r>
        <w:rPr>
          <w:rFonts w:ascii="Times New Roman" w:hAnsi="Times New Roman" w:eastAsia="仿宋" w:cs="Times New Roman"/>
          <w:sz w:val="32"/>
          <w:szCs w:val="32"/>
          <w:lang w:val="en-US" w:eastAsia="zh-CN"/>
        </w:rPr>
        <w:t>道</w:t>
      </w:r>
      <w:r>
        <w:rPr>
          <w:rFonts w:ascii="Times New Roman" w:hAnsi="Times New Roman" w:eastAsia="仿宋" w:cs="Times New Roman"/>
          <w:sz w:val="32"/>
          <w:szCs w:val="32"/>
        </w:rPr>
        <w:t>安化集团办公楼五楼B区管理人办公室</w:t>
      </w:r>
    </w:p>
    <w:p>
      <w:pPr>
        <w:pStyle w:val="11"/>
        <w:numPr>
          <w:ilvl w:val="0"/>
          <w:numId w:val="2"/>
        </w:numPr>
        <w:spacing w:line="560" w:lineRule="exact"/>
        <w:ind w:firstLine="643" w:firstLineChars="200"/>
        <w:contextualSpacing/>
        <w:jc w:val="both"/>
        <w:rPr>
          <w:rFonts w:ascii="Times New Roman" w:hAnsi="Times New Roman" w:eastAsia="仿宋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color w:val="000000"/>
          <w:sz w:val="32"/>
          <w:szCs w:val="32"/>
        </w:rPr>
        <w:t>管理人联系人及联系方式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联系人：沈律师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联系电话：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0372-3692230</w:t>
      </w:r>
    </w:p>
    <w:p>
      <w:pPr>
        <w:pStyle w:val="11"/>
        <w:spacing w:line="560" w:lineRule="exact"/>
        <w:ind w:firstLine="643" w:firstLineChars="200"/>
        <w:contextualSpacing/>
        <w:jc w:val="both"/>
        <w:rPr>
          <w:rFonts w:ascii="Times New Roman" w:hAnsi="Times New Roman" w:eastAsia="楷体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eastAsia="楷体" w:cs="Times New Roman"/>
          <w:b/>
          <w:bCs/>
          <w:color w:val="000000"/>
          <w:sz w:val="32"/>
          <w:szCs w:val="32"/>
          <w:lang w:eastAsia="zh-CN"/>
        </w:rPr>
        <w:t>（</w:t>
      </w:r>
      <w:r>
        <w:rPr>
          <w:rFonts w:ascii="Times New Roman" w:hAnsi="Times New Roman" w:eastAsia="楷体" w:cs="Times New Roman"/>
          <w:b/>
          <w:bCs/>
          <w:color w:val="000000"/>
          <w:sz w:val="32"/>
          <w:szCs w:val="32"/>
          <w:lang w:val="en-US" w:eastAsia="zh-CN"/>
        </w:rPr>
        <w:t>三</w:t>
      </w:r>
      <w:r>
        <w:rPr>
          <w:rFonts w:ascii="Times New Roman" w:hAnsi="Times New Roman" w:eastAsia="楷体" w:cs="Times New Roman"/>
          <w:b/>
          <w:bCs/>
          <w:color w:val="000000"/>
          <w:sz w:val="32"/>
          <w:szCs w:val="32"/>
          <w:lang w:eastAsia="zh-CN"/>
        </w:rPr>
        <w:t>）</w:t>
      </w:r>
      <w:r>
        <w:rPr>
          <w:rFonts w:ascii="Times New Roman" w:hAnsi="Times New Roman" w:eastAsia="楷体" w:cs="Times New Roman"/>
          <w:b/>
          <w:bCs/>
          <w:color w:val="000000"/>
          <w:sz w:val="32"/>
          <w:szCs w:val="32"/>
        </w:rPr>
        <w:t>报名时提交的材料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投资人简介(含主体资格、股权结构、主营业务、历史沿革、组织机构、资产负债等信息；如为联合投资人，需说明各主体的角色分工、权利义务等)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。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2.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企业法人或非法人组织应提供营业执照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（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副本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）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复印件、法定代表人/负责人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身份证明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、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法定代表人/负责人身份证复印件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、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联系人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身份证复印件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。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000000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.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投资意向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函。</w:t>
      </w:r>
    </w:p>
    <w:p>
      <w:pPr>
        <w:pStyle w:val="11"/>
        <w:spacing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对上述报名材料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（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一式三份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）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应加盖投资人印章，并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val="en-US" w:eastAsia="zh-CN"/>
        </w:rPr>
        <w:t>由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法定代表人/负责人签名；自然人报名的应签署本人姓名</w:t>
      </w:r>
      <w:r>
        <w:rPr>
          <w:rFonts w:ascii="Times New Roman" w:hAnsi="Times New Roman" w:eastAsia="仿宋" w:cs="Times New Roman"/>
          <w:color w:val="000000"/>
          <w:sz w:val="32"/>
          <w:szCs w:val="32"/>
          <w:lang w:eastAsia="zh-CN"/>
        </w:rPr>
        <w:t>。</w:t>
      </w:r>
    </w:p>
    <w:p>
      <w:pPr>
        <w:pStyle w:val="11"/>
        <w:spacing w:line="560" w:lineRule="exact"/>
        <w:ind w:firstLine="643" w:firstLineChars="200"/>
        <w:contextualSpacing/>
        <w:jc w:val="both"/>
        <w:rPr>
          <w:rFonts w:ascii="Times New Roman" w:hAnsi="Times New Roman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" w:cs="Times New Roman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hAnsi="Times New Roman" w:eastAsia="楷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ascii="Times New Roman" w:hAnsi="Times New Roman" w:eastAsia="楷体" w:cs="Times New Roman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 w:eastAsia="楷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投资保证金</w:t>
      </w:r>
    </w:p>
    <w:p>
      <w:pPr>
        <w:pStyle w:val="7"/>
        <w:widowControl/>
        <w:spacing w:line="560" w:lineRule="exact"/>
        <w:ind w:firstLine="707" w:firstLineChars="221"/>
        <w:contextualSpacing/>
        <w:jc w:val="both"/>
        <w:rPr>
          <w:rFonts w:ascii="Times New Roman" w:hAnsi="Times New Roman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1.投资人拟报名对债务人进行</w:t>
      </w:r>
      <w:r>
        <w:rPr>
          <w:rFonts w:ascii="Times New Roman" w:hAnsi="Times New Roman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重整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投资的，经管理人审查合格的报名者需交纳投资保证金</w:t>
      </w:r>
      <w:r>
        <w:rPr>
          <w:rFonts w:ascii="Times New Roman" w:hAnsi="Times New Roman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1000万元。</w:t>
      </w:r>
    </w:p>
    <w:p>
      <w:pPr>
        <w:pStyle w:val="7"/>
        <w:widowControl/>
        <w:spacing w:line="560" w:lineRule="exact"/>
        <w:ind w:firstLine="707" w:firstLineChars="221"/>
        <w:contextualSpacing/>
        <w:jc w:val="both"/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2.未按要求交纳投资保证金的，投资人丧失参与重整投资人</w:t>
      </w:r>
      <w:r>
        <w:rPr>
          <w:rFonts w:ascii="Times New Roman" w:hAnsi="Times New Roman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遴选的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资格。</w:t>
      </w:r>
    </w:p>
    <w:p>
      <w:pPr>
        <w:pStyle w:val="7"/>
        <w:widowControl/>
        <w:spacing w:line="560" w:lineRule="exact"/>
        <w:ind w:firstLine="707" w:firstLineChars="221"/>
        <w:contextualSpacing/>
        <w:jc w:val="both"/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3.投资保证金的没收</w:t>
      </w:r>
    </w:p>
    <w:p>
      <w:pPr>
        <w:pStyle w:val="7"/>
        <w:widowControl/>
        <w:spacing w:line="560" w:lineRule="exact"/>
        <w:ind w:firstLine="707" w:firstLineChars="221"/>
        <w:contextualSpacing/>
        <w:jc w:val="both"/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重整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计划获人民法院裁定批准后，</w:t>
      </w:r>
      <w:r>
        <w:rPr>
          <w:rFonts w:ascii="Times New Roman" w:hAnsi="Times New Roman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重整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投资人未按</w:t>
      </w:r>
      <w:r>
        <w:rPr>
          <w:rFonts w:ascii="Times New Roman" w:hAnsi="Times New Roman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重整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计划规定的期限全额交纳</w:t>
      </w:r>
      <w:r>
        <w:rPr>
          <w:rFonts w:ascii="Times New Roman" w:hAnsi="Times New Roman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重整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投资款的，或未履行其他主要义务的，管理人有权没收其交纳的投资保证金，取消其</w:t>
      </w:r>
      <w:r>
        <w:rPr>
          <w:rFonts w:ascii="Times New Roman" w:hAnsi="Times New Roman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重整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投资资格。</w:t>
      </w:r>
    </w:p>
    <w:p>
      <w:pPr>
        <w:pStyle w:val="7"/>
        <w:widowControl/>
        <w:spacing w:line="560" w:lineRule="exact"/>
        <w:ind w:firstLine="707" w:firstLineChars="221"/>
        <w:contextualSpacing/>
        <w:jc w:val="both"/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4.投资保证金的使用</w:t>
      </w:r>
    </w:p>
    <w:p>
      <w:pPr>
        <w:pStyle w:val="7"/>
        <w:widowControl/>
        <w:spacing w:line="560" w:lineRule="exact"/>
        <w:ind w:firstLine="707" w:firstLineChars="221"/>
        <w:contextualSpacing/>
        <w:jc w:val="both"/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重整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计划获人民法院裁定批准后，投资人交纳的投资保证金转为</w:t>
      </w:r>
      <w:r>
        <w:rPr>
          <w:rFonts w:ascii="Times New Roman" w:hAnsi="Times New Roman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重整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投资款。</w:t>
      </w:r>
    </w:p>
    <w:p>
      <w:pPr>
        <w:pStyle w:val="7"/>
        <w:widowControl/>
        <w:spacing w:line="560" w:lineRule="exact"/>
        <w:ind w:firstLine="707" w:firstLineChars="221"/>
        <w:contextualSpacing/>
        <w:jc w:val="both"/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5.投资保证金的退还</w:t>
      </w:r>
    </w:p>
    <w:p>
      <w:pPr>
        <w:pStyle w:val="7"/>
        <w:widowControl/>
        <w:spacing w:line="560" w:lineRule="exact"/>
        <w:ind w:firstLine="707" w:firstLineChars="221"/>
        <w:contextualSpacing/>
        <w:jc w:val="both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</w:t>
      </w:r>
      <w:r>
        <w:rPr>
          <w:rFonts w:ascii="Times New Roman" w:hAnsi="Times New Roman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重整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计划草案》未获债权人会议表决通过且未获人民法院裁定批准的，或已通过债权人会议表决的《</w:t>
      </w:r>
      <w:r>
        <w:rPr>
          <w:rFonts w:ascii="Times New Roman" w:hAnsi="Times New Roman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重整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计划》未获法院裁定批准的，管理人自收到</w:t>
      </w:r>
      <w:r>
        <w:rPr>
          <w:rFonts w:ascii="Times New Roman" w:hAnsi="Times New Roman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安阳</w:t>
      </w:r>
      <w:r>
        <w:rPr>
          <w:rFonts w:hint="eastAsia" w:ascii="Times New Roman" w:hAnsi="Times New Roman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中</w:t>
      </w:r>
      <w:r>
        <w:rPr>
          <w:rFonts w:ascii="Times New Roman" w:hAnsi="Times New Roman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院</w:t>
      </w: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宣告破产裁定书后10个工作日内退还重整投资人所交纳的投资保证金(不计息)。</w:t>
      </w:r>
    </w:p>
    <w:p>
      <w:pPr>
        <w:pStyle w:val="11"/>
        <w:spacing w:line="560" w:lineRule="exact"/>
        <w:ind w:firstLine="707" w:firstLineChars="221"/>
        <w:contextualSpacing/>
        <w:jc w:val="both"/>
        <w:rPr>
          <w:rFonts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  <w:lang w:val="en-US" w:eastAsia="zh-CN"/>
        </w:rPr>
        <w:t>五、特别申明</w:t>
      </w:r>
    </w:p>
    <w:p>
      <w:pPr>
        <w:spacing w:line="560" w:lineRule="exact"/>
        <w:ind w:firstLine="707" w:firstLineChars="221"/>
        <w:contextualSpacing/>
        <w:jc w:val="both"/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本公告仅供参考，不构成管理人的任何保证，不构成投资建议，请投资人以尽职调查结果为投资依据，本公告最终解释权归管理人。</w:t>
      </w:r>
    </w:p>
    <w:p>
      <w:pPr>
        <w:spacing w:line="560" w:lineRule="exact"/>
        <w:ind w:firstLine="707" w:firstLineChars="221"/>
        <w:contextualSpacing/>
        <w:jc w:val="both"/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管理人诚挚欢迎各方投资人前来考察投资</w:t>
      </w:r>
      <w:r>
        <w:rPr>
          <w:rFonts w:hint="eastAsia"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707" w:firstLineChars="221"/>
        <w:contextualSpacing/>
        <w:jc w:val="both"/>
        <w:rPr>
          <w:rFonts w:ascii="Times New Roman" w:hAnsi="Times New Roman" w:cs="Times New Roman"/>
          <w:color w:val="000000"/>
          <w:sz w:val="32"/>
          <w:szCs w:val="32"/>
          <w:lang w:val="en-US" w:bidi="zh-TW"/>
        </w:rPr>
      </w:pPr>
      <w:r>
        <w:rPr>
          <w:rFonts w:ascii="Times New Roman" w:hAnsi="Times New Roman" w:cs="Times New Roman"/>
          <w:color w:val="000000"/>
          <w:sz w:val="32"/>
          <w:szCs w:val="32"/>
          <w:lang w:val="en-US" w:bidi="zh-TW"/>
        </w:rPr>
        <w:t xml:space="preserve">  </w:t>
      </w:r>
    </w:p>
    <w:p>
      <w:pPr>
        <w:spacing w:line="560" w:lineRule="exact"/>
        <w:ind w:firstLine="707" w:firstLineChars="221"/>
        <w:contextualSpacing/>
        <w:jc w:val="both"/>
        <w:rPr>
          <w:rFonts w:ascii="Times New Roman" w:hAnsi="Times New Roman" w:eastAsia="宋体" w:cs="Times New Roman"/>
          <w:color w:val="000000"/>
          <w:sz w:val="32"/>
          <w:szCs w:val="32"/>
          <w:lang w:val="en-US" w:bidi="zh-TW"/>
        </w:rPr>
      </w:pPr>
    </w:p>
    <w:p>
      <w:pPr>
        <w:spacing w:line="560" w:lineRule="exact"/>
        <w:ind w:firstLine="640" w:firstLineChars="200"/>
        <w:contextualSpacing/>
        <w:jc w:val="both"/>
        <w:rPr>
          <w:rFonts w:ascii="Times New Roman" w:hAnsi="Times New Roman" w:eastAsia="宋体" w:cs="Times New Roman"/>
          <w:color w:val="000000"/>
          <w:sz w:val="32"/>
          <w:szCs w:val="32"/>
          <w:lang w:val="en-US" w:bidi="zh-TW"/>
        </w:rPr>
      </w:pPr>
    </w:p>
    <w:p>
      <w:pPr>
        <w:spacing w:line="560" w:lineRule="exact"/>
        <w:ind w:firstLine="640" w:firstLineChars="200"/>
        <w:contextualSpacing/>
        <w:jc w:val="right"/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安阳永金化工有限公司预重整管理人</w:t>
      </w:r>
    </w:p>
    <w:p>
      <w:pPr>
        <w:spacing w:line="560" w:lineRule="exact"/>
        <w:ind w:firstLine="640" w:firstLineChars="200"/>
        <w:contextualSpacing/>
        <w:jc w:val="right"/>
        <w:rPr>
          <w:rFonts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2021年1</w:t>
      </w:r>
      <w:r>
        <w:rPr>
          <w:rFonts w:ascii="Times New Roman" w:hAnsi="Times New Roman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月5日</w:t>
      </w:r>
    </w:p>
    <w:p>
      <w:pPr>
        <w:pStyle w:val="4"/>
        <w:spacing w:before="0" w:after="13313" w:afterLines="4267"/>
        <w:ind w:left="0"/>
        <w:contextualSpacing/>
        <w:jc w:val="both"/>
        <w:rPr>
          <w:rFonts w:ascii="Times New Roman" w:hAnsi="Times New Roman" w:eastAsia="宋体" w:cs="Times New Roman"/>
          <w:color w:val="000000"/>
          <w:sz w:val="30"/>
          <w:szCs w:val="30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0"/>
        <w:sz w:val="20"/>
        <w:szCs w:val="24"/>
      </w:rPr>
      <w:id w:val="-1676419689"/>
    </w:sdtPr>
    <w:sdtEndPr>
      <w:rPr>
        <w:rStyle w:val="10"/>
        <w:sz w:val="20"/>
        <w:szCs w:val="24"/>
      </w:rPr>
    </w:sdtEndPr>
    <w:sdtContent>
      <w:p>
        <w:pPr>
          <w:pStyle w:val="5"/>
          <w:framePr w:wrap="auto" w:vAnchor="text" w:hAnchor="margin" w:xAlign="center" w:y="1"/>
          <w:rPr>
            <w:rStyle w:val="10"/>
            <w:sz w:val="22"/>
          </w:rPr>
        </w:pPr>
        <w:r>
          <w:rPr>
            <w:rStyle w:val="10"/>
          </w:rPr>
          <w:fldChar w:fldCharType="begin"/>
        </w:r>
        <w:r>
          <w:rPr>
            <w:rStyle w:val="10"/>
          </w:rPr>
          <w:instrText xml:space="preserve"> PAGE </w:instrText>
        </w:r>
        <w:r>
          <w:rPr>
            <w:rStyle w:val="10"/>
          </w:rPr>
          <w:fldChar w:fldCharType="separate"/>
        </w:r>
        <w:r>
          <w:rPr>
            <w:rStyle w:val="10"/>
          </w:rPr>
          <w:t>5</w:t>
        </w:r>
        <w:r>
          <w:rPr>
            <w:rStyle w:val="10"/>
          </w:rPr>
          <w:fldChar w:fldCharType="end"/>
        </w:r>
      </w:p>
    </w:sdtContent>
  </w:sdt>
  <w:p>
    <w:pPr>
      <w:spacing w:line="1" w:lineRule="exac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4387850</wp:posOffset>
              </wp:positionH>
              <wp:positionV relativeFrom="paragraph">
                <wp:posOffset>3175</wp:posOffset>
              </wp:positionV>
              <wp:extent cx="889635" cy="209550"/>
              <wp:effectExtent l="0" t="0" r="5715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89635" cy="2095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45.5pt;margin-top:0.25pt;height:16.5pt;width:70.05pt;mso-position-horizontal-relative:margin;z-index:251659264;mso-width-relative:page;mso-height-relative:page;" filled="f" stroked="f" coordsize="21600,21600" o:gfxdata="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yC2oq1gAAAAcBAAAPAAAAAAAAAAEAIAAAACIAAABkcnMvZG93bnJldi54bWxQSwEC&#10;FAAUAAAACACHTuJAoywtYi8CAABVBAAADgAAAAAAAAABACAAAAAl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0"/>
      </w:rPr>
      <w:id w:val="1940023970"/>
    </w:sdtPr>
    <w:sdtEndPr>
      <w:rPr>
        <w:rStyle w:val="10"/>
      </w:rPr>
    </w:sdtEndPr>
    <w:sdtContent>
      <w:p>
        <w:pPr>
          <w:pStyle w:val="5"/>
          <w:framePr w:wrap="auto" w:vAnchor="text" w:hAnchor="margin" w:xAlign="center" w:y="1"/>
          <w:rPr>
            <w:rStyle w:val="10"/>
          </w:rPr>
        </w:pPr>
        <w:r>
          <w:rPr>
            <w:rStyle w:val="10"/>
          </w:rPr>
          <w:fldChar w:fldCharType="begin"/>
        </w:r>
        <w:r>
          <w:rPr>
            <w:rStyle w:val="10"/>
          </w:rPr>
          <w:instrText xml:space="preserve"> PAGE </w:instrText>
        </w:r>
        <w:r>
          <w:rPr>
            <w:rStyle w:val="10"/>
          </w:rP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B162DF"/>
    <w:multiLevelType w:val="singleLevel"/>
    <w:tmpl w:val="B0B162DF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4F23443"/>
    <w:multiLevelType w:val="singleLevel"/>
    <w:tmpl w:val="44F23443"/>
    <w:lvl w:ilvl="0" w:tentative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ABE3F8E"/>
    <w:rsid w:val="00001D0D"/>
    <w:rsid w:val="000C6994"/>
    <w:rsid w:val="000F425D"/>
    <w:rsid w:val="000F5E79"/>
    <w:rsid w:val="00123D75"/>
    <w:rsid w:val="0013065E"/>
    <w:rsid w:val="00156745"/>
    <w:rsid w:val="001A0E79"/>
    <w:rsid w:val="00202905"/>
    <w:rsid w:val="0023454B"/>
    <w:rsid w:val="002960C5"/>
    <w:rsid w:val="00424514"/>
    <w:rsid w:val="0044581D"/>
    <w:rsid w:val="00484E63"/>
    <w:rsid w:val="004949FB"/>
    <w:rsid w:val="004E2AC2"/>
    <w:rsid w:val="00516A19"/>
    <w:rsid w:val="005464DC"/>
    <w:rsid w:val="0059765D"/>
    <w:rsid w:val="00604B93"/>
    <w:rsid w:val="00725963"/>
    <w:rsid w:val="00762BB0"/>
    <w:rsid w:val="007C4A51"/>
    <w:rsid w:val="007F76FB"/>
    <w:rsid w:val="008B64C3"/>
    <w:rsid w:val="0095728B"/>
    <w:rsid w:val="009B4FCB"/>
    <w:rsid w:val="00A4241F"/>
    <w:rsid w:val="00A81751"/>
    <w:rsid w:val="00A96C0C"/>
    <w:rsid w:val="00AC6303"/>
    <w:rsid w:val="00AD4D8F"/>
    <w:rsid w:val="00B34EE7"/>
    <w:rsid w:val="00C13A5F"/>
    <w:rsid w:val="00CC0464"/>
    <w:rsid w:val="00D05D27"/>
    <w:rsid w:val="00D30F09"/>
    <w:rsid w:val="00D32C0E"/>
    <w:rsid w:val="00D43863"/>
    <w:rsid w:val="00E214FC"/>
    <w:rsid w:val="00E60068"/>
    <w:rsid w:val="00EB0BC6"/>
    <w:rsid w:val="00EF7128"/>
    <w:rsid w:val="00F40895"/>
    <w:rsid w:val="00FA117A"/>
    <w:rsid w:val="00FE46EA"/>
    <w:rsid w:val="0657499D"/>
    <w:rsid w:val="079949D7"/>
    <w:rsid w:val="0B334FF5"/>
    <w:rsid w:val="10716CCB"/>
    <w:rsid w:val="108C37E8"/>
    <w:rsid w:val="14C155C2"/>
    <w:rsid w:val="155403E3"/>
    <w:rsid w:val="16074E97"/>
    <w:rsid w:val="16A77261"/>
    <w:rsid w:val="175C1D9D"/>
    <w:rsid w:val="18046868"/>
    <w:rsid w:val="192A4D3E"/>
    <w:rsid w:val="19693DF3"/>
    <w:rsid w:val="19C252D7"/>
    <w:rsid w:val="205E3D53"/>
    <w:rsid w:val="263C45CE"/>
    <w:rsid w:val="27A15F29"/>
    <w:rsid w:val="27B94AE4"/>
    <w:rsid w:val="29DD3F83"/>
    <w:rsid w:val="2E5E4D29"/>
    <w:rsid w:val="2FBF523A"/>
    <w:rsid w:val="31082E54"/>
    <w:rsid w:val="33093DD3"/>
    <w:rsid w:val="33D72BCA"/>
    <w:rsid w:val="34B8182C"/>
    <w:rsid w:val="3710138C"/>
    <w:rsid w:val="38481668"/>
    <w:rsid w:val="3B4E40EB"/>
    <w:rsid w:val="3B9A20E6"/>
    <w:rsid w:val="3BBB7237"/>
    <w:rsid w:val="47F25CA5"/>
    <w:rsid w:val="4A284F03"/>
    <w:rsid w:val="4BC80050"/>
    <w:rsid w:val="4D004597"/>
    <w:rsid w:val="4E875872"/>
    <w:rsid w:val="50F43794"/>
    <w:rsid w:val="551A20A8"/>
    <w:rsid w:val="552D4B15"/>
    <w:rsid w:val="59EB01F0"/>
    <w:rsid w:val="5B6E57AB"/>
    <w:rsid w:val="5FCD3884"/>
    <w:rsid w:val="607560EB"/>
    <w:rsid w:val="651F59CB"/>
    <w:rsid w:val="666E7BE1"/>
    <w:rsid w:val="68AE2317"/>
    <w:rsid w:val="6CBB0125"/>
    <w:rsid w:val="6D3050A4"/>
    <w:rsid w:val="6E5552B0"/>
    <w:rsid w:val="6FC03E84"/>
    <w:rsid w:val="77864CDE"/>
    <w:rsid w:val="78A0640C"/>
    <w:rsid w:val="78DD7D73"/>
    <w:rsid w:val="798A0E64"/>
    <w:rsid w:val="7A2264D4"/>
    <w:rsid w:val="7AA915AE"/>
    <w:rsid w:val="7ABE3F8E"/>
    <w:rsid w:val="7C03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宋体"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szCs w:val="24"/>
    </w:rPr>
  </w:style>
  <w:style w:type="paragraph" w:styleId="4">
    <w:name w:val="Body Text"/>
    <w:basedOn w:val="1"/>
    <w:qFormat/>
    <w:uiPriority w:val="1"/>
    <w:pPr>
      <w:spacing w:before="243"/>
      <w:ind w:left="100"/>
    </w:pPr>
    <w:rPr>
      <w:sz w:val="28"/>
      <w:szCs w:val="2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7">
    <w:name w:val="Normal (Web)"/>
    <w:basedOn w:val="1"/>
    <w:qFormat/>
    <w:uiPriority w:val="0"/>
    <w:rPr>
      <w:sz w:val="24"/>
    </w:rPr>
  </w:style>
  <w:style w:type="character" w:styleId="10">
    <w:name w:val="page number"/>
    <w:basedOn w:val="9"/>
    <w:qFormat/>
    <w:uiPriority w:val="0"/>
  </w:style>
  <w:style w:type="paragraph" w:customStyle="1" w:styleId="11">
    <w:name w:val="Body text|1"/>
    <w:basedOn w:val="1"/>
    <w:qFormat/>
    <w:uiPriority w:val="0"/>
    <w:pPr>
      <w:spacing w:line="382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12">
    <w:name w:val="Header or footer|2"/>
    <w:basedOn w:val="1"/>
    <w:qFormat/>
    <w:uiPriority w:val="0"/>
    <w:rPr>
      <w:sz w:val="20"/>
      <w:szCs w:val="20"/>
      <w:lang w:val="zh-TW" w:eastAsia="zh-TW" w:bidi="zh-TW"/>
    </w:rPr>
  </w:style>
  <w:style w:type="paragraph" w:customStyle="1" w:styleId="13">
    <w:name w:val="安化"/>
    <w:basedOn w:val="1"/>
    <w:next w:val="1"/>
    <w:qFormat/>
    <w:uiPriority w:val="0"/>
    <w:pPr>
      <w:keepNext/>
      <w:keepLines/>
      <w:spacing w:before="280" w:after="290" w:line="372" w:lineRule="auto"/>
      <w:outlineLvl w:val="3"/>
    </w:pPr>
    <w:rPr>
      <w:rFonts w:hint="eastAsia" w:ascii="Arial" w:hAnsi="Arial"/>
      <w:b/>
      <w:sz w:val="32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Revision"/>
    <w:hidden/>
    <w:semiHidden/>
    <w:uiPriority w:val="99"/>
    <w:rPr>
      <w:rFonts w:ascii="仿宋" w:hAnsi="仿宋" w:eastAsia="仿宋" w:cs="仿宋"/>
      <w:sz w:val="22"/>
      <w:szCs w:val="2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503</Words>
  <Characters>2872</Characters>
  <Lines>23</Lines>
  <Paragraphs>6</Paragraphs>
  <TotalTime>33</TotalTime>
  <ScaleCrop>false</ScaleCrop>
  <LinksUpToDate>false</LinksUpToDate>
  <CharactersWithSpaces>3369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2021-10-20T01:12:00Z</dcterms:created>
  <dc:creator>萌之吃吃lemon</dc:creator>
  <cp:lastModifiedBy>萌之吃吃lemon</cp:lastModifiedBy>
  <cp:lastPrinted>2021-10-20T06:43:00Z</cp:lastPrinted>
  <dcterms:modified xsi:type="dcterms:W3CDTF">2021-12-05T06:11:21Z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83652A03770E46D1955491E61103A5CC</vt:lpwstr>
  </property>
</Properties>
</file>