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20" w:after="156" w:afterLines="50"/>
        <w:ind w:left="0" w:leftChars="0" w:right="1191" w:firstLine="0" w:firstLineChars="0"/>
        <w:jc w:val="center"/>
        <w:rPr>
          <w:rFonts w:hint="eastAsia" w:ascii="宋体" w:hAnsi="宋体" w:eastAsia="宋体" w:cs="宋体"/>
          <w:sz w:val="36"/>
          <w:szCs w:val="36"/>
        </w:rPr>
      </w:pPr>
      <w:r>
        <w:rPr>
          <w:rFonts w:hint="eastAsia" w:ascii="宋体" w:hAnsi="宋体" w:eastAsia="宋体" w:cs="宋体"/>
          <w:sz w:val="36"/>
          <w:szCs w:val="36"/>
          <w:lang w:val="en-US" w:eastAsia="zh-CN"/>
        </w:rPr>
        <w:t xml:space="preserve"> 债权审查工作</w:t>
      </w:r>
      <w:bookmarkStart w:id="0" w:name="_GoBack"/>
      <w:bookmarkEnd w:id="0"/>
      <w:r>
        <w:rPr>
          <w:rFonts w:hint="eastAsia" w:ascii="宋体" w:hAnsi="宋体" w:eastAsia="宋体" w:cs="宋体"/>
          <w:sz w:val="36"/>
          <w:szCs w:val="36"/>
        </w:rPr>
        <w:t>报告</w:t>
      </w:r>
    </w:p>
    <w:p>
      <w:pPr>
        <w:pStyle w:val="6"/>
        <w:tabs>
          <w:tab w:val="left" w:pos="896"/>
        </w:tabs>
        <w:snapToGrid w:val="0"/>
        <w:spacing w:line="360" w:lineRule="auto"/>
        <w:ind w:left="0" w:right="363" w:firstLine="0"/>
        <w:jc w:val="both"/>
        <w:rPr>
          <w:rFonts w:hint="eastAsia"/>
          <w:b/>
          <w:bCs/>
          <w:sz w:val="28"/>
          <w:szCs w:val="28"/>
          <w:lang w:eastAsia="zh-CN"/>
        </w:rPr>
      </w:pPr>
    </w:p>
    <w:p>
      <w:pPr>
        <w:pStyle w:val="6"/>
        <w:tabs>
          <w:tab w:val="left" w:pos="896"/>
        </w:tabs>
        <w:snapToGrid w:val="0"/>
        <w:spacing w:line="360" w:lineRule="auto"/>
        <w:ind w:left="0" w:right="363" w:firstLine="0"/>
        <w:jc w:val="both"/>
        <w:rPr>
          <w:b/>
          <w:bCs/>
          <w:sz w:val="28"/>
          <w:szCs w:val="28"/>
        </w:rPr>
      </w:pPr>
      <w:r>
        <w:rPr>
          <w:rFonts w:hint="eastAsia"/>
          <w:b/>
          <w:bCs/>
          <w:sz w:val="28"/>
          <w:szCs w:val="28"/>
          <w:lang w:eastAsia="zh-CN"/>
        </w:rPr>
        <w:t>龙岩市东圣贸易有限公司</w:t>
      </w:r>
      <w:r>
        <w:rPr>
          <w:b/>
          <w:bCs/>
          <w:sz w:val="28"/>
          <w:szCs w:val="28"/>
        </w:rPr>
        <w:t>债权人会议：</w:t>
      </w:r>
    </w:p>
    <w:p>
      <w:pPr>
        <w:snapToGrid w:val="0"/>
        <w:spacing w:line="360" w:lineRule="auto"/>
        <w:ind w:firstLine="560" w:firstLineChars="200"/>
        <w:rPr>
          <w:rFonts w:hint="eastAsia"/>
          <w:w w:val="100"/>
          <w:sz w:val="28"/>
          <w:szCs w:val="28"/>
          <w:lang w:eastAsia="zh-CN"/>
        </w:rPr>
      </w:pPr>
      <w:r>
        <w:rPr>
          <w:rFonts w:hint="eastAsia"/>
          <w:w w:val="100"/>
          <w:sz w:val="28"/>
          <w:szCs w:val="28"/>
          <w:lang w:eastAsia="zh-CN"/>
        </w:rPr>
        <w:t>管理人接受指定后，根据《中华人民共和国企业破产法》之规定开展债权申报、审核工作，现报告如下：</w:t>
      </w:r>
    </w:p>
    <w:p>
      <w:pPr>
        <w:pStyle w:val="6"/>
        <w:numPr>
          <w:ilvl w:val="0"/>
          <w:numId w:val="1"/>
        </w:numPr>
        <w:tabs>
          <w:tab w:val="left" w:pos="896"/>
        </w:tabs>
        <w:snapToGrid w:val="0"/>
        <w:spacing w:before="1" w:line="360" w:lineRule="auto"/>
        <w:ind w:left="0" w:right="17" w:firstLine="562" w:firstLineChars="200"/>
        <w:rPr>
          <w:rFonts w:hint="eastAsia"/>
          <w:b/>
          <w:bCs/>
          <w:sz w:val="28"/>
          <w:szCs w:val="28"/>
          <w:lang w:eastAsia="zh-CN"/>
        </w:rPr>
      </w:pPr>
      <w:r>
        <w:rPr>
          <w:rFonts w:hint="eastAsia"/>
          <w:b/>
          <w:bCs/>
          <w:sz w:val="28"/>
          <w:szCs w:val="28"/>
          <w:lang w:eastAsia="zh-CN"/>
        </w:rPr>
        <w:t>债权申报情况</w:t>
      </w:r>
    </w:p>
    <w:p>
      <w:pPr>
        <w:pStyle w:val="6"/>
        <w:numPr>
          <w:ilvl w:val="0"/>
          <w:numId w:val="0"/>
        </w:numPr>
        <w:tabs>
          <w:tab w:val="left" w:pos="896"/>
        </w:tabs>
        <w:snapToGrid w:val="0"/>
        <w:spacing w:before="1" w:line="360" w:lineRule="auto"/>
        <w:ind w:right="17" w:rightChars="0" w:firstLine="560" w:firstLineChars="200"/>
        <w:rPr>
          <w:rFonts w:hint="eastAsia"/>
          <w:sz w:val="28"/>
          <w:szCs w:val="28"/>
          <w:lang w:eastAsia="zh-CN"/>
        </w:rPr>
      </w:pPr>
      <w:r>
        <w:rPr>
          <w:sz w:val="28"/>
          <w:szCs w:val="28"/>
        </w:rPr>
        <w:t>经龙岩市</w:t>
      </w:r>
      <w:r>
        <w:rPr>
          <w:rFonts w:hint="eastAsia"/>
          <w:sz w:val="28"/>
          <w:szCs w:val="28"/>
          <w:lang w:eastAsia="zh-CN"/>
        </w:rPr>
        <w:t>新罗区</w:t>
      </w:r>
      <w:r>
        <w:rPr>
          <w:sz w:val="28"/>
          <w:szCs w:val="28"/>
        </w:rPr>
        <w:t>人民法院确定，</w:t>
      </w:r>
      <w:r>
        <w:rPr>
          <w:rFonts w:hint="eastAsia"/>
          <w:sz w:val="28"/>
          <w:szCs w:val="28"/>
          <w:lang w:eastAsia="zh-CN"/>
        </w:rPr>
        <w:t>东圣公司</w:t>
      </w:r>
      <w:r>
        <w:rPr>
          <w:sz w:val="28"/>
          <w:szCs w:val="28"/>
        </w:rPr>
        <w:t>债权人申报债权的期限为 202</w:t>
      </w:r>
      <w:r>
        <w:rPr>
          <w:rFonts w:hint="eastAsia"/>
          <w:sz w:val="28"/>
          <w:szCs w:val="28"/>
          <w:lang w:val="en-US"/>
        </w:rPr>
        <w:t>1</w:t>
      </w:r>
      <w:r>
        <w:rPr>
          <w:sz w:val="28"/>
          <w:szCs w:val="28"/>
        </w:rPr>
        <w:t>年</w:t>
      </w:r>
      <w:r>
        <w:rPr>
          <w:rFonts w:hint="eastAsia"/>
          <w:sz w:val="28"/>
          <w:szCs w:val="28"/>
          <w:lang w:val="en-US" w:eastAsia="zh-CN"/>
        </w:rPr>
        <w:t>12</w:t>
      </w:r>
      <w:r>
        <w:rPr>
          <w:sz w:val="28"/>
          <w:szCs w:val="28"/>
        </w:rPr>
        <w:t>月</w:t>
      </w:r>
      <w:r>
        <w:rPr>
          <w:rFonts w:hint="eastAsia"/>
          <w:sz w:val="28"/>
          <w:szCs w:val="28"/>
          <w:lang w:val="en-US" w:eastAsia="zh-CN"/>
        </w:rPr>
        <w:t>3</w:t>
      </w:r>
      <w:r>
        <w:rPr>
          <w:sz w:val="28"/>
          <w:szCs w:val="28"/>
        </w:rPr>
        <w:t>日之前。</w:t>
      </w:r>
      <w:r>
        <w:rPr>
          <w:rFonts w:hint="eastAsia"/>
          <w:sz w:val="28"/>
          <w:szCs w:val="28"/>
          <w:lang w:eastAsia="zh-CN"/>
        </w:rPr>
        <w:t>截至债权申报截止日，管理人共</w:t>
      </w:r>
      <w:r>
        <w:rPr>
          <w:sz w:val="28"/>
          <w:szCs w:val="28"/>
        </w:rPr>
        <w:t>收到</w:t>
      </w:r>
      <w:r>
        <w:rPr>
          <w:rFonts w:hint="eastAsia"/>
          <w:sz w:val="28"/>
          <w:szCs w:val="28"/>
          <w:lang w:eastAsia="zh-CN"/>
        </w:rPr>
        <w:t>两</w:t>
      </w:r>
      <w:r>
        <w:rPr>
          <w:sz w:val="28"/>
          <w:szCs w:val="28"/>
        </w:rPr>
        <w:t>户债权人申报</w:t>
      </w:r>
      <w:r>
        <w:rPr>
          <w:rFonts w:hint="eastAsia"/>
          <w:sz w:val="28"/>
          <w:szCs w:val="28"/>
          <w:lang w:eastAsia="zh-CN"/>
        </w:rPr>
        <w:t>的两</w:t>
      </w:r>
      <w:r>
        <w:rPr>
          <w:sz w:val="28"/>
          <w:szCs w:val="28"/>
        </w:rPr>
        <w:t>笔债权，</w:t>
      </w:r>
      <w:r>
        <w:rPr>
          <w:rFonts w:hint="eastAsia"/>
          <w:sz w:val="28"/>
          <w:szCs w:val="28"/>
          <w:lang w:eastAsia="zh-CN"/>
        </w:rPr>
        <w:t>其中：</w:t>
      </w:r>
    </w:p>
    <w:p>
      <w:pPr>
        <w:pStyle w:val="6"/>
        <w:numPr>
          <w:ilvl w:val="0"/>
          <w:numId w:val="2"/>
        </w:numPr>
        <w:tabs>
          <w:tab w:val="left" w:pos="896"/>
        </w:tabs>
        <w:snapToGrid w:val="0"/>
        <w:spacing w:before="1" w:line="360" w:lineRule="auto"/>
        <w:ind w:right="17" w:rightChars="0" w:firstLine="560" w:firstLineChars="200"/>
        <w:rPr>
          <w:rFonts w:hint="eastAsia"/>
          <w:sz w:val="28"/>
          <w:szCs w:val="28"/>
          <w:lang w:val="en-US" w:eastAsia="zh-CN"/>
        </w:rPr>
      </w:pPr>
      <w:r>
        <w:rPr>
          <w:rFonts w:hint="eastAsia"/>
          <w:sz w:val="28"/>
          <w:szCs w:val="28"/>
          <w:lang w:eastAsia="zh-CN"/>
        </w:rPr>
        <w:t>龙岩市新罗区人力资源和社会保障局申报的行政罚款</w:t>
      </w:r>
      <w:r>
        <w:rPr>
          <w:rFonts w:hint="eastAsia"/>
          <w:sz w:val="28"/>
          <w:szCs w:val="28"/>
          <w:lang w:val="en-US" w:eastAsia="zh-CN"/>
        </w:rPr>
        <w:t>18000元和</w:t>
      </w:r>
      <w:r>
        <w:rPr>
          <w:rFonts w:hint="eastAsia"/>
          <w:sz w:val="28"/>
          <w:szCs w:val="28"/>
          <w:lang w:eastAsia="zh-CN"/>
        </w:rPr>
        <w:t>加处罚款</w:t>
      </w:r>
      <w:r>
        <w:rPr>
          <w:rFonts w:hint="eastAsia"/>
          <w:sz w:val="28"/>
          <w:szCs w:val="28"/>
          <w:lang w:val="en-US" w:eastAsia="zh-CN"/>
        </w:rPr>
        <w:t>18000元，合计36000元。</w:t>
      </w:r>
    </w:p>
    <w:p>
      <w:pPr>
        <w:pStyle w:val="6"/>
        <w:numPr>
          <w:ilvl w:val="0"/>
          <w:numId w:val="2"/>
        </w:numPr>
        <w:tabs>
          <w:tab w:val="left" w:pos="896"/>
        </w:tabs>
        <w:snapToGrid w:val="0"/>
        <w:spacing w:before="1" w:line="360" w:lineRule="auto"/>
        <w:ind w:right="17" w:rightChars="0" w:firstLine="560" w:firstLineChars="200"/>
        <w:rPr>
          <w:rFonts w:hint="eastAsia"/>
          <w:sz w:val="28"/>
          <w:szCs w:val="28"/>
        </w:rPr>
      </w:pPr>
      <w:r>
        <w:rPr>
          <w:rFonts w:hint="eastAsia"/>
          <w:sz w:val="28"/>
          <w:szCs w:val="28"/>
        </w:rPr>
        <w:t>龙岩市</w:t>
      </w:r>
      <w:r>
        <w:rPr>
          <w:rFonts w:hint="eastAsia"/>
          <w:sz w:val="28"/>
          <w:szCs w:val="28"/>
          <w:lang w:eastAsia="zh-CN"/>
        </w:rPr>
        <w:t>新罗区</w:t>
      </w:r>
      <w:r>
        <w:rPr>
          <w:rFonts w:hint="eastAsia"/>
          <w:sz w:val="28"/>
          <w:szCs w:val="28"/>
        </w:rPr>
        <w:t>人民法院申报的案件</w:t>
      </w:r>
      <w:r>
        <w:rPr>
          <w:rFonts w:hint="eastAsia"/>
          <w:sz w:val="28"/>
          <w:szCs w:val="28"/>
          <w:lang w:eastAsia="zh-CN"/>
        </w:rPr>
        <w:t>执行费</w:t>
      </w:r>
      <w:r>
        <w:rPr>
          <w:rFonts w:hint="eastAsia"/>
          <w:sz w:val="28"/>
          <w:szCs w:val="28"/>
          <w:lang w:val="en-US" w:eastAsia="zh-CN"/>
        </w:rPr>
        <w:t>342</w:t>
      </w:r>
      <w:r>
        <w:rPr>
          <w:rFonts w:hint="eastAsia"/>
          <w:sz w:val="28"/>
          <w:szCs w:val="28"/>
        </w:rPr>
        <w:t>元</w:t>
      </w:r>
      <w:r>
        <w:rPr>
          <w:rFonts w:hint="eastAsia"/>
          <w:sz w:val="28"/>
          <w:szCs w:val="28"/>
          <w:lang w:eastAsia="zh-CN"/>
        </w:rPr>
        <w:t>。</w:t>
      </w:r>
    </w:p>
    <w:p>
      <w:pPr>
        <w:pStyle w:val="6"/>
        <w:numPr>
          <w:ilvl w:val="0"/>
          <w:numId w:val="0"/>
        </w:numPr>
        <w:tabs>
          <w:tab w:val="left" w:pos="896"/>
        </w:tabs>
        <w:snapToGrid w:val="0"/>
        <w:spacing w:before="1" w:line="360" w:lineRule="auto"/>
        <w:ind w:right="17" w:rightChars="0" w:firstLine="560" w:firstLineChars="200"/>
        <w:rPr>
          <w:rFonts w:hint="eastAsia"/>
          <w:sz w:val="28"/>
          <w:szCs w:val="28"/>
        </w:rPr>
      </w:pPr>
      <w:r>
        <w:rPr>
          <w:sz w:val="28"/>
          <w:szCs w:val="28"/>
        </w:rPr>
        <w:t>申报的债权总额为人民币</w:t>
      </w:r>
      <w:r>
        <w:rPr>
          <w:rFonts w:hint="eastAsia"/>
          <w:sz w:val="28"/>
          <w:szCs w:val="28"/>
          <w:lang w:val="en-US" w:eastAsia="zh-CN"/>
        </w:rPr>
        <w:t>36342元</w:t>
      </w:r>
      <w:r>
        <w:rPr>
          <w:rFonts w:hint="eastAsia"/>
          <w:sz w:val="28"/>
          <w:szCs w:val="28"/>
        </w:rPr>
        <w:t>。</w:t>
      </w:r>
    </w:p>
    <w:p>
      <w:pPr>
        <w:pStyle w:val="6"/>
        <w:numPr>
          <w:ilvl w:val="0"/>
          <w:numId w:val="1"/>
        </w:numPr>
        <w:tabs>
          <w:tab w:val="left" w:pos="896"/>
        </w:tabs>
        <w:snapToGrid w:val="0"/>
        <w:spacing w:before="1" w:line="360" w:lineRule="auto"/>
        <w:ind w:left="0" w:leftChars="0" w:right="17" w:rightChars="0" w:firstLine="562" w:firstLineChars="200"/>
        <w:rPr>
          <w:rFonts w:hint="eastAsia"/>
          <w:b/>
          <w:bCs/>
          <w:sz w:val="28"/>
          <w:szCs w:val="28"/>
          <w:lang w:eastAsia="zh-CN"/>
        </w:rPr>
      </w:pPr>
      <w:r>
        <w:rPr>
          <w:rFonts w:hint="eastAsia"/>
          <w:b/>
          <w:bCs/>
          <w:sz w:val="28"/>
          <w:szCs w:val="28"/>
          <w:lang w:eastAsia="zh-CN"/>
        </w:rPr>
        <w:t>债权核查情况</w:t>
      </w:r>
    </w:p>
    <w:p>
      <w:pPr>
        <w:pStyle w:val="6"/>
        <w:tabs>
          <w:tab w:val="left" w:pos="896"/>
        </w:tabs>
        <w:snapToGrid w:val="0"/>
        <w:spacing w:before="1" w:line="360" w:lineRule="auto"/>
        <w:ind w:left="0" w:right="17" w:firstLine="560" w:firstLineChars="200"/>
        <w:rPr>
          <w:rFonts w:hint="eastAsia"/>
          <w:sz w:val="28"/>
          <w:szCs w:val="28"/>
          <w:lang w:val="en-US" w:eastAsia="zh-CN"/>
        </w:rPr>
      </w:pPr>
      <w:r>
        <w:rPr>
          <w:sz w:val="28"/>
          <w:szCs w:val="28"/>
        </w:rPr>
        <w:t>管理人收到债权申报材料后，</w:t>
      </w:r>
      <w:r>
        <w:rPr>
          <w:rFonts w:hint="eastAsia"/>
          <w:sz w:val="28"/>
          <w:szCs w:val="28"/>
          <w:lang w:eastAsia="zh-CN"/>
        </w:rPr>
        <w:t>依照</w:t>
      </w:r>
      <w:r>
        <w:rPr>
          <w:rFonts w:hint="eastAsia"/>
          <w:w w:val="100"/>
          <w:sz w:val="28"/>
          <w:szCs w:val="28"/>
          <w:lang w:eastAsia="zh-CN"/>
        </w:rPr>
        <w:t>《中华人民共和国企业破产法》第五十七条的规定，</w:t>
      </w:r>
      <w:r>
        <w:rPr>
          <w:sz w:val="28"/>
          <w:szCs w:val="28"/>
        </w:rPr>
        <w:t>对申报的债权登记造册，</w:t>
      </w:r>
      <w:r>
        <w:rPr>
          <w:rFonts w:hint="eastAsia"/>
          <w:sz w:val="28"/>
          <w:szCs w:val="28"/>
          <w:lang w:eastAsia="zh-CN"/>
        </w:rPr>
        <w:t>对申报债权的真实性、合法性和时效性进行审查，并编制《债权表》。截至本次会议召开日，管理人已完成全部申报债权的审查，认定债权总金额为</w:t>
      </w:r>
      <w:r>
        <w:rPr>
          <w:rFonts w:hint="eastAsia"/>
          <w:sz w:val="28"/>
          <w:szCs w:val="28"/>
          <w:lang w:val="en-US" w:eastAsia="zh-CN"/>
        </w:rPr>
        <w:t>36342元。其中：</w:t>
      </w:r>
    </w:p>
    <w:p>
      <w:pPr>
        <w:pStyle w:val="6"/>
        <w:numPr>
          <w:ilvl w:val="0"/>
          <w:numId w:val="3"/>
        </w:numPr>
        <w:tabs>
          <w:tab w:val="left" w:pos="896"/>
        </w:tabs>
        <w:snapToGrid w:val="0"/>
        <w:spacing w:before="1" w:line="360" w:lineRule="auto"/>
        <w:ind w:left="0" w:right="17" w:firstLine="560" w:firstLineChars="200"/>
        <w:rPr>
          <w:rFonts w:hint="eastAsia"/>
          <w:sz w:val="28"/>
          <w:szCs w:val="28"/>
          <w:lang w:val="en-US" w:eastAsia="zh-CN"/>
        </w:rPr>
      </w:pPr>
      <w:r>
        <w:rPr>
          <w:rFonts w:hint="eastAsia"/>
          <w:sz w:val="28"/>
          <w:szCs w:val="28"/>
          <w:lang w:eastAsia="zh-CN"/>
        </w:rPr>
        <w:t>确认龙岩市新罗区人力资源和社会保障局债权</w:t>
      </w:r>
      <w:r>
        <w:rPr>
          <w:rFonts w:hint="eastAsia"/>
          <w:sz w:val="28"/>
          <w:szCs w:val="28"/>
          <w:lang w:val="en-US" w:eastAsia="zh-CN"/>
        </w:rPr>
        <w:t>36000元，因该债权为行政罚款，为劣后债权。</w:t>
      </w:r>
    </w:p>
    <w:p>
      <w:pPr>
        <w:snapToGrid w:val="0"/>
        <w:spacing w:line="348" w:lineRule="auto"/>
        <w:ind w:right="17" w:firstLine="560" w:firstLineChars="200"/>
        <w:rPr>
          <w:sz w:val="28"/>
          <w:szCs w:val="28"/>
        </w:rPr>
      </w:pPr>
      <w:r>
        <w:rPr>
          <w:rFonts w:hint="eastAsia"/>
          <w:sz w:val="28"/>
          <w:szCs w:val="28"/>
          <w:lang w:val="en-US" w:eastAsia="zh-CN"/>
        </w:rPr>
        <w:t>2、</w:t>
      </w:r>
      <w:r>
        <w:rPr>
          <w:rFonts w:hint="eastAsia"/>
          <w:sz w:val="28"/>
          <w:szCs w:val="28"/>
          <w:lang w:eastAsia="zh-CN"/>
        </w:rPr>
        <w:t>确认</w:t>
      </w:r>
      <w:r>
        <w:rPr>
          <w:rFonts w:hint="eastAsia"/>
          <w:sz w:val="28"/>
          <w:szCs w:val="28"/>
        </w:rPr>
        <w:t>龙岩市</w:t>
      </w:r>
      <w:r>
        <w:rPr>
          <w:rFonts w:hint="eastAsia"/>
          <w:sz w:val="28"/>
          <w:szCs w:val="28"/>
          <w:lang w:eastAsia="zh-CN"/>
        </w:rPr>
        <w:t>新罗区</w:t>
      </w:r>
      <w:r>
        <w:rPr>
          <w:rFonts w:hint="eastAsia"/>
          <w:sz w:val="28"/>
          <w:szCs w:val="28"/>
        </w:rPr>
        <w:t>人民法院</w:t>
      </w:r>
      <w:r>
        <w:rPr>
          <w:rFonts w:hint="eastAsia"/>
          <w:sz w:val="28"/>
          <w:szCs w:val="28"/>
          <w:lang w:eastAsia="zh-CN"/>
        </w:rPr>
        <w:t>债权</w:t>
      </w:r>
      <w:r>
        <w:rPr>
          <w:rFonts w:hint="eastAsia"/>
          <w:sz w:val="28"/>
          <w:szCs w:val="28"/>
          <w:lang w:val="en-US" w:eastAsia="zh-CN"/>
        </w:rPr>
        <w:t>342</w:t>
      </w:r>
      <w:r>
        <w:rPr>
          <w:rFonts w:hint="eastAsia"/>
          <w:sz w:val="28"/>
          <w:szCs w:val="28"/>
        </w:rPr>
        <w:t>元</w:t>
      </w:r>
      <w:r>
        <w:rPr>
          <w:rFonts w:hint="eastAsia"/>
          <w:sz w:val="28"/>
          <w:szCs w:val="28"/>
          <w:lang w:eastAsia="zh-CN"/>
        </w:rPr>
        <w:t>，为普通债权。</w:t>
      </w:r>
    </w:p>
    <w:p>
      <w:pPr>
        <w:pStyle w:val="6"/>
        <w:tabs>
          <w:tab w:val="left" w:pos="896"/>
        </w:tabs>
        <w:snapToGrid w:val="0"/>
        <w:spacing w:before="1" w:line="348" w:lineRule="auto"/>
        <w:ind w:left="0" w:right="17" w:firstLine="562" w:firstLineChars="200"/>
        <w:rPr>
          <w:rFonts w:hint="eastAsia"/>
          <w:b/>
          <w:bCs/>
          <w:sz w:val="28"/>
          <w:szCs w:val="28"/>
          <w:lang w:eastAsia="zh-CN"/>
        </w:rPr>
      </w:pPr>
      <w:r>
        <w:rPr>
          <w:rFonts w:hint="eastAsia"/>
          <w:b/>
          <w:bCs/>
          <w:sz w:val="28"/>
          <w:szCs w:val="28"/>
        </w:rPr>
        <w:t>三、</w:t>
      </w:r>
      <w:r>
        <w:rPr>
          <w:rFonts w:hint="eastAsia"/>
          <w:b/>
          <w:bCs/>
          <w:sz w:val="28"/>
          <w:szCs w:val="28"/>
          <w:lang w:eastAsia="zh-CN"/>
        </w:rPr>
        <w:t>职工债权核查情况</w:t>
      </w:r>
    </w:p>
    <w:p>
      <w:pPr>
        <w:pStyle w:val="6"/>
        <w:tabs>
          <w:tab w:val="left" w:pos="896"/>
        </w:tabs>
        <w:snapToGrid w:val="0"/>
        <w:spacing w:before="1" w:line="348" w:lineRule="auto"/>
        <w:ind w:left="0" w:right="17" w:firstLine="560" w:firstLineChars="200"/>
        <w:rPr>
          <w:sz w:val="28"/>
          <w:szCs w:val="28"/>
        </w:rPr>
      </w:pPr>
      <w:r>
        <w:rPr>
          <w:sz w:val="28"/>
          <w:szCs w:val="28"/>
        </w:rPr>
        <w:t>经管理人调查，</w:t>
      </w:r>
      <w:r>
        <w:rPr>
          <w:rFonts w:hint="eastAsia"/>
          <w:sz w:val="28"/>
          <w:szCs w:val="28"/>
          <w:lang w:eastAsia="zh-CN"/>
        </w:rPr>
        <w:t>东圣公司尚欠曹丽玲工资</w:t>
      </w:r>
      <w:r>
        <w:rPr>
          <w:rFonts w:hint="eastAsia"/>
          <w:sz w:val="28"/>
          <w:szCs w:val="28"/>
          <w:lang w:val="en-US" w:eastAsia="zh-CN"/>
        </w:rPr>
        <w:t>7008.26元、林桂花工资5147元、李婷婷工资5972元，合计拖欠职工工资18127.26元。</w:t>
      </w:r>
      <w:r>
        <w:rPr>
          <w:rFonts w:hint="eastAsia"/>
          <w:sz w:val="28"/>
          <w:szCs w:val="28"/>
          <w:lang w:eastAsia="zh-CN"/>
        </w:rPr>
        <w:t>东圣公司</w:t>
      </w:r>
      <w:r>
        <w:rPr>
          <w:sz w:val="28"/>
          <w:szCs w:val="28"/>
        </w:rPr>
        <w:t>没有所欠的医疗、伤残补助、抚恤费用，没有所欠的应当划入职工个人账户的基本养老保险、基本医疗保险费用，以及没有所欠法院、行政法规规定应当支付给职工的补偿金。根据《中华人民共和国企业破产法》第四十八条的规定，管理人于202</w:t>
      </w:r>
      <w:r>
        <w:rPr>
          <w:rFonts w:hint="eastAsia"/>
          <w:sz w:val="28"/>
          <w:szCs w:val="28"/>
          <w:lang w:val="en-US"/>
        </w:rPr>
        <w:t>1</w:t>
      </w:r>
      <w:r>
        <w:rPr>
          <w:sz w:val="28"/>
          <w:szCs w:val="28"/>
        </w:rPr>
        <w:t>年</w:t>
      </w:r>
      <w:r>
        <w:rPr>
          <w:rFonts w:hint="eastAsia"/>
          <w:sz w:val="28"/>
          <w:szCs w:val="28"/>
          <w:lang w:val="en-US" w:eastAsia="zh-CN"/>
        </w:rPr>
        <w:t>12</w:t>
      </w:r>
      <w:r>
        <w:rPr>
          <w:sz w:val="28"/>
          <w:szCs w:val="28"/>
        </w:rPr>
        <w:t>月</w:t>
      </w:r>
      <w:r>
        <w:rPr>
          <w:rFonts w:hint="eastAsia"/>
          <w:sz w:val="28"/>
          <w:szCs w:val="28"/>
          <w:lang w:val="en-US" w:eastAsia="zh-CN"/>
        </w:rPr>
        <w:t>1</w:t>
      </w:r>
      <w:r>
        <w:rPr>
          <w:sz w:val="28"/>
          <w:szCs w:val="28"/>
        </w:rPr>
        <w:t>日对</w:t>
      </w:r>
      <w:r>
        <w:rPr>
          <w:rFonts w:hint="eastAsia"/>
          <w:sz w:val="28"/>
          <w:szCs w:val="28"/>
          <w:lang w:eastAsia="zh-CN"/>
        </w:rPr>
        <w:t>东圣公司破产案</w:t>
      </w:r>
      <w:r>
        <w:rPr>
          <w:sz w:val="28"/>
          <w:szCs w:val="28"/>
        </w:rPr>
        <w:t>职工债权</w:t>
      </w:r>
      <w:r>
        <w:rPr>
          <w:rFonts w:hint="eastAsia"/>
          <w:sz w:val="28"/>
          <w:szCs w:val="28"/>
          <w:lang w:eastAsia="zh-CN"/>
        </w:rPr>
        <w:t>清单</w:t>
      </w:r>
      <w:r>
        <w:rPr>
          <w:sz w:val="28"/>
          <w:szCs w:val="28"/>
        </w:rPr>
        <w:t>进行了公示。</w:t>
      </w:r>
    </w:p>
    <w:p>
      <w:pPr>
        <w:pStyle w:val="6"/>
        <w:numPr>
          <w:ilvl w:val="0"/>
          <w:numId w:val="0"/>
        </w:numPr>
        <w:tabs>
          <w:tab w:val="left" w:pos="896"/>
        </w:tabs>
        <w:snapToGrid w:val="0"/>
        <w:spacing w:before="1" w:line="348" w:lineRule="auto"/>
        <w:ind w:right="17" w:rightChars="0" w:firstLine="562" w:firstLineChars="200"/>
        <w:rPr>
          <w:rFonts w:hint="eastAsia"/>
          <w:b/>
          <w:bCs/>
          <w:sz w:val="28"/>
          <w:szCs w:val="28"/>
          <w:lang w:eastAsia="zh-CN"/>
        </w:rPr>
      </w:pPr>
      <w:r>
        <w:rPr>
          <w:rFonts w:hint="eastAsia"/>
          <w:b/>
          <w:bCs/>
          <w:sz w:val="28"/>
          <w:szCs w:val="28"/>
          <w:lang w:eastAsia="zh-CN"/>
        </w:rPr>
        <w:t>四、特别说明</w:t>
      </w:r>
    </w:p>
    <w:p>
      <w:pPr>
        <w:pStyle w:val="6"/>
        <w:numPr>
          <w:ilvl w:val="0"/>
          <w:numId w:val="0"/>
        </w:numPr>
        <w:tabs>
          <w:tab w:val="left" w:pos="896"/>
        </w:tabs>
        <w:snapToGrid w:val="0"/>
        <w:spacing w:before="1" w:line="348" w:lineRule="auto"/>
        <w:ind w:right="17" w:rightChars="0" w:firstLine="560" w:firstLineChars="200"/>
        <w:rPr>
          <w:rFonts w:hint="eastAsia"/>
          <w:sz w:val="28"/>
          <w:szCs w:val="28"/>
          <w:lang w:eastAsia="zh-CN"/>
        </w:rPr>
      </w:pPr>
      <w:r>
        <w:rPr>
          <w:rFonts w:hint="eastAsia"/>
          <w:sz w:val="28"/>
          <w:szCs w:val="28"/>
          <w:lang w:val="en-US" w:eastAsia="zh-CN"/>
        </w:rPr>
        <w:t>1、</w:t>
      </w:r>
      <w:r>
        <w:rPr>
          <w:rFonts w:hint="eastAsia"/>
          <w:sz w:val="28"/>
          <w:szCs w:val="28"/>
          <w:lang w:eastAsia="zh-CN"/>
        </w:rPr>
        <w:t>根据</w:t>
      </w:r>
      <w:r>
        <w:rPr>
          <w:sz w:val="28"/>
          <w:szCs w:val="28"/>
        </w:rPr>
        <w:t>《中华人民共和国企业破产法》</w:t>
      </w:r>
      <w:r>
        <w:rPr>
          <w:rFonts w:hint="eastAsia"/>
          <w:sz w:val="28"/>
          <w:szCs w:val="28"/>
          <w:lang w:eastAsia="zh-CN"/>
        </w:rPr>
        <w:t>第五十六条的规定，在人民法院确定的债权申报期限内，债权人未申报债权的，可以在破产财产最后分配前补充申报；但是，此前已进行的分配，不再对其补充分配。为审查和确认补充申报债权的费用，由补充申报人承担。债权人未依照本法规定申报债权的，不得依照本法规定的程序行使表决权。因此，最终参加破产财产分配的债权人及债权金额以人民法院裁定确定的债权表为准。</w:t>
      </w:r>
    </w:p>
    <w:p>
      <w:pPr>
        <w:pStyle w:val="6"/>
        <w:numPr>
          <w:ilvl w:val="0"/>
          <w:numId w:val="0"/>
        </w:numPr>
        <w:tabs>
          <w:tab w:val="left" w:pos="896"/>
        </w:tabs>
        <w:snapToGrid w:val="0"/>
        <w:spacing w:before="1" w:line="348" w:lineRule="auto"/>
        <w:ind w:right="17" w:rightChars="0" w:firstLine="560" w:firstLineChars="200"/>
        <w:rPr>
          <w:sz w:val="28"/>
          <w:szCs w:val="28"/>
        </w:rPr>
      </w:pPr>
      <w:r>
        <w:rPr>
          <w:rFonts w:hint="eastAsia"/>
          <w:sz w:val="28"/>
          <w:szCs w:val="28"/>
          <w:lang w:val="en-US" w:eastAsia="zh-CN"/>
        </w:rPr>
        <w:t>2</w:t>
      </w:r>
      <w:r>
        <w:rPr>
          <w:rFonts w:hint="eastAsia"/>
          <w:sz w:val="28"/>
          <w:szCs w:val="28"/>
          <w:lang w:eastAsia="zh-CN"/>
        </w:rPr>
        <w:t>、</w:t>
      </w:r>
      <w:r>
        <w:rPr>
          <w:sz w:val="28"/>
          <w:szCs w:val="28"/>
        </w:rPr>
        <w:t>债务人、债权人对债权表记载的债权有异议的，应当说明理由和法律依据。</w:t>
      </w:r>
      <w:r>
        <w:rPr>
          <w:rFonts w:hint="eastAsia"/>
          <w:sz w:val="28"/>
          <w:szCs w:val="28"/>
          <w:lang w:eastAsia="zh-CN"/>
        </w:rPr>
        <w:t>经管理人解释或调整后，异议人仍然不服的，或者管理人不予解释或调整的，异议人应当在</w:t>
      </w:r>
      <w:r>
        <w:rPr>
          <w:sz w:val="28"/>
          <w:szCs w:val="28"/>
        </w:rPr>
        <w:t>债权人会议</w:t>
      </w:r>
      <w:r>
        <w:rPr>
          <w:rFonts w:hint="eastAsia"/>
          <w:sz w:val="28"/>
          <w:szCs w:val="28"/>
          <w:lang w:eastAsia="zh-CN"/>
        </w:rPr>
        <w:t>核查</w:t>
      </w:r>
      <w:r>
        <w:rPr>
          <w:sz w:val="28"/>
          <w:szCs w:val="28"/>
        </w:rPr>
        <w:t>结束后十五日内向人民法院提起债权确认的诉讼。</w:t>
      </w:r>
    </w:p>
    <w:p>
      <w:pPr>
        <w:pStyle w:val="6"/>
        <w:numPr>
          <w:ilvl w:val="0"/>
          <w:numId w:val="0"/>
        </w:numPr>
        <w:tabs>
          <w:tab w:val="left" w:pos="896"/>
        </w:tabs>
        <w:snapToGrid w:val="0"/>
        <w:spacing w:before="1" w:line="348" w:lineRule="auto"/>
        <w:ind w:right="17" w:rightChars="0" w:firstLine="560" w:firstLineChars="200"/>
        <w:rPr>
          <w:sz w:val="28"/>
          <w:szCs w:val="28"/>
        </w:rPr>
      </w:pPr>
      <w:r>
        <w:rPr>
          <w:rFonts w:hint="eastAsia"/>
          <w:sz w:val="28"/>
          <w:szCs w:val="28"/>
          <w:lang w:eastAsia="zh-CN"/>
        </w:rPr>
        <w:t>现</w:t>
      </w:r>
      <w:r>
        <w:rPr>
          <w:sz w:val="28"/>
          <w:szCs w:val="28"/>
        </w:rPr>
        <w:t>依照《中华人民共和国企业破产法》第五十八条</w:t>
      </w:r>
      <w:r>
        <w:rPr>
          <w:rFonts w:hint="eastAsia"/>
          <w:sz w:val="28"/>
          <w:szCs w:val="28"/>
          <w:lang w:eastAsia="zh-CN"/>
        </w:rPr>
        <w:t>第一款</w:t>
      </w:r>
      <w:r>
        <w:rPr>
          <w:sz w:val="28"/>
          <w:szCs w:val="28"/>
        </w:rPr>
        <w:t>之规定，管理人将债权表提交第一次债权人会议核查。</w:t>
      </w:r>
    </w:p>
    <w:p>
      <w:pPr>
        <w:pStyle w:val="6"/>
        <w:tabs>
          <w:tab w:val="left" w:pos="896"/>
        </w:tabs>
        <w:snapToGrid w:val="0"/>
        <w:spacing w:before="1" w:line="348" w:lineRule="auto"/>
        <w:ind w:left="0" w:right="17" w:firstLine="560" w:firstLineChars="200"/>
        <w:rPr>
          <w:rFonts w:hint="eastAsia"/>
          <w:sz w:val="28"/>
          <w:szCs w:val="28"/>
        </w:rPr>
      </w:pPr>
      <w:r>
        <w:rPr>
          <w:sz w:val="28"/>
          <w:szCs w:val="28"/>
        </w:rPr>
        <w:t>特此报告。</w:t>
      </w:r>
    </w:p>
    <w:p>
      <w:pPr>
        <w:pStyle w:val="6"/>
        <w:tabs>
          <w:tab w:val="left" w:pos="896"/>
        </w:tabs>
        <w:snapToGrid w:val="0"/>
        <w:spacing w:before="1" w:line="348" w:lineRule="auto"/>
        <w:ind w:left="0" w:right="17" w:firstLine="560" w:firstLineChars="200"/>
        <w:jc w:val="right"/>
        <w:rPr>
          <w:sz w:val="28"/>
          <w:szCs w:val="28"/>
        </w:rPr>
      </w:pPr>
      <w:r>
        <w:rPr>
          <w:rFonts w:hint="eastAsia"/>
          <w:sz w:val="28"/>
          <w:szCs w:val="28"/>
          <w:lang w:eastAsia="zh-CN"/>
        </w:rPr>
        <w:t>龙岩市东圣贸易有限公司</w:t>
      </w:r>
      <w:r>
        <w:rPr>
          <w:sz w:val="28"/>
          <w:szCs w:val="28"/>
        </w:rPr>
        <w:t>管理人</w:t>
      </w:r>
    </w:p>
    <w:p>
      <w:pPr>
        <w:pStyle w:val="6"/>
        <w:tabs>
          <w:tab w:val="left" w:pos="896"/>
        </w:tabs>
        <w:snapToGrid w:val="0"/>
        <w:spacing w:before="1" w:line="348" w:lineRule="auto"/>
        <w:ind w:left="0" w:right="17" w:firstLine="560" w:firstLineChars="200"/>
        <w:jc w:val="right"/>
        <w:rPr>
          <w:rFonts w:hint="eastAsia" w:eastAsia="宋体"/>
          <w:sz w:val="28"/>
          <w:szCs w:val="28"/>
          <w:lang w:eastAsia="zh-CN"/>
        </w:rPr>
      </w:pPr>
      <w:r>
        <w:rPr>
          <w:sz w:val="28"/>
          <w:szCs w:val="28"/>
        </w:rPr>
        <w:t>二〇二</w:t>
      </w:r>
      <w:r>
        <w:rPr>
          <w:rFonts w:hint="eastAsia"/>
          <w:sz w:val="28"/>
          <w:szCs w:val="28"/>
        </w:rPr>
        <w:t>一</w:t>
      </w:r>
      <w:r>
        <w:rPr>
          <w:sz w:val="28"/>
          <w:szCs w:val="28"/>
        </w:rPr>
        <w:t>年</w:t>
      </w:r>
      <w:r>
        <w:rPr>
          <w:rFonts w:hint="eastAsia"/>
          <w:sz w:val="28"/>
          <w:szCs w:val="28"/>
          <w:lang w:eastAsia="zh-CN"/>
        </w:rPr>
        <w:t>十二月十日</w:t>
      </w:r>
    </w:p>
    <w:p>
      <w:pPr>
        <w:pStyle w:val="6"/>
        <w:tabs>
          <w:tab w:val="left" w:pos="896"/>
        </w:tabs>
        <w:snapToGrid w:val="0"/>
        <w:spacing w:before="1" w:line="348" w:lineRule="auto"/>
        <w:ind w:left="0" w:right="361" w:firstLine="560" w:firstLineChars="200"/>
        <w:jc w:val="both"/>
        <w:rPr>
          <w:sz w:val="28"/>
          <w:szCs w:val="28"/>
        </w:rPr>
      </w:pPr>
    </w:p>
    <w:p>
      <w:pPr>
        <w:pStyle w:val="6"/>
        <w:tabs>
          <w:tab w:val="left" w:pos="896"/>
        </w:tabs>
        <w:snapToGrid w:val="0"/>
        <w:spacing w:before="1" w:line="348" w:lineRule="auto"/>
        <w:ind w:left="0" w:right="361" w:firstLine="0"/>
        <w:jc w:val="both"/>
        <w:rPr>
          <w:sz w:val="28"/>
          <w:szCs w:val="28"/>
        </w:rPr>
      </w:pPr>
      <w:r>
        <w:rPr>
          <w:sz w:val="28"/>
          <w:szCs w:val="28"/>
        </w:rPr>
        <w:t>附：表一：</w:t>
      </w:r>
      <w:r>
        <w:rPr>
          <w:rFonts w:hint="eastAsia"/>
          <w:sz w:val="28"/>
          <w:szCs w:val="28"/>
          <w:lang w:eastAsia="zh-CN"/>
        </w:rPr>
        <w:t>龙岩市东圣贸易有限公司</w:t>
      </w:r>
      <w:r>
        <w:rPr>
          <w:sz w:val="28"/>
          <w:szCs w:val="28"/>
        </w:rPr>
        <w:t>债权</w:t>
      </w:r>
      <w:r>
        <w:rPr>
          <w:rFonts w:hint="eastAsia"/>
          <w:sz w:val="28"/>
          <w:szCs w:val="28"/>
          <w:lang w:eastAsia="zh-CN"/>
        </w:rPr>
        <w:t>总</w:t>
      </w:r>
      <w:r>
        <w:rPr>
          <w:sz w:val="28"/>
          <w:szCs w:val="28"/>
        </w:rPr>
        <w:t xml:space="preserve">表； </w:t>
      </w:r>
    </w:p>
    <w:p>
      <w:pPr>
        <w:tabs>
          <w:tab w:val="left" w:pos="896"/>
        </w:tabs>
        <w:snapToGrid w:val="0"/>
        <w:spacing w:before="1" w:line="360" w:lineRule="auto"/>
        <w:ind w:right="361" w:firstLine="518" w:firstLineChars="185"/>
        <w:jc w:val="both"/>
        <w:rPr>
          <w:sz w:val="28"/>
          <w:szCs w:val="28"/>
        </w:rPr>
      </w:pPr>
      <w:r>
        <w:rPr>
          <w:rFonts w:hint="eastAsia"/>
          <w:sz w:val="28"/>
          <w:szCs w:val="28"/>
        </w:rPr>
        <w:t>附</w:t>
      </w:r>
      <w:r>
        <w:rPr>
          <w:rFonts w:hint="eastAsia"/>
          <w:sz w:val="28"/>
          <w:szCs w:val="28"/>
          <w:lang w:eastAsia="zh-CN"/>
        </w:rPr>
        <w:t>二</w:t>
      </w:r>
      <w:r>
        <w:rPr>
          <w:rFonts w:hint="eastAsia"/>
          <w:sz w:val="28"/>
          <w:szCs w:val="28"/>
        </w:rPr>
        <w:t>、</w:t>
      </w:r>
      <w:r>
        <w:rPr>
          <w:rFonts w:hint="eastAsia"/>
          <w:sz w:val="28"/>
          <w:szCs w:val="28"/>
          <w:lang w:eastAsia="zh-CN"/>
        </w:rPr>
        <w:t>龙岩市东圣贸易有限公司</w:t>
      </w:r>
      <w:r>
        <w:rPr>
          <w:sz w:val="28"/>
          <w:szCs w:val="28"/>
        </w:rPr>
        <w:t>职工债权公示。</w:t>
      </w:r>
    </w:p>
    <w:p>
      <w:pPr>
        <w:tabs>
          <w:tab w:val="left" w:pos="896"/>
        </w:tabs>
        <w:snapToGrid w:val="0"/>
        <w:spacing w:before="1" w:line="360" w:lineRule="auto"/>
        <w:ind w:right="361" w:firstLine="518" w:firstLineChars="185"/>
        <w:jc w:val="both"/>
        <w:rPr>
          <w:sz w:val="28"/>
          <w:szCs w:val="28"/>
        </w:rPr>
      </w:pPr>
    </w:p>
    <w:p>
      <w:pPr>
        <w:tabs>
          <w:tab w:val="left" w:pos="896"/>
        </w:tabs>
        <w:snapToGrid w:val="0"/>
        <w:spacing w:before="1" w:line="360" w:lineRule="auto"/>
        <w:ind w:right="361" w:firstLine="518" w:firstLineChars="185"/>
        <w:jc w:val="both"/>
        <w:rPr>
          <w:sz w:val="28"/>
          <w:szCs w:val="28"/>
        </w:rPr>
      </w:pPr>
    </w:p>
    <w:p>
      <w:pPr>
        <w:pStyle w:val="6"/>
        <w:tabs>
          <w:tab w:val="left" w:pos="896"/>
        </w:tabs>
        <w:snapToGrid w:val="0"/>
        <w:spacing w:before="1" w:line="348" w:lineRule="auto"/>
        <w:ind w:left="0" w:right="17" w:firstLine="560" w:firstLineChars="200"/>
        <w:jc w:val="right"/>
        <w:rPr>
          <w:rFonts w:hint="eastAsia" w:eastAsia="宋体"/>
          <w:sz w:val="28"/>
          <w:szCs w:val="28"/>
          <w:lang w:eastAsia="zh-CN"/>
        </w:rPr>
      </w:pPr>
    </w:p>
    <w:p>
      <w:pPr>
        <w:jc w:val="center"/>
        <w:rPr>
          <w:b/>
          <w:bCs/>
          <w:sz w:val="36"/>
          <w:szCs w:val="36"/>
        </w:rPr>
      </w:pPr>
      <w:r>
        <w:rPr>
          <w:rFonts w:hint="eastAsia"/>
          <w:b/>
          <w:bCs/>
          <w:sz w:val="36"/>
          <w:szCs w:val="36"/>
          <w:lang w:eastAsia="zh-CN"/>
        </w:rPr>
        <w:t>龙岩市东圣贸易</w:t>
      </w:r>
      <w:r>
        <w:rPr>
          <w:rFonts w:hint="eastAsia"/>
          <w:b/>
          <w:bCs/>
          <w:sz w:val="36"/>
          <w:szCs w:val="36"/>
        </w:rPr>
        <w:t>有限公司债权</w:t>
      </w:r>
      <w:r>
        <w:rPr>
          <w:rFonts w:hint="eastAsia"/>
          <w:b/>
          <w:bCs/>
          <w:sz w:val="36"/>
          <w:szCs w:val="36"/>
          <w:lang w:eastAsia="zh-CN"/>
        </w:rPr>
        <w:t>总</w:t>
      </w:r>
      <w:r>
        <w:rPr>
          <w:rFonts w:hint="eastAsia"/>
          <w:b/>
          <w:bCs/>
          <w:sz w:val="36"/>
          <w:szCs w:val="36"/>
        </w:rPr>
        <w:t>表</w:t>
      </w:r>
    </w:p>
    <w:p>
      <w:pPr>
        <w:jc w:val="right"/>
        <w:rPr>
          <w:rFonts w:hint="eastAsia"/>
        </w:rPr>
      </w:pPr>
      <w:r>
        <w:rPr>
          <w:rFonts w:hint="eastAsia"/>
        </w:rPr>
        <w:t xml:space="preserve"> </w:t>
      </w:r>
      <w:r>
        <w:t xml:space="preserve">              </w:t>
      </w:r>
      <w:r>
        <w:rPr>
          <w:rFonts w:hint="eastAsia"/>
        </w:rPr>
        <w:t>单位：元</w:t>
      </w:r>
    </w:p>
    <w:tbl>
      <w:tblPr>
        <w:tblStyle w:val="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1"/>
        <w:gridCol w:w="1202"/>
        <w:gridCol w:w="720"/>
        <w:gridCol w:w="1260"/>
        <w:gridCol w:w="696"/>
        <w:gridCol w:w="1236"/>
        <w:gridCol w:w="1188"/>
        <w:gridCol w:w="468"/>
        <w:gridCol w:w="1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11" w:type="dxa"/>
            <w:vMerge w:val="restart"/>
          </w:tcPr>
          <w:p>
            <w:pPr>
              <w:jc w:val="center"/>
              <w:rPr>
                <w:rFonts w:hint="eastAsia"/>
                <w:sz w:val="24"/>
                <w:szCs w:val="24"/>
              </w:rPr>
            </w:pPr>
            <w:r>
              <w:rPr>
                <w:rFonts w:hint="eastAsia"/>
                <w:sz w:val="24"/>
                <w:szCs w:val="24"/>
              </w:rPr>
              <w:t>序号</w:t>
            </w:r>
          </w:p>
        </w:tc>
        <w:tc>
          <w:tcPr>
            <w:tcW w:w="1202" w:type="dxa"/>
            <w:vMerge w:val="restart"/>
          </w:tcPr>
          <w:p>
            <w:pPr>
              <w:jc w:val="center"/>
              <w:rPr>
                <w:sz w:val="24"/>
                <w:szCs w:val="24"/>
              </w:rPr>
            </w:pPr>
            <w:r>
              <w:rPr>
                <w:rFonts w:hint="eastAsia"/>
                <w:sz w:val="24"/>
                <w:szCs w:val="24"/>
              </w:rPr>
              <w:t>债权人名称或</w:t>
            </w:r>
          </w:p>
          <w:p>
            <w:pPr>
              <w:jc w:val="center"/>
              <w:rPr>
                <w:rFonts w:hint="eastAsia"/>
                <w:sz w:val="24"/>
                <w:szCs w:val="24"/>
              </w:rPr>
            </w:pPr>
            <w:r>
              <w:rPr>
                <w:rFonts w:hint="eastAsia"/>
                <w:sz w:val="24"/>
                <w:szCs w:val="24"/>
              </w:rPr>
              <w:t>姓名</w:t>
            </w:r>
          </w:p>
        </w:tc>
        <w:tc>
          <w:tcPr>
            <w:tcW w:w="720" w:type="dxa"/>
            <w:vMerge w:val="restart"/>
          </w:tcPr>
          <w:p>
            <w:pPr>
              <w:jc w:val="center"/>
              <w:rPr>
                <w:rFonts w:hint="eastAsia"/>
                <w:sz w:val="24"/>
                <w:szCs w:val="24"/>
              </w:rPr>
            </w:pPr>
            <w:r>
              <w:rPr>
                <w:rFonts w:hint="eastAsia"/>
                <w:sz w:val="24"/>
                <w:szCs w:val="24"/>
              </w:rPr>
              <w:t>债权性质</w:t>
            </w:r>
          </w:p>
        </w:tc>
        <w:tc>
          <w:tcPr>
            <w:tcW w:w="3192" w:type="dxa"/>
            <w:gridSpan w:val="3"/>
          </w:tcPr>
          <w:p>
            <w:pPr>
              <w:jc w:val="center"/>
              <w:rPr>
                <w:rFonts w:hint="eastAsia"/>
                <w:sz w:val="24"/>
                <w:szCs w:val="24"/>
              </w:rPr>
            </w:pPr>
            <w:r>
              <w:rPr>
                <w:rFonts w:hint="eastAsia"/>
                <w:sz w:val="24"/>
                <w:szCs w:val="24"/>
              </w:rPr>
              <w:t>申报金额</w:t>
            </w:r>
          </w:p>
        </w:tc>
        <w:tc>
          <w:tcPr>
            <w:tcW w:w="2940" w:type="dxa"/>
            <w:gridSpan w:val="3"/>
          </w:tcPr>
          <w:p>
            <w:pPr>
              <w:jc w:val="center"/>
              <w:rPr>
                <w:rFonts w:hint="eastAsia"/>
                <w:sz w:val="24"/>
                <w:szCs w:val="24"/>
              </w:rPr>
            </w:pPr>
            <w:r>
              <w:rPr>
                <w:rFonts w:hint="eastAsia"/>
                <w:sz w:val="24"/>
                <w:szCs w:val="24"/>
              </w:rPr>
              <w:t>审查确认金额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 w:hRule="atLeast"/>
        </w:trPr>
        <w:tc>
          <w:tcPr>
            <w:tcW w:w="511" w:type="dxa"/>
            <w:vMerge w:val="continue"/>
          </w:tcPr>
          <w:p>
            <w:pPr>
              <w:jc w:val="center"/>
              <w:rPr>
                <w:rFonts w:hint="eastAsia"/>
                <w:sz w:val="24"/>
                <w:szCs w:val="24"/>
              </w:rPr>
            </w:pPr>
          </w:p>
        </w:tc>
        <w:tc>
          <w:tcPr>
            <w:tcW w:w="1202" w:type="dxa"/>
            <w:vMerge w:val="continue"/>
          </w:tcPr>
          <w:p>
            <w:pPr>
              <w:jc w:val="center"/>
              <w:rPr>
                <w:rFonts w:hint="eastAsia"/>
                <w:sz w:val="24"/>
                <w:szCs w:val="24"/>
              </w:rPr>
            </w:pPr>
          </w:p>
        </w:tc>
        <w:tc>
          <w:tcPr>
            <w:tcW w:w="720" w:type="dxa"/>
            <w:vMerge w:val="continue"/>
          </w:tcPr>
          <w:p>
            <w:pPr>
              <w:jc w:val="center"/>
              <w:rPr>
                <w:rFonts w:hint="eastAsia"/>
                <w:sz w:val="24"/>
                <w:szCs w:val="24"/>
              </w:rPr>
            </w:pPr>
          </w:p>
        </w:tc>
        <w:tc>
          <w:tcPr>
            <w:tcW w:w="1260" w:type="dxa"/>
          </w:tcPr>
          <w:p>
            <w:pPr>
              <w:jc w:val="center"/>
              <w:rPr>
                <w:rFonts w:hint="eastAsia"/>
                <w:sz w:val="24"/>
                <w:szCs w:val="24"/>
              </w:rPr>
            </w:pPr>
            <w:r>
              <w:rPr>
                <w:rFonts w:hint="eastAsia"/>
                <w:sz w:val="24"/>
                <w:szCs w:val="24"/>
              </w:rPr>
              <w:t>本金</w:t>
            </w:r>
          </w:p>
        </w:tc>
        <w:tc>
          <w:tcPr>
            <w:tcW w:w="696" w:type="dxa"/>
          </w:tcPr>
          <w:p>
            <w:pPr>
              <w:jc w:val="center"/>
              <w:rPr>
                <w:rFonts w:hint="eastAsia"/>
                <w:sz w:val="24"/>
                <w:szCs w:val="24"/>
              </w:rPr>
            </w:pPr>
            <w:r>
              <w:rPr>
                <w:rFonts w:hint="eastAsia"/>
                <w:sz w:val="24"/>
                <w:szCs w:val="24"/>
              </w:rPr>
              <w:t>利息</w:t>
            </w:r>
          </w:p>
        </w:tc>
        <w:tc>
          <w:tcPr>
            <w:tcW w:w="1236" w:type="dxa"/>
          </w:tcPr>
          <w:p>
            <w:pPr>
              <w:jc w:val="center"/>
              <w:rPr>
                <w:rFonts w:hint="eastAsia"/>
                <w:sz w:val="24"/>
                <w:szCs w:val="24"/>
              </w:rPr>
            </w:pPr>
            <w:r>
              <w:rPr>
                <w:rFonts w:hint="eastAsia"/>
                <w:sz w:val="24"/>
                <w:szCs w:val="24"/>
              </w:rPr>
              <w:t>合计</w:t>
            </w:r>
          </w:p>
        </w:tc>
        <w:tc>
          <w:tcPr>
            <w:tcW w:w="1188" w:type="dxa"/>
          </w:tcPr>
          <w:p>
            <w:pPr>
              <w:jc w:val="center"/>
              <w:rPr>
                <w:rFonts w:hint="eastAsia"/>
                <w:sz w:val="24"/>
                <w:szCs w:val="24"/>
              </w:rPr>
            </w:pPr>
            <w:r>
              <w:rPr>
                <w:rFonts w:hint="eastAsia"/>
                <w:sz w:val="24"/>
                <w:szCs w:val="24"/>
              </w:rPr>
              <w:t>本金</w:t>
            </w:r>
          </w:p>
        </w:tc>
        <w:tc>
          <w:tcPr>
            <w:tcW w:w="468" w:type="dxa"/>
          </w:tcPr>
          <w:p>
            <w:pPr>
              <w:jc w:val="center"/>
              <w:rPr>
                <w:rFonts w:hint="eastAsia"/>
                <w:sz w:val="24"/>
                <w:szCs w:val="24"/>
              </w:rPr>
            </w:pPr>
            <w:r>
              <w:rPr>
                <w:rFonts w:hint="eastAsia"/>
                <w:sz w:val="24"/>
                <w:szCs w:val="24"/>
              </w:rPr>
              <w:t>利息</w:t>
            </w:r>
          </w:p>
        </w:tc>
        <w:tc>
          <w:tcPr>
            <w:tcW w:w="1284" w:type="dxa"/>
          </w:tcPr>
          <w:p>
            <w:pPr>
              <w:jc w:val="center"/>
              <w:rPr>
                <w:rFonts w:hint="eastAsia"/>
                <w:sz w:val="24"/>
                <w:szCs w:val="24"/>
              </w:rPr>
            </w:pPr>
            <w:r>
              <w:rPr>
                <w:rFonts w:hint="eastAsia"/>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5" w:hRule="atLeast"/>
        </w:trPr>
        <w:tc>
          <w:tcPr>
            <w:tcW w:w="511" w:type="dxa"/>
          </w:tcPr>
          <w:p>
            <w:pPr>
              <w:jc w:val="center"/>
              <w:rPr>
                <w:rFonts w:hint="eastAsia"/>
                <w:sz w:val="24"/>
                <w:szCs w:val="24"/>
              </w:rPr>
            </w:pPr>
            <w:r>
              <w:rPr>
                <w:rFonts w:hint="eastAsia"/>
                <w:sz w:val="24"/>
                <w:szCs w:val="24"/>
              </w:rPr>
              <w:t>1</w:t>
            </w:r>
          </w:p>
        </w:tc>
        <w:tc>
          <w:tcPr>
            <w:tcW w:w="1202" w:type="dxa"/>
          </w:tcPr>
          <w:p>
            <w:pPr>
              <w:jc w:val="center"/>
              <w:rPr>
                <w:rFonts w:hint="eastAsia" w:eastAsiaTheme="minorEastAsia"/>
                <w:sz w:val="24"/>
                <w:szCs w:val="24"/>
                <w:lang w:eastAsia="zh-CN"/>
              </w:rPr>
            </w:pPr>
            <w:r>
              <w:rPr>
                <w:rFonts w:hint="eastAsia"/>
                <w:sz w:val="24"/>
                <w:szCs w:val="24"/>
                <w:lang w:eastAsia="zh-CN"/>
              </w:rPr>
              <w:t>龙岩市新罗区人民法院</w:t>
            </w:r>
          </w:p>
        </w:tc>
        <w:tc>
          <w:tcPr>
            <w:tcW w:w="720" w:type="dxa"/>
          </w:tcPr>
          <w:p>
            <w:pPr>
              <w:jc w:val="center"/>
              <w:rPr>
                <w:rFonts w:hint="eastAsia"/>
                <w:sz w:val="24"/>
                <w:szCs w:val="24"/>
              </w:rPr>
            </w:pPr>
            <w:r>
              <w:rPr>
                <w:rFonts w:hint="eastAsia"/>
                <w:sz w:val="24"/>
                <w:szCs w:val="24"/>
                <w:lang w:eastAsia="zh-CN"/>
              </w:rPr>
              <w:t>普通债权</w:t>
            </w:r>
          </w:p>
        </w:tc>
        <w:tc>
          <w:tcPr>
            <w:tcW w:w="1260" w:type="dxa"/>
          </w:tcPr>
          <w:p>
            <w:pPr>
              <w:jc w:val="center"/>
              <w:rPr>
                <w:rFonts w:hint="default" w:eastAsiaTheme="minorEastAsia"/>
                <w:sz w:val="24"/>
                <w:szCs w:val="24"/>
                <w:lang w:val="en-US" w:eastAsia="zh-CN"/>
              </w:rPr>
            </w:pPr>
            <w:r>
              <w:rPr>
                <w:rFonts w:hint="eastAsia"/>
                <w:sz w:val="24"/>
                <w:szCs w:val="24"/>
                <w:lang w:val="en-US" w:eastAsia="zh-CN"/>
              </w:rPr>
              <w:t>342.00</w:t>
            </w:r>
          </w:p>
        </w:tc>
        <w:tc>
          <w:tcPr>
            <w:tcW w:w="696"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36" w:type="dxa"/>
          </w:tcPr>
          <w:p>
            <w:pPr>
              <w:jc w:val="center"/>
              <w:rPr>
                <w:rFonts w:hint="default" w:eastAsiaTheme="minorEastAsia"/>
                <w:sz w:val="24"/>
                <w:szCs w:val="24"/>
                <w:lang w:val="en-US" w:eastAsia="zh-CN"/>
              </w:rPr>
            </w:pPr>
            <w:r>
              <w:rPr>
                <w:rFonts w:hint="eastAsia"/>
                <w:sz w:val="24"/>
                <w:szCs w:val="24"/>
                <w:lang w:val="en-US" w:eastAsia="zh-CN"/>
              </w:rPr>
              <w:t>342.00</w:t>
            </w:r>
          </w:p>
        </w:tc>
        <w:tc>
          <w:tcPr>
            <w:tcW w:w="1188" w:type="dxa"/>
          </w:tcPr>
          <w:p>
            <w:pPr>
              <w:jc w:val="center"/>
              <w:rPr>
                <w:rFonts w:hint="default" w:eastAsiaTheme="minorEastAsia"/>
                <w:sz w:val="24"/>
                <w:szCs w:val="24"/>
                <w:lang w:val="en-US" w:eastAsia="zh-CN"/>
              </w:rPr>
            </w:pPr>
            <w:r>
              <w:rPr>
                <w:rFonts w:hint="eastAsia"/>
                <w:sz w:val="24"/>
                <w:szCs w:val="24"/>
                <w:lang w:val="en-US" w:eastAsia="zh-CN"/>
              </w:rPr>
              <w:t>342.00</w:t>
            </w:r>
          </w:p>
        </w:tc>
        <w:tc>
          <w:tcPr>
            <w:tcW w:w="468"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84" w:type="dxa"/>
          </w:tcPr>
          <w:p>
            <w:pPr>
              <w:jc w:val="center"/>
              <w:rPr>
                <w:rFonts w:hint="default" w:eastAsiaTheme="minorEastAsia"/>
                <w:sz w:val="24"/>
                <w:szCs w:val="24"/>
                <w:lang w:val="en-US" w:eastAsia="zh-CN"/>
              </w:rPr>
            </w:pPr>
            <w:r>
              <w:rPr>
                <w:rFonts w:hint="eastAsia"/>
                <w:sz w:val="24"/>
                <w:szCs w:val="24"/>
                <w:lang w:val="en-US" w:eastAsia="zh-CN"/>
              </w:rPr>
              <w:t>342.00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3" w:hRule="atLeast"/>
        </w:trPr>
        <w:tc>
          <w:tcPr>
            <w:tcW w:w="511" w:type="dxa"/>
          </w:tcPr>
          <w:p>
            <w:pPr>
              <w:jc w:val="center"/>
              <w:rPr>
                <w:rFonts w:hint="eastAsia"/>
                <w:sz w:val="24"/>
                <w:szCs w:val="24"/>
              </w:rPr>
            </w:pPr>
            <w:r>
              <w:rPr>
                <w:rFonts w:hint="eastAsia"/>
                <w:sz w:val="24"/>
                <w:szCs w:val="24"/>
              </w:rPr>
              <w:t>2</w:t>
            </w:r>
          </w:p>
        </w:tc>
        <w:tc>
          <w:tcPr>
            <w:tcW w:w="1202" w:type="dxa"/>
          </w:tcPr>
          <w:p>
            <w:pPr>
              <w:jc w:val="center"/>
              <w:rPr>
                <w:rFonts w:hint="eastAsia" w:eastAsiaTheme="minorEastAsia"/>
                <w:sz w:val="24"/>
                <w:szCs w:val="24"/>
                <w:lang w:eastAsia="zh-CN"/>
              </w:rPr>
            </w:pPr>
            <w:r>
              <w:rPr>
                <w:rFonts w:hint="eastAsia"/>
                <w:sz w:val="24"/>
                <w:szCs w:val="24"/>
                <w:lang w:eastAsia="zh-CN"/>
              </w:rPr>
              <w:t>龙岩市新罗区人力资源和社会保障局</w:t>
            </w:r>
          </w:p>
        </w:tc>
        <w:tc>
          <w:tcPr>
            <w:tcW w:w="720" w:type="dxa"/>
          </w:tcPr>
          <w:p>
            <w:pPr>
              <w:jc w:val="center"/>
              <w:rPr>
                <w:rFonts w:hint="eastAsia" w:eastAsiaTheme="minorEastAsia"/>
                <w:sz w:val="24"/>
                <w:szCs w:val="24"/>
                <w:lang w:eastAsia="zh-CN"/>
              </w:rPr>
            </w:pPr>
            <w:r>
              <w:rPr>
                <w:rFonts w:hint="eastAsia"/>
                <w:sz w:val="24"/>
                <w:szCs w:val="24"/>
                <w:lang w:eastAsia="zh-CN"/>
              </w:rPr>
              <w:t>劣后债权</w:t>
            </w:r>
          </w:p>
        </w:tc>
        <w:tc>
          <w:tcPr>
            <w:tcW w:w="1260" w:type="dxa"/>
          </w:tcPr>
          <w:p>
            <w:pPr>
              <w:jc w:val="center"/>
              <w:rPr>
                <w:rFonts w:hint="default" w:eastAsiaTheme="minorEastAsia"/>
                <w:sz w:val="24"/>
                <w:szCs w:val="24"/>
                <w:lang w:val="en-US" w:eastAsia="zh-CN"/>
              </w:rPr>
            </w:pPr>
            <w:r>
              <w:rPr>
                <w:rFonts w:hint="eastAsia"/>
                <w:sz w:val="24"/>
                <w:szCs w:val="24"/>
                <w:lang w:val="en-US" w:eastAsia="zh-CN"/>
              </w:rPr>
              <w:t>36000.00</w:t>
            </w:r>
          </w:p>
        </w:tc>
        <w:tc>
          <w:tcPr>
            <w:tcW w:w="696"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36" w:type="dxa"/>
          </w:tcPr>
          <w:p>
            <w:pPr>
              <w:jc w:val="center"/>
              <w:rPr>
                <w:rFonts w:hint="default" w:eastAsiaTheme="minorEastAsia"/>
                <w:sz w:val="24"/>
                <w:szCs w:val="24"/>
                <w:lang w:val="en-US" w:eastAsia="zh-CN"/>
              </w:rPr>
            </w:pPr>
            <w:r>
              <w:rPr>
                <w:rFonts w:hint="eastAsia"/>
                <w:sz w:val="24"/>
                <w:szCs w:val="24"/>
                <w:lang w:val="en-US" w:eastAsia="zh-CN"/>
              </w:rPr>
              <w:t>36000.00</w:t>
            </w:r>
          </w:p>
        </w:tc>
        <w:tc>
          <w:tcPr>
            <w:tcW w:w="1188" w:type="dxa"/>
          </w:tcPr>
          <w:p>
            <w:pPr>
              <w:jc w:val="center"/>
              <w:rPr>
                <w:rFonts w:hint="default" w:eastAsiaTheme="minorEastAsia"/>
                <w:sz w:val="24"/>
                <w:szCs w:val="24"/>
                <w:lang w:val="en-US" w:eastAsia="zh-CN"/>
              </w:rPr>
            </w:pPr>
            <w:r>
              <w:rPr>
                <w:rFonts w:hint="eastAsia"/>
                <w:sz w:val="24"/>
                <w:szCs w:val="24"/>
                <w:lang w:val="en-US" w:eastAsia="zh-CN"/>
              </w:rPr>
              <w:t>36000.00</w:t>
            </w:r>
          </w:p>
        </w:tc>
        <w:tc>
          <w:tcPr>
            <w:tcW w:w="468"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84" w:type="dxa"/>
          </w:tcPr>
          <w:p>
            <w:pPr>
              <w:jc w:val="center"/>
              <w:rPr>
                <w:rFonts w:hint="default" w:eastAsiaTheme="minorEastAsia"/>
                <w:sz w:val="24"/>
                <w:szCs w:val="24"/>
                <w:lang w:val="en-US" w:eastAsia="zh-CN"/>
              </w:rPr>
            </w:pPr>
            <w:r>
              <w:rPr>
                <w:rFonts w:hint="eastAsia"/>
                <w:sz w:val="24"/>
                <w:szCs w:val="24"/>
                <w:lang w:val="en-US" w:eastAsia="zh-CN"/>
              </w:rPr>
              <w:t>36000.00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511" w:type="dxa"/>
          </w:tcPr>
          <w:p>
            <w:pPr>
              <w:jc w:val="center"/>
              <w:rPr>
                <w:rFonts w:hint="eastAsia"/>
                <w:sz w:val="24"/>
                <w:szCs w:val="24"/>
              </w:rPr>
            </w:pPr>
            <w:r>
              <w:rPr>
                <w:rFonts w:hint="eastAsia"/>
                <w:sz w:val="24"/>
                <w:szCs w:val="24"/>
              </w:rPr>
              <w:t>3</w:t>
            </w:r>
          </w:p>
        </w:tc>
        <w:tc>
          <w:tcPr>
            <w:tcW w:w="1202" w:type="dxa"/>
          </w:tcPr>
          <w:p>
            <w:pPr>
              <w:jc w:val="center"/>
              <w:rPr>
                <w:rFonts w:hint="eastAsia" w:eastAsiaTheme="minorEastAsia"/>
                <w:sz w:val="24"/>
                <w:szCs w:val="24"/>
                <w:lang w:eastAsia="zh-CN"/>
              </w:rPr>
            </w:pPr>
            <w:r>
              <w:rPr>
                <w:rFonts w:hint="eastAsia"/>
                <w:sz w:val="24"/>
                <w:szCs w:val="24"/>
                <w:lang w:eastAsia="zh-CN"/>
              </w:rPr>
              <w:t>曹丽玲</w:t>
            </w:r>
          </w:p>
        </w:tc>
        <w:tc>
          <w:tcPr>
            <w:tcW w:w="720" w:type="dxa"/>
          </w:tcPr>
          <w:p>
            <w:pPr>
              <w:jc w:val="center"/>
              <w:rPr>
                <w:rFonts w:hint="eastAsia" w:eastAsiaTheme="minorEastAsia"/>
                <w:sz w:val="24"/>
                <w:szCs w:val="24"/>
                <w:lang w:eastAsia="zh-CN"/>
              </w:rPr>
            </w:pPr>
            <w:r>
              <w:rPr>
                <w:rFonts w:hint="eastAsia"/>
                <w:sz w:val="24"/>
                <w:szCs w:val="24"/>
                <w:lang w:eastAsia="zh-CN"/>
              </w:rPr>
              <w:t>职工债权</w:t>
            </w:r>
          </w:p>
        </w:tc>
        <w:tc>
          <w:tcPr>
            <w:tcW w:w="1260" w:type="dxa"/>
          </w:tcPr>
          <w:p>
            <w:pPr>
              <w:jc w:val="center"/>
              <w:rPr>
                <w:rFonts w:hint="default" w:eastAsiaTheme="minorEastAsia"/>
                <w:sz w:val="24"/>
                <w:szCs w:val="24"/>
                <w:lang w:val="en-US" w:eastAsia="zh-CN"/>
              </w:rPr>
            </w:pPr>
            <w:r>
              <w:rPr>
                <w:rFonts w:hint="eastAsia"/>
                <w:sz w:val="24"/>
                <w:szCs w:val="24"/>
                <w:lang w:val="en-US" w:eastAsia="zh-CN"/>
              </w:rPr>
              <w:t>7008.26</w:t>
            </w:r>
          </w:p>
        </w:tc>
        <w:tc>
          <w:tcPr>
            <w:tcW w:w="696"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36" w:type="dxa"/>
          </w:tcPr>
          <w:p>
            <w:pPr>
              <w:jc w:val="center"/>
              <w:rPr>
                <w:rFonts w:hint="default" w:eastAsiaTheme="minorEastAsia"/>
                <w:sz w:val="24"/>
                <w:szCs w:val="24"/>
                <w:lang w:val="en-US" w:eastAsia="zh-CN"/>
              </w:rPr>
            </w:pPr>
            <w:r>
              <w:rPr>
                <w:rFonts w:hint="eastAsia"/>
                <w:sz w:val="24"/>
                <w:szCs w:val="24"/>
                <w:lang w:val="en-US" w:eastAsia="zh-CN"/>
              </w:rPr>
              <w:t>7008.26</w:t>
            </w:r>
          </w:p>
        </w:tc>
        <w:tc>
          <w:tcPr>
            <w:tcW w:w="1188" w:type="dxa"/>
          </w:tcPr>
          <w:p>
            <w:pPr>
              <w:jc w:val="center"/>
              <w:rPr>
                <w:rFonts w:hint="default" w:eastAsiaTheme="minorEastAsia"/>
                <w:sz w:val="24"/>
                <w:szCs w:val="24"/>
                <w:lang w:val="en-US" w:eastAsia="zh-CN"/>
              </w:rPr>
            </w:pPr>
            <w:r>
              <w:rPr>
                <w:rFonts w:hint="eastAsia"/>
                <w:sz w:val="24"/>
                <w:szCs w:val="24"/>
                <w:lang w:val="en-US" w:eastAsia="zh-CN"/>
              </w:rPr>
              <w:t>7008.26</w:t>
            </w:r>
          </w:p>
        </w:tc>
        <w:tc>
          <w:tcPr>
            <w:tcW w:w="468"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84" w:type="dxa"/>
          </w:tcPr>
          <w:p>
            <w:pPr>
              <w:jc w:val="center"/>
              <w:rPr>
                <w:rFonts w:hint="default" w:eastAsiaTheme="minorEastAsia"/>
                <w:sz w:val="24"/>
                <w:szCs w:val="24"/>
                <w:lang w:val="en-US" w:eastAsia="zh-CN"/>
              </w:rPr>
            </w:pPr>
            <w:r>
              <w:rPr>
                <w:rFonts w:hint="eastAsia"/>
                <w:sz w:val="24"/>
                <w:szCs w:val="24"/>
                <w:lang w:val="en-US" w:eastAsia="zh-CN"/>
              </w:rPr>
              <w:t>7008.26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8" w:hRule="atLeast"/>
        </w:trPr>
        <w:tc>
          <w:tcPr>
            <w:tcW w:w="511" w:type="dxa"/>
          </w:tcPr>
          <w:p>
            <w:pPr>
              <w:jc w:val="center"/>
              <w:rPr>
                <w:rFonts w:hint="default" w:eastAsiaTheme="minorEastAsia"/>
                <w:sz w:val="24"/>
                <w:szCs w:val="24"/>
                <w:lang w:val="en-US" w:eastAsia="zh-CN"/>
              </w:rPr>
            </w:pPr>
            <w:r>
              <w:rPr>
                <w:rFonts w:hint="eastAsia"/>
                <w:sz w:val="24"/>
                <w:szCs w:val="24"/>
                <w:lang w:val="en-US" w:eastAsia="zh-CN"/>
              </w:rPr>
              <w:t>4</w:t>
            </w:r>
          </w:p>
        </w:tc>
        <w:tc>
          <w:tcPr>
            <w:tcW w:w="1202" w:type="dxa"/>
          </w:tcPr>
          <w:p>
            <w:pPr>
              <w:jc w:val="center"/>
              <w:rPr>
                <w:rFonts w:hint="eastAsia" w:eastAsiaTheme="minorEastAsia"/>
                <w:sz w:val="24"/>
                <w:szCs w:val="24"/>
                <w:lang w:eastAsia="zh-CN"/>
              </w:rPr>
            </w:pPr>
            <w:r>
              <w:rPr>
                <w:rFonts w:hint="eastAsia"/>
                <w:sz w:val="24"/>
                <w:szCs w:val="24"/>
                <w:lang w:eastAsia="zh-CN"/>
              </w:rPr>
              <w:t>林桂花</w:t>
            </w:r>
          </w:p>
        </w:tc>
        <w:tc>
          <w:tcPr>
            <w:tcW w:w="720" w:type="dxa"/>
          </w:tcPr>
          <w:p>
            <w:pPr>
              <w:jc w:val="center"/>
              <w:rPr>
                <w:rFonts w:hint="eastAsia" w:eastAsiaTheme="minorEastAsia"/>
                <w:sz w:val="24"/>
                <w:szCs w:val="24"/>
                <w:lang w:eastAsia="zh-CN"/>
              </w:rPr>
            </w:pPr>
            <w:r>
              <w:rPr>
                <w:rFonts w:hint="eastAsia"/>
                <w:sz w:val="24"/>
                <w:szCs w:val="24"/>
                <w:lang w:eastAsia="zh-CN"/>
              </w:rPr>
              <w:t>职工债权</w:t>
            </w:r>
          </w:p>
        </w:tc>
        <w:tc>
          <w:tcPr>
            <w:tcW w:w="1260" w:type="dxa"/>
          </w:tcPr>
          <w:p>
            <w:pPr>
              <w:jc w:val="center"/>
              <w:rPr>
                <w:rFonts w:hint="default" w:eastAsiaTheme="minorEastAsia"/>
                <w:sz w:val="24"/>
                <w:szCs w:val="24"/>
                <w:lang w:val="en-US" w:eastAsia="zh-CN"/>
              </w:rPr>
            </w:pPr>
            <w:r>
              <w:rPr>
                <w:rFonts w:hint="eastAsia"/>
                <w:sz w:val="24"/>
                <w:szCs w:val="24"/>
                <w:lang w:val="en-US" w:eastAsia="zh-CN"/>
              </w:rPr>
              <w:t>5147.00</w:t>
            </w:r>
          </w:p>
        </w:tc>
        <w:tc>
          <w:tcPr>
            <w:tcW w:w="696" w:type="dxa"/>
          </w:tcPr>
          <w:p>
            <w:pPr>
              <w:jc w:val="center"/>
              <w:rPr>
                <w:rFonts w:hint="eastAsia" w:eastAsia="宋体"/>
                <w:sz w:val="24"/>
                <w:szCs w:val="24"/>
                <w:lang w:val="en-US" w:eastAsia="zh-CN"/>
              </w:rPr>
            </w:pPr>
            <w:r>
              <w:rPr>
                <w:rFonts w:hint="eastAsia"/>
                <w:sz w:val="24"/>
                <w:szCs w:val="24"/>
                <w:lang w:val="en-US" w:eastAsia="zh-CN"/>
              </w:rPr>
              <w:t>0</w:t>
            </w:r>
          </w:p>
        </w:tc>
        <w:tc>
          <w:tcPr>
            <w:tcW w:w="1236" w:type="dxa"/>
          </w:tcPr>
          <w:p>
            <w:pPr>
              <w:jc w:val="center"/>
              <w:rPr>
                <w:rFonts w:hint="default" w:eastAsia="宋体"/>
                <w:sz w:val="24"/>
                <w:szCs w:val="24"/>
                <w:lang w:val="en-US" w:eastAsia="zh-CN"/>
              </w:rPr>
            </w:pPr>
            <w:r>
              <w:rPr>
                <w:rFonts w:hint="eastAsia"/>
                <w:sz w:val="24"/>
                <w:szCs w:val="24"/>
                <w:lang w:val="en-US" w:eastAsia="zh-CN"/>
              </w:rPr>
              <w:t>5147.00</w:t>
            </w:r>
          </w:p>
        </w:tc>
        <w:tc>
          <w:tcPr>
            <w:tcW w:w="1188" w:type="dxa"/>
          </w:tcPr>
          <w:p>
            <w:pPr>
              <w:jc w:val="center"/>
              <w:rPr>
                <w:rFonts w:hint="default" w:eastAsiaTheme="minorEastAsia"/>
                <w:sz w:val="24"/>
                <w:szCs w:val="24"/>
                <w:lang w:val="en-US" w:eastAsia="zh-CN"/>
              </w:rPr>
            </w:pPr>
            <w:r>
              <w:rPr>
                <w:rFonts w:hint="eastAsia"/>
                <w:sz w:val="24"/>
                <w:szCs w:val="24"/>
                <w:lang w:val="en-US" w:eastAsia="zh-CN"/>
              </w:rPr>
              <w:t>5147.00</w:t>
            </w:r>
          </w:p>
        </w:tc>
        <w:tc>
          <w:tcPr>
            <w:tcW w:w="468"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84" w:type="dxa"/>
          </w:tcPr>
          <w:p>
            <w:pPr>
              <w:jc w:val="center"/>
              <w:rPr>
                <w:rFonts w:hint="default" w:eastAsiaTheme="minorEastAsia"/>
                <w:sz w:val="24"/>
                <w:szCs w:val="24"/>
                <w:lang w:val="en-US" w:eastAsia="zh-CN"/>
              </w:rPr>
            </w:pPr>
            <w:r>
              <w:rPr>
                <w:rFonts w:hint="eastAsia"/>
                <w:sz w:val="24"/>
                <w:szCs w:val="24"/>
                <w:lang w:val="en-US" w:eastAsia="zh-CN"/>
              </w:rPr>
              <w:t>5147.00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4" w:hRule="atLeast"/>
        </w:trPr>
        <w:tc>
          <w:tcPr>
            <w:tcW w:w="511" w:type="dxa"/>
          </w:tcPr>
          <w:p>
            <w:pPr>
              <w:jc w:val="center"/>
              <w:rPr>
                <w:rFonts w:hint="eastAsia" w:eastAsiaTheme="minorEastAsia"/>
                <w:sz w:val="24"/>
                <w:szCs w:val="24"/>
                <w:lang w:val="en-US" w:eastAsia="zh-CN"/>
              </w:rPr>
            </w:pPr>
            <w:r>
              <w:rPr>
                <w:rFonts w:hint="eastAsia"/>
                <w:sz w:val="24"/>
                <w:szCs w:val="24"/>
                <w:lang w:val="en-US" w:eastAsia="zh-CN"/>
              </w:rPr>
              <w:t>5</w:t>
            </w:r>
          </w:p>
        </w:tc>
        <w:tc>
          <w:tcPr>
            <w:tcW w:w="1202" w:type="dxa"/>
          </w:tcPr>
          <w:p>
            <w:pPr>
              <w:jc w:val="center"/>
              <w:rPr>
                <w:rFonts w:hint="eastAsia" w:eastAsiaTheme="minorEastAsia"/>
                <w:sz w:val="24"/>
                <w:szCs w:val="24"/>
                <w:lang w:eastAsia="zh-CN"/>
              </w:rPr>
            </w:pPr>
            <w:r>
              <w:rPr>
                <w:rFonts w:hint="eastAsia"/>
                <w:sz w:val="24"/>
                <w:szCs w:val="24"/>
                <w:lang w:eastAsia="zh-CN"/>
              </w:rPr>
              <w:t>李婷婷</w:t>
            </w:r>
          </w:p>
        </w:tc>
        <w:tc>
          <w:tcPr>
            <w:tcW w:w="720" w:type="dxa"/>
          </w:tcPr>
          <w:p>
            <w:pPr>
              <w:jc w:val="center"/>
              <w:rPr>
                <w:rFonts w:hint="eastAsia" w:eastAsiaTheme="minorEastAsia"/>
                <w:sz w:val="24"/>
                <w:szCs w:val="24"/>
                <w:lang w:eastAsia="zh-CN"/>
              </w:rPr>
            </w:pPr>
            <w:r>
              <w:rPr>
                <w:rFonts w:hint="eastAsia"/>
                <w:sz w:val="24"/>
                <w:szCs w:val="24"/>
                <w:lang w:eastAsia="zh-CN"/>
              </w:rPr>
              <w:t>职工债权</w:t>
            </w:r>
          </w:p>
        </w:tc>
        <w:tc>
          <w:tcPr>
            <w:tcW w:w="1260" w:type="dxa"/>
          </w:tcPr>
          <w:p>
            <w:pPr>
              <w:jc w:val="center"/>
              <w:rPr>
                <w:rFonts w:hint="default" w:eastAsiaTheme="minorEastAsia"/>
                <w:sz w:val="24"/>
                <w:szCs w:val="24"/>
                <w:lang w:val="en-US" w:eastAsia="zh-CN"/>
              </w:rPr>
            </w:pPr>
            <w:r>
              <w:rPr>
                <w:rFonts w:hint="eastAsia"/>
                <w:sz w:val="24"/>
                <w:szCs w:val="24"/>
                <w:lang w:val="en-US" w:eastAsia="zh-CN"/>
              </w:rPr>
              <w:t>5972.00</w:t>
            </w:r>
          </w:p>
        </w:tc>
        <w:tc>
          <w:tcPr>
            <w:tcW w:w="696"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36" w:type="dxa"/>
          </w:tcPr>
          <w:p>
            <w:pPr>
              <w:jc w:val="center"/>
              <w:rPr>
                <w:rFonts w:hint="default" w:eastAsiaTheme="minorEastAsia"/>
                <w:sz w:val="24"/>
                <w:szCs w:val="24"/>
                <w:lang w:val="en-US" w:eastAsia="zh-CN"/>
              </w:rPr>
            </w:pPr>
            <w:r>
              <w:rPr>
                <w:rFonts w:hint="eastAsia"/>
                <w:sz w:val="24"/>
                <w:szCs w:val="24"/>
                <w:lang w:val="en-US" w:eastAsia="zh-CN"/>
              </w:rPr>
              <w:t>5972.00</w:t>
            </w:r>
          </w:p>
        </w:tc>
        <w:tc>
          <w:tcPr>
            <w:tcW w:w="1188" w:type="dxa"/>
          </w:tcPr>
          <w:p>
            <w:pPr>
              <w:jc w:val="center"/>
              <w:rPr>
                <w:rFonts w:hint="default" w:eastAsiaTheme="minorEastAsia"/>
                <w:sz w:val="24"/>
                <w:szCs w:val="24"/>
                <w:lang w:val="en-US" w:eastAsia="zh-CN"/>
              </w:rPr>
            </w:pPr>
            <w:r>
              <w:rPr>
                <w:rFonts w:hint="eastAsia"/>
                <w:sz w:val="24"/>
                <w:szCs w:val="24"/>
                <w:lang w:val="en-US" w:eastAsia="zh-CN"/>
              </w:rPr>
              <w:t>5972.00</w:t>
            </w:r>
          </w:p>
        </w:tc>
        <w:tc>
          <w:tcPr>
            <w:tcW w:w="468" w:type="dxa"/>
          </w:tcPr>
          <w:p>
            <w:pPr>
              <w:jc w:val="center"/>
              <w:rPr>
                <w:rFonts w:hint="eastAsia" w:eastAsiaTheme="minorEastAsia"/>
                <w:sz w:val="24"/>
                <w:szCs w:val="24"/>
                <w:lang w:val="en-US" w:eastAsia="zh-CN"/>
              </w:rPr>
            </w:pPr>
            <w:r>
              <w:rPr>
                <w:rFonts w:hint="eastAsia"/>
                <w:sz w:val="24"/>
                <w:szCs w:val="24"/>
                <w:lang w:val="en-US" w:eastAsia="zh-CN"/>
              </w:rPr>
              <w:t>0</w:t>
            </w:r>
          </w:p>
        </w:tc>
        <w:tc>
          <w:tcPr>
            <w:tcW w:w="1284" w:type="dxa"/>
          </w:tcPr>
          <w:p>
            <w:pPr>
              <w:jc w:val="center"/>
              <w:rPr>
                <w:rFonts w:hint="default" w:eastAsiaTheme="minorEastAsia"/>
                <w:sz w:val="24"/>
                <w:szCs w:val="24"/>
                <w:lang w:val="en-US" w:eastAsia="zh-CN"/>
              </w:rPr>
            </w:pPr>
            <w:r>
              <w:rPr>
                <w:rFonts w:hint="eastAsia"/>
                <w:sz w:val="24"/>
                <w:szCs w:val="24"/>
                <w:lang w:val="en-US" w:eastAsia="zh-CN"/>
              </w:rPr>
              <w:t>5972.00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2" w:hRule="atLeast"/>
        </w:trPr>
        <w:tc>
          <w:tcPr>
            <w:tcW w:w="2433" w:type="dxa"/>
            <w:gridSpan w:val="3"/>
          </w:tcPr>
          <w:p>
            <w:pPr>
              <w:jc w:val="center"/>
              <w:rPr>
                <w:rFonts w:hint="eastAsia"/>
                <w:sz w:val="24"/>
                <w:szCs w:val="24"/>
                <w:lang w:eastAsia="zh-CN"/>
              </w:rPr>
            </w:pPr>
            <w:r>
              <w:rPr>
                <w:rFonts w:hint="eastAsia"/>
                <w:sz w:val="24"/>
                <w:szCs w:val="24"/>
                <w:lang w:eastAsia="zh-CN"/>
              </w:rPr>
              <w:t>合计</w:t>
            </w:r>
          </w:p>
        </w:tc>
        <w:tc>
          <w:tcPr>
            <w:tcW w:w="1260" w:type="dxa"/>
          </w:tcPr>
          <w:p>
            <w:pPr>
              <w:jc w:val="center"/>
              <w:rPr>
                <w:rFonts w:hint="default"/>
                <w:sz w:val="24"/>
                <w:szCs w:val="24"/>
                <w:lang w:val="en-US" w:eastAsia="zh-CN"/>
              </w:rPr>
            </w:pPr>
            <w:r>
              <w:rPr>
                <w:rFonts w:hint="eastAsia"/>
                <w:sz w:val="24"/>
                <w:szCs w:val="24"/>
                <w:lang w:val="en-US" w:eastAsia="zh-CN"/>
              </w:rPr>
              <w:t>54469.26</w:t>
            </w:r>
          </w:p>
        </w:tc>
        <w:tc>
          <w:tcPr>
            <w:tcW w:w="696" w:type="dxa"/>
          </w:tcPr>
          <w:p>
            <w:pPr>
              <w:jc w:val="center"/>
              <w:rPr>
                <w:rFonts w:hint="default"/>
                <w:sz w:val="24"/>
                <w:szCs w:val="24"/>
                <w:lang w:val="en-US" w:eastAsia="zh-CN"/>
              </w:rPr>
            </w:pPr>
            <w:r>
              <w:rPr>
                <w:rFonts w:hint="eastAsia"/>
                <w:sz w:val="24"/>
                <w:szCs w:val="24"/>
                <w:lang w:val="en-US" w:eastAsia="zh-CN"/>
              </w:rPr>
              <w:t>0</w:t>
            </w:r>
          </w:p>
        </w:tc>
        <w:tc>
          <w:tcPr>
            <w:tcW w:w="1236" w:type="dxa"/>
          </w:tcPr>
          <w:p>
            <w:pPr>
              <w:jc w:val="center"/>
              <w:rPr>
                <w:rFonts w:hint="default"/>
                <w:sz w:val="24"/>
                <w:szCs w:val="24"/>
                <w:lang w:val="en-US" w:eastAsia="zh-CN"/>
              </w:rPr>
            </w:pPr>
            <w:r>
              <w:rPr>
                <w:rFonts w:hint="eastAsia"/>
                <w:sz w:val="24"/>
                <w:szCs w:val="24"/>
                <w:lang w:val="en-US" w:eastAsia="zh-CN"/>
              </w:rPr>
              <w:t>54469.26</w:t>
            </w:r>
          </w:p>
        </w:tc>
        <w:tc>
          <w:tcPr>
            <w:tcW w:w="1188" w:type="dxa"/>
          </w:tcPr>
          <w:p>
            <w:pPr>
              <w:jc w:val="center"/>
              <w:rPr>
                <w:rFonts w:hint="default"/>
                <w:sz w:val="24"/>
                <w:szCs w:val="24"/>
                <w:lang w:val="en-US" w:eastAsia="zh-CN"/>
              </w:rPr>
            </w:pPr>
            <w:r>
              <w:rPr>
                <w:rFonts w:hint="eastAsia"/>
                <w:sz w:val="24"/>
                <w:szCs w:val="24"/>
                <w:lang w:val="en-US" w:eastAsia="zh-CN"/>
              </w:rPr>
              <w:t>54469.26</w:t>
            </w:r>
          </w:p>
        </w:tc>
        <w:tc>
          <w:tcPr>
            <w:tcW w:w="468" w:type="dxa"/>
          </w:tcPr>
          <w:p>
            <w:pPr>
              <w:jc w:val="center"/>
              <w:rPr>
                <w:rFonts w:hint="default"/>
                <w:sz w:val="24"/>
                <w:szCs w:val="24"/>
                <w:lang w:val="en-US" w:eastAsia="zh-CN"/>
              </w:rPr>
            </w:pPr>
            <w:r>
              <w:rPr>
                <w:rFonts w:hint="eastAsia"/>
                <w:sz w:val="24"/>
                <w:szCs w:val="24"/>
                <w:lang w:val="en-US" w:eastAsia="zh-CN"/>
              </w:rPr>
              <w:t>0</w:t>
            </w:r>
          </w:p>
        </w:tc>
        <w:tc>
          <w:tcPr>
            <w:tcW w:w="1284" w:type="dxa"/>
          </w:tcPr>
          <w:p>
            <w:pPr>
              <w:jc w:val="center"/>
              <w:rPr>
                <w:rFonts w:hint="default"/>
                <w:sz w:val="24"/>
                <w:szCs w:val="24"/>
                <w:lang w:val="en-US" w:eastAsia="zh-CN"/>
              </w:rPr>
            </w:pPr>
            <w:r>
              <w:rPr>
                <w:rFonts w:hint="eastAsia"/>
                <w:sz w:val="24"/>
                <w:szCs w:val="24"/>
                <w:lang w:val="en-US" w:eastAsia="zh-CN"/>
              </w:rPr>
              <w:t>54469.26</w:t>
            </w:r>
          </w:p>
        </w:tc>
      </w:tr>
    </w:tbl>
    <w:p>
      <w:pPr>
        <w:rPr>
          <w:rFonts w:hint="eastAsia"/>
        </w:rPr>
      </w:pPr>
    </w:p>
    <w:p>
      <w:pPr>
        <w:pStyle w:val="2"/>
        <w:ind w:left="356" w:leftChars="162" w:right="0" w:firstLine="719" w:firstLineChars="199"/>
        <w:jc w:val="both"/>
      </w:pP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96F3FA"/>
    <w:multiLevelType w:val="singleLevel"/>
    <w:tmpl w:val="E896F3FA"/>
    <w:lvl w:ilvl="0" w:tentative="0">
      <w:start w:val="1"/>
      <w:numFmt w:val="decimal"/>
      <w:suff w:val="nothing"/>
      <w:lvlText w:val="%1、"/>
      <w:lvlJc w:val="left"/>
    </w:lvl>
  </w:abstractNum>
  <w:abstractNum w:abstractNumId="1">
    <w:nsid w:val="EF5EE24C"/>
    <w:multiLevelType w:val="singleLevel"/>
    <w:tmpl w:val="EF5EE24C"/>
    <w:lvl w:ilvl="0" w:tentative="0">
      <w:start w:val="1"/>
      <w:numFmt w:val="decimal"/>
      <w:suff w:val="nothing"/>
      <w:lvlText w:val="%1、"/>
      <w:lvlJc w:val="left"/>
    </w:lvl>
  </w:abstractNum>
  <w:abstractNum w:abstractNumId="2">
    <w:nsid w:val="4F530FCE"/>
    <w:multiLevelType w:val="singleLevel"/>
    <w:tmpl w:val="4F530FCE"/>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E553773"/>
    <w:rsid w:val="5DAD12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9"/>
    <w:pPr>
      <w:spacing w:before="28"/>
      <w:ind w:left="939" w:right="2320"/>
      <w:outlineLvl w:val="0"/>
    </w:pPr>
    <w:rPr>
      <w:rFonts w:ascii="黑体" w:hAnsi="黑体" w:eastAsia="黑体" w:cs="黑体"/>
      <w:b/>
      <w:bCs/>
      <w:sz w:val="36"/>
      <w:szCs w:val="36"/>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1"/>
    <w:pPr>
      <w:ind w:left="113" w:firstLine="5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2021-06-22T08:28:00Z</dcterms:created>
  <dc:creator>Administrator</dc:creator>
  <cp:lastModifiedBy>律师</cp:lastModifiedBy>
  <dcterms:modified xsi:type="dcterms:W3CDTF">2022-01-24T03:55:35Z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91258739D79F4299900C231E49691EC0</vt:lpwstr>
  </property>
</Properties>
</file>