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384" w:lineRule="auto"/>
        <w:ind w:left="442" w:hanging="442" w:hangingChars="100"/>
        <w:jc w:val="left"/>
        <w:rPr>
          <w:rFonts w:hint="eastAsia" w:ascii="宋体" w:hAnsi="宋体" w:eastAsia="宋体" w:cs="宋体"/>
          <w:b/>
          <w:color w:val="000000" w:themeColor="text1"/>
          <w:kern w:val="0"/>
          <w:sz w:val="44"/>
          <w:szCs w:val="44"/>
          <w:lang w:val="en-US" w:eastAsia="zh-CN"/>
          <w14:textFill>
            <w14:solidFill>
              <w14:schemeClr w14:val="tx1"/>
            </w14:solidFill>
          </w14:textFill>
        </w:rPr>
      </w:pPr>
      <w:bookmarkStart w:id="0" w:name="_GoBack"/>
      <w:bookmarkEnd w:id="0"/>
      <w:r>
        <w:rPr>
          <w:rFonts w:ascii="宋体" w:hAnsi="宋体" w:cs="宋体"/>
          <w:b/>
          <w:color w:val="000000" w:themeColor="text1"/>
          <w:kern w:val="0"/>
          <w:sz w:val="44"/>
          <w:szCs w:val="44"/>
          <w14:textFill>
            <w14:solidFill>
              <w14:schemeClr w14:val="tx1"/>
            </w14:solidFill>
          </w14:textFill>
        </w:rPr>
        <w:t>关于</w:t>
      </w:r>
      <w:r>
        <w:rPr>
          <w:rFonts w:hint="eastAsia" w:ascii="宋体" w:hAnsi="宋体" w:cs="宋体"/>
          <w:b/>
          <w:color w:val="000000" w:themeColor="text1"/>
          <w:kern w:val="0"/>
          <w:sz w:val="44"/>
          <w:szCs w:val="44"/>
          <w:lang w:val="en-US" w:eastAsia="zh-CN"/>
          <w14:textFill>
            <w14:solidFill>
              <w14:schemeClr w14:val="tx1"/>
            </w14:solidFill>
          </w14:textFill>
        </w:rPr>
        <w:t>德兴市人民法院裁定《江西泓德新能源科技有限公司破产财产分配方案》</w:t>
      </w:r>
      <w:r>
        <w:rPr>
          <w:rFonts w:ascii="宋体" w:hAnsi="宋体" w:cs="宋体"/>
          <w:b/>
          <w:color w:val="000000" w:themeColor="text1"/>
          <w:kern w:val="0"/>
          <w:sz w:val="44"/>
          <w:szCs w:val="44"/>
          <w14:textFill>
            <w14:solidFill>
              <w14:schemeClr w14:val="tx1"/>
            </w14:solidFill>
          </w14:textFill>
        </w:rPr>
        <w:t>的</w:t>
      </w:r>
      <w:r>
        <w:rPr>
          <w:rFonts w:hint="eastAsia" w:ascii="宋体" w:hAnsi="宋体" w:cs="宋体"/>
          <w:b/>
          <w:color w:val="000000" w:themeColor="text1"/>
          <w:kern w:val="0"/>
          <w:sz w:val="44"/>
          <w:szCs w:val="44"/>
          <w:lang w:val="en-US" w:eastAsia="zh-CN"/>
          <w14:textFill>
            <w14:solidFill>
              <w14:schemeClr w14:val="tx1"/>
            </w14:solidFill>
          </w14:textFill>
        </w:rPr>
        <w:t>公告</w:t>
      </w:r>
    </w:p>
    <w:p>
      <w:pPr>
        <w:widowControl/>
        <w:wordWrap w:val="0"/>
        <w:spacing w:line="384" w:lineRule="auto"/>
        <w:jc w:val="left"/>
        <w:rPr>
          <w:rFonts w:ascii="宋体" w:hAnsi="宋体" w:cs="宋体"/>
          <w:color w:val="000000" w:themeColor="text1"/>
          <w:kern w:val="0"/>
          <w:sz w:val="24"/>
          <w14:textFill>
            <w14:solidFill>
              <w14:schemeClr w14:val="tx1"/>
            </w14:solidFill>
          </w14:textFill>
        </w:rPr>
      </w:pPr>
    </w:p>
    <w:p>
      <w:pPr>
        <w:widowControl/>
        <w:wordWrap w:val="0"/>
        <w:spacing w:line="384" w:lineRule="auto"/>
        <w:jc w:val="right"/>
        <w:rPr>
          <w:rFonts w:ascii="宋体" w:hAnsi="宋体" w:cs="宋体"/>
          <w:color w:val="000000" w:themeColor="text1"/>
          <w:kern w:val="0"/>
          <w:sz w:val="30"/>
          <w:szCs w:val="30"/>
          <w14:textFill>
            <w14:solidFill>
              <w14:schemeClr w14:val="tx1"/>
            </w14:solidFill>
          </w14:textFill>
        </w:rPr>
      </w:pPr>
      <w:r>
        <w:rPr>
          <w:rFonts w:ascii="宋体" w:hAnsi="宋体" w:cs="宋体"/>
          <w:color w:val="000000" w:themeColor="text1"/>
          <w:kern w:val="0"/>
          <w:sz w:val="24"/>
          <w14:textFill>
            <w14:solidFill>
              <w14:schemeClr w14:val="tx1"/>
            </w14:solidFill>
          </w14:textFill>
        </w:rPr>
        <w:t>　</w:t>
      </w:r>
      <w:r>
        <w:rPr>
          <w:rFonts w:ascii="宋体" w:hAnsi="宋体" w:cs="宋体"/>
          <w:color w:val="000000" w:themeColor="text1"/>
          <w:kern w:val="0"/>
          <w:sz w:val="28"/>
          <w:szCs w:val="28"/>
          <w14:textFill>
            <w14:solidFill>
              <w14:schemeClr w14:val="tx1"/>
            </w14:solidFill>
          </w14:textFill>
        </w:rPr>
        <w:t>　</w:t>
      </w:r>
      <w:r>
        <w:rPr>
          <w:rFonts w:ascii="宋体" w:hAnsi="宋体" w:cs="宋体"/>
          <w:color w:val="000000" w:themeColor="text1"/>
          <w:kern w:val="0"/>
          <w:sz w:val="30"/>
          <w:szCs w:val="30"/>
          <w14:textFill>
            <w14:solidFill>
              <w14:schemeClr w14:val="tx1"/>
            </w14:solidFill>
          </w14:textFill>
        </w:rPr>
        <w:t>（</w:t>
      </w:r>
      <w:r>
        <w:rPr>
          <w:rFonts w:hint="eastAsia" w:ascii="宋体" w:hAnsi="宋体" w:cs="宋体"/>
          <w:color w:val="000000" w:themeColor="text1"/>
          <w:kern w:val="0"/>
          <w:sz w:val="30"/>
          <w:szCs w:val="30"/>
          <w:lang w:val="en-US" w:eastAsia="zh-CN"/>
          <w14:textFill>
            <w14:solidFill>
              <w14:schemeClr w14:val="tx1"/>
            </w14:solidFill>
          </w14:textFill>
        </w:rPr>
        <w:t>2021</w:t>
      </w:r>
      <w:r>
        <w:rPr>
          <w:rFonts w:ascii="宋体" w:hAnsi="宋体" w:cs="宋体"/>
          <w:color w:val="000000" w:themeColor="text1"/>
          <w:kern w:val="0"/>
          <w:sz w:val="30"/>
          <w:szCs w:val="30"/>
          <w14:textFill>
            <w14:solidFill>
              <w14:schemeClr w14:val="tx1"/>
            </w14:solidFill>
          </w14:textFill>
        </w:rPr>
        <w:t>）</w:t>
      </w:r>
      <w:r>
        <w:rPr>
          <w:rFonts w:hint="eastAsia" w:ascii="宋体" w:hAnsi="宋体" w:cs="宋体"/>
          <w:color w:val="000000" w:themeColor="text1"/>
          <w:kern w:val="0"/>
          <w:sz w:val="30"/>
          <w:szCs w:val="30"/>
          <w:lang w:val="en-US" w:eastAsia="zh-CN"/>
          <w14:textFill>
            <w14:solidFill>
              <w14:schemeClr w14:val="tx1"/>
            </w14:solidFill>
          </w14:textFill>
        </w:rPr>
        <w:t>泓德</w:t>
      </w:r>
      <w:r>
        <w:rPr>
          <w:rFonts w:ascii="宋体" w:hAnsi="宋体" w:cs="宋体"/>
          <w:color w:val="000000" w:themeColor="text1"/>
          <w:kern w:val="0"/>
          <w:sz w:val="30"/>
          <w:szCs w:val="30"/>
          <w14:textFill>
            <w14:solidFill>
              <w14:schemeClr w14:val="tx1"/>
            </w14:solidFill>
          </w14:textFill>
        </w:rPr>
        <w:t>破管字第</w:t>
      </w:r>
      <w:r>
        <w:rPr>
          <w:rFonts w:hint="eastAsia" w:ascii="宋体" w:hAnsi="宋体" w:cs="宋体"/>
          <w:color w:val="000000" w:themeColor="text1"/>
          <w:kern w:val="0"/>
          <w:sz w:val="30"/>
          <w:szCs w:val="30"/>
          <w:lang w:val="en-US" w:eastAsia="zh-CN"/>
          <w14:textFill>
            <w14:solidFill>
              <w14:schemeClr w14:val="tx1"/>
            </w14:solidFill>
          </w14:textFill>
        </w:rPr>
        <w:t>7</w:t>
      </w:r>
      <w:r>
        <w:rPr>
          <w:rFonts w:ascii="宋体" w:hAnsi="宋体" w:cs="宋体"/>
          <w:color w:val="000000" w:themeColor="text1"/>
          <w:kern w:val="0"/>
          <w:sz w:val="30"/>
          <w:szCs w:val="30"/>
          <w14:textFill>
            <w14:solidFill>
              <w14:schemeClr w14:val="tx1"/>
            </w14:solidFill>
          </w14:textFill>
        </w:rPr>
        <w:t>号</w:t>
      </w:r>
    </w:p>
    <w:p>
      <w:pPr>
        <w:widowControl/>
        <w:wordWrap w:val="0"/>
        <w:spacing w:after="240" w:line="384" w:lineRule="auto"/>
        <w:ind w:firstLine="560" w:firstLineChars="200"/>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lang w:val="en-US" w:eastAsia="zh-CN"/>
          <w14:textFill>
            <w14:solidFill>
              <w14:schemeClr w14:val="tx1"/>
            </w14:solidFill>
          </w14:textFill>
        </w:rPr>
        <w:t>根据《</w:t>
      </w:r>
      <w:r>
        <w:rPr>
          <w:rFonts w:hint="eastAsia" w:ascii="宋体" w:hAnsi="宋体" w:cs="宋体"/>
          <w:color w:val="000000" w:themeColor="text1"/>
          <w:kern w:val="0"/>
          <w:sz w:val="28"/>
          <w:szCs w:val="28"/>
          <w:lang w:val="en-US" w:eastAsia="zh-CN"/>
          <w14:textFill>
            <w14:solidFill>
              <w14:schemeClr w14:val="tx1"/>
            </w14:solidFill>
          </w14:textFill>
        </w:rPr>
        <w:fldChar w:fldCharType="begin"/>
      </w:r>
      <w:r>
        <w:rPr>
          <w:rFonts w:hint="eastAsia" w:ascii="宋体" w:hAnsi="宋体" w:cs="宋体"/>
          <w:color w:val="000000" w:themeColor="text1"/>
          <w:kern w:val="0"/>
          <w:sz w:val="28"/>
          <w:szCs w:val="28"/>
          <w:lang w:val="en-US" w:eastAsia="zh-CN"/>
          <w14:textFill>
            <w14:solidFill>
              <w14:schemeClr w14:val="tx1"/>
            </w14:solidFill>
          </w14:textFill>
        </w:rPr>
        <w:instrText xml:space="preserve"> HYPERLINK "javascript:SLC(78895,0)" </w:instrText>
      </w:r>
      <w:r>
        <w:rPr>
          <w:rFonts w:hint="eastAsia" w:ascii="宋体" w:hAnsi="宋体" w:cs="宋体"/>
          <w:color w:val="000000" w:themeColor="text1"/>
          <w:kern w:val="0"/>
          <w:sz w:val="28"/>
          <w:szCs w:val="28"/>
          <w:lang w:val="en-US" w:eastAsia="zh-CN"/>
          <w14:textFill>
            <w14:solidFill>
              <w14:schemeClr w14:val="tx1"/>
            </w14:solidFill>
          </w14:textFill>
        </w:rPr>
        <w:fldChar w:fldCharType="separate"/>
      </w:r>
      <w:r>
        <w:rPr>
          <w:rFonts w:hint="eastAsia" w:ascii="宋体" w:hAnsi="宋体" w:cs="宋体"/>
          <w:color w:val="000000" w:themeColor="text1"/>
          <w:kern w:val="0"/>
          <w:sz w:val="28"/>
          <w:szCs w:val="28"/>
          <w:lang w:val="en-US" w:eastAsia="zh-CN"/>
          <w14:textFill>
            <w14:solidFill>
              <w14:schemeClr w14:val="tx1"/>
            </w14:solidFill>
          </w14:textFill>
        </w:rPr>
        <w:t>中华人民共和国企业破产法</w:t>
      </w:r>
      <w:r>
        <w:rPr>
          <w:rFonts w:hint="eastAsia" w:ascii="宋体" w:hAnsi="宋体" w:cs="宋体"/>
          <w:color w:val="000000" w:themeColor="text1"/>
          <w:kern w:val="0"/>
          <w:sz w:val="28"/>
          <w:szCs w:val="28"/>
          <w:lang w:val="en-US" w:eastAsia="zh-CN"/>
          <w14:textFill>
            <w14:solidFill>
              <w14:schemeClr w14:val="tx1"/>
            </w14:solidFill>
          </w14:textFill>
        </w:rPr>
        <w:fldChar w:fldCharType="end"/>
      </w:r>
      <w:r>
        <w:rPr>
          <w:rFonts w:hint="eastAsia" w:ascii="宋体" w:hAnsi="宋体" w:cs="宋体"/>
          <w:color w:val="000000" w:themeColor="text1"/>
          <w:kern w:val="0"/>
          <w:sz w:val="28"/>
          <w:szCs w:val="28"/>
          <w:lang w:val="en-US" w:eastAsia="zh-CN"/>
          <w14:textFill>
            <w14:solidFill>
              <w14:schemeClr w14:val="tx1"/>
            </w14:solidFill>
          </w14:textFill>
        </w:rPr>
        <w:t>》第</w:t>
      </w:r>
      <w:r>
        <w:rPr>
          <w:rFonts w:hint="eastAsia" w:ascii="宋体" w:hAnsi="宋体" w:cs="宋体"/>
          <w:color w:val="000000" w:themeColor="text1"/>
          <w:kern w:val="0"/>
          <w:sz w:val="28"/>
          <w:szCs w:val="28"/>
          <w:lang w:val="en-US" w:eastAsia="zh-CN"/>
          <w14:textFill>
            <w14:solidFill>
              <w14:schemeClr w14:val="tx1"/>
            </w14:solidFill>
          </w14:textFill>
        </w:rPr>
        <w:fldChar w:fldCharType="begin"/>
      </w:r>
      <w:r>
        <w:rPr>
          <w:rFonts w:hint="eastAsia" w:ascii="宋体" w:hAnsi="宋体" w:cs="宋体"/>
          <w:color w:val="000000" w:themeColor="text1"/>
          <w:kern w:val="0"/>
          <w:sz w:val="28"/>
          <w:szCs w:val="28"/>
          <w:lang w:val="en-US" w:eastAsia="zh-CN"/>
          <w14:textFill>
            <w14:solidFill>
              <w14:schemeClr w14:val="tx1"/>
            </w14:solidFill>
          </w14:textFill>
        </w:rPr>
        <w:instrText xml:space="preserve"> HYPERLINK "javascript:SLC(78895,58)" </w:instrText>
      </w:r>
      <w:r>
        <w:rPr>
          <w:rFonts w:hint="eastAsia" w:ascii="宋体" w:hAnsi="宋体" w:cs="宋体"/>
          <w:color w:val="000000" w:themeColor="text1"/>
          <w:kern w:val="0"/>
          <w:sz w:val="28"/>
          <w:szCs w:val="28"/>
          <w:lang w:val="en-US" w:eastAsia="zh-CN"/>
          <w14:textFill>
            <w14:solidFill>
              <w14:schemeClr w14:val="tx1"/>
            </w14:solidFill>
          </w14:textFill>
        </w:rPr>
        <w:fldChar w:fldCharType="separate"/>
      </w:r>
      <w:r>
        <w:rPr>
          <w:rFonts w:hint="eastAsia" w:ascii="宋体" w:hAnsi="宋体" w:cs="宋体"/>
          <w:color w:val="000000" w:themeColor="text1"/>
          <w:kern w:val="0"/>
          <w:sz w:val="28"/>
          <w:szCs w:val="28"/>
          <w:lang w:val="en-US" w:eastAsia="zh-CN"/>
          <w14:textFill>
            <w14:solidFill>
              <w14:schemeClr w14:val="tx1"/>
            </w14:solidFill>
          </w14:textFill>
        </w:rPr>
        <w:t>一百一十五条</w:t>
      </w:r>
      <w:r>
        <w:rPr>
          <w:rFonts w:hint="eastAsia" w:ascii="宋体" w:hAnsi="宋体" w:cs="宋体"/>
          <w:color w:val="000000" w:themeColor="text1"/>
          <w:kern w:val="0"/>
          <w:sz w:val="28"/>
          <w:szCs w:val="28"/>
          <w:lang w:val="en-US" w:eastAsia="zh-CN"/>
          <w14:textFill>
            <w14:solidFill>
              <w14:schemeClr w14:val="tx1"/>
            </w14:solidFill>
          </w14:textFill>
        </w:rPr>
        <w:fldChar w:fldCharType="end"/>
      </w:r>
      <w:r>
        <w:rPr>
          <w:rFonts w:hint="eastAsia" w:ascii="宋体" w:hAnsi="宋体" w:cs="宋体"/>
          <w:color w:val="000000" w:themeColor="text1"/>
          <w:kern w:val="0"/>
          <w:sz w:val="28"/>
          <w:szCs w:val="28"/>
          <w:lang w:val="en-US" w:eastAsia="zh-CN"/>
          <w14:textFill>
            <w14:solidFill>
              <w14:schemeClr w14:val="tx1"/>
            </w14:solidFill>
          </w14:textFill>
        </w:rPr>
        <w:t>第一款之规定，本管理人于2022年1月24日编制的《江西泓德新能源科技有限公司破产财产分配方案》提交第二次债权人会议表决通过。根据《</w:t>
      </w:r>
      <w:r>
        <w:rPr>
          <w:rFonts w:hint="eastAsia" w:ascii="宋体" w:hAnsi="宋体" w:cs="宋体"/>
          <w:color w:val="000000" w:themeColor="text1"/>
          <w:kern w:val="0"/>
          <w:sz w:val="28"/>
          <w:szCs w:val="28"/>
          <w:lang w:val="en-US" w:eastAsia="zh-CN"/>
          <w14:textFill>
            <w14:solidFill>
              <w14:schemeClr w14:val="tx1"/>
            </w14:solidFill>
          </w14:textFill>
        </w:rPr>
        <w:fldChar w:fldCharType="begin"/>
      </w:r>
      <w:r>
        <w:rPr>
          <w:rFonts w:hint="eastAsia" w:ascii="宋体" w:hAnsi="宋体" w:cs="宋体"/>
          <w:color w:val="000000" w:themeColor="text1"/>
          <w:kern w:val="0"/>
          <w:sz w:val="28"/>
          <w:szCs w:val="28"/>
          <w:lang w:val="en-US" w:eastAsia="zh-CN"/>
          <w14:textFill>
            <w14:solidFill>
              <w14:schemeClr w14:val="tx1"/>
            </w14:solidFill>
          </w14:textFill>
        </w:rPr>
        <w:instrText xml:space="preserve"> HYPERLINK "javascript:SLC(78895,0)" </w:instrText>
      </w:r>
      <w:r>
        <w:rPr>
          <w:rFonts w:hint="eastAsia" w:ascii="宋体" w:hAnsi="宋体" w:cs="宋体"/>
          <w:color w:val="000000" w:themeColor="text1"/>
          <w:kern w:val="0"/>
          <w:sz w:val="28"/>
          <w:szCs w:val="28"/>
          <w:lang w:val="en-US" w:eastAsia="zh-CN"/>
          <w14:textFill>
            <w14:solidFill>
              <w14:schemeClr w14:val="tx1"/>
            </w14:solidFill>
          </w14:textFill>
        </w:rPr>
        <w:fldChar w:fldCharType="separate"/>
      </w:r>
      <w:r>
        <w:rPr>
          <w:rFonts w:hint="eastAsia" w:ascii="宋体" w:hAnsi="宋体" w:cs="宋体"/>
          <w:color w:val="000000" w:themeColor="text1"/>
          <w:kern w:val="0"/>
          <w:sz w:val="28"/>
          <w:szCs w:val="28"/>
          <w:lang w:val="en-US" w:eastAsia="zh-CN"/>
          <w14:textFill>
            <w14:solidFill>
              <w14:schemeClr w14:val="tx1"/>
            </w14:solidFill>
          </w14:textFill>
        </w:rPr>
        <w:t>中华人民共和国企业破产法</w:t>
      </w:r>
      <w:r>
        <w:rPr>
          <w:rFonts w:hint="eastAsia" w:ascii="宋体" w:hAnsi="宋体" w:cs="宋体"/>
          <w:color w:val="000000" w:themeColor="text1"/>
          <w:kern w:val="0"/>
          <w:sz w:val="28"/>
          <w:szCs w:val="28"/>
          <w:lang w:val="en-US" w:eastAsia="zh-CN"/>
          <w14:textFill>
            <w14:solidFill>
              <w14:schemeClr w14:val="tx1"/>
            </w14:solidFill>
          </w14:textFill>
        </w:rPr>
        <w:fldChar w:fldCharType="end"/>
      </w:r>
      <w:r>
        <w:rPr>
          <w:rFonts w:ascii="宋体" w:hAnsi="宋体" w:cs="宋体"/>
          <w:color w:val="000000" w:themeColor="text1"/>
          <w:kern w:val="0"/>
          <w:sz w:val="28"/>
          <w:szCs w:val="28"/>
          <w:u w:val="none"/>
          <w14:textFill>
            <w14:solidFill>
              <w14:schemeClr w14:val="tx1"/>
            </w14:solidFill>
          </w14:textFill>
        </w:rPr>
        <w:t>》</w:t>
      </w:r>
      <w:r>
        <w:rPr>
          <w:rFonts w:hint="eastAsia" w:ascii="宋体" w:hAnsi="宋体" w:cs="宋体"/>
          <w:color w:val="000000" w:themeColor="text1"/>
          <w:kern w:val="0"/>
          <w:sz w:val="28"/>
          <w:szCs w:val="28"/>
          <w:lang w:val="en-US" w:eastAsia="zh-CN"/>
          <w14:textFill>
            <w14:solidFill>
              <w14:schemeClr w14:val="tx1"/>
            </w14:solidFill>
          </w14:textFill>
        </w:rPr>
        <w:t>第</w:t>
      </w:r>
      <w:r>
        <w:rPr>
          <w:rFonts w:hint="eastAsia" w:ascii="宋体" w:hAnsi="宋体" w:cs="宋体"/>
          <w:color w:val="000000" w:themeColor="text1"/>
          <w:kern w:val="0"/>
          <w:sz w:val="28"/>
          <w:szCs w:val="28"/>
          <w:lang w:val="en-US" w:eastAsia="zh-CN"/>
          <w14:textFill>
            <w14:solidFill>
              <w14:schemeClr w14:val="tx1"/>
            </w14:solidFill>
          </w14:textFill>
        </w:rPr>
        <w:fldChar w:fldCharType="begin"/>
      </w:r>
      <w:r>
        <w:rPr>
          <w:rFonts w:hint="eastAsia" w:ascii="宋体" w:hAnsi="宋体" w:cs="宋体"/>
          <w:color w:val="000000" w:themeColor="text1"/>
          <w:kern w:val="0"/>
          <w:sz w:val="28"/>
          <w:szCs w:val="28"/>
          <w:lang w:val="en-US" w:eastAsia="zh-CN"/>
          <w14:textFill>
            <w14:solidFill>
              <w14:schemeClr w14:val="tx1"/>
            </w14:solidFill>
          </w14:textFill>
        </w:rPr>
        <w:instrText xml:space="preserve"> HYPERLINK "javascript:SLC(78895,58)" </w:instrText>
      </w:r>
      <w:r>
        <w:rPr>
          <w:rFonts w:hint="eastAsia" w:ascii="宋体" w:hAnsi="宋体" w:cs="宋体"/>
          <w:color w:val="000000" w:themeColor="text1"/>
          <w:kern w:val="0"/>
          <w:sz w:val="28"/>
          <w:szCs w:val="28"/>
          <w:lang w:val="en-US" w:eastAsia="zh-CN"/>
          <w14:textFill>
            <w14:solidFill>
              <w14:schemeClr w14:val="tx1"/>
            </w14:solidFill>
          </w14:textFill>
        </w:rPr>
        <w:fldChar w:fldCharType="separate"/>
      </w:r>
      <w:r>
        <w:rPr>
          <w:rFonts w:hint="eastAsia" w:ascii="宋体" w:hAnsi="宋体" w:cs="宋体"/>
          <w:color w:val="000000" w:themeColor="text1"/>
          <w:kern w:val="0"/>
          <w:sz w:val="28"/>
          <w:szCs w:val="28"/>
          <w:lang w:val="en-US" w:eastAsia="zh-CN"/>
          <w14:textFill>
            <w14:solidFill>
              <w14:schemeClr w14:val="tx1"/>
            </w14:solidFill>
          </w14:textFill>
        </w:rPr>
        <w:t>一百一十五条</w:t>
      </w:r>
      <w:r>
        <w:rPr>
          <w:rFonts w:hint="eastAsia" w:ascii="宋体" w:hAnsi="宋体" w:cs="宋体"/>
          <w:color w:val="000000" w:themeColor="text1"/>
          <w:kern w:val="0"/>
          <w:sz w:val="28"/>
          <w:szCs w:val="28"/>
          <w:lang w:val="en-US" w:eastAsia="zh-CN"/>
          <w14:textFill>
            <w14:solidFill>
              <w14:schemeClr w14:val="tx1"/>
            </w14:solidFill>
          </w14:textFill>
        </w:rPr>
        <w:fldChar w:fldCharType="end"/>
      </w:r>
      <w:r>
        <w:rPr>
          <w:rFonts w:hint="eastAsia" w:ascii="宋体" w:hAnsi="宋体" w:cs="宋体"/>
          <w:color w:val="000000" w:themeColor="text1"/>
          <w:kern w:val="0"/>
          <w:sz w:val="28"/>
          <w:szCs w:val="28"/>
          <w:lang w:val="en-US" w:eastAsia="zh-CN"/>
          <w14:textFill>
            <w14:solidFill>
              <w14:schemeClr w14:val="tx1"/>
            </w14:solidFill>
          </w14:textFill>
        </w:rPr>
        <w:t>第三款</w:t>
      </w:r>
      <w:r>
        <w:rPr>
          <w:rFonts w:ascii="宋体" w:hAnsi="宋体" w:cs="宋体"/>
          <w:color w:val="000000" w:themeColor="text1"/>
          <w:kern w:val="0"/>
          <w:sz w:val="28"/>
          <w:szCs w:val="28"/>
          <w14:textFill>
            <w14:solidFill>
              <w14:schemeClr w14:val="tx1"/>
            </w14:solidFill>
          </w14:textFill>
        </w:rPr>
        <w:t>之规定，</w:t>
      </w:r>
      <w:r>
        <w:rPr>
          <w:rFonts w:hint="eastAsia" w:ascii="宋体" w:hAnsi="宋体" w:cs="宋体"/>
          <w:color w:val="000000" w:themeColor="text1"/>
          <w:kern w:val="0"/>
          <w:sz w:val="28"/>
          <w:szCs w:val="28"/>
          <w:lang w:val="en-US" w:eastAsia="zh-CN"/>
          <w14:textFill>
            <w14:solidFill>
              <w14:schemeClr w14:val="tx1"/>
            </w14:solidFill>
          </w14:textFill>
        </w:rPr>
        <w:t>于2022年1月24日</w:t>
      </w:r>
      <w:r>
        <w:rPr>
          <w:rFonts w:ascii="宋体" w:hAnsi="宋体" w:cs="宋体"/>
          <w:color w:val="000000" w:themeColor="text1"/>
          <w:kern w:val="0"/>
          <w:sz w:val="28"/>
          <w:szCs w:val="28"/>
          <w14:textFill>
            <w14:solidFill>
              <w14:schemeClr w14:val="tx1"/>
            </w14:solidFill>
          </w14:textFill>
        </w:rPr>
        <w:t>申请</w:t>
      </w:r>
      <w:r>
        <w:rPr>
          <w:rFonts w:hint="eastAsia" w:ascii="宋体" w:hAnsi="宋体" w:cs="宋体"/>
          <w:color w:val="000000" w:themeColor="text1"/>
          <w:kern w:val="0"/>
          <w:sz w:val="28"/>
          <w:szCs w:val="28"/>
          <w:lang w:val="en-US" w:eastAsia="zh-CN"/>
          <w14:textFill>
            <w14:solidFill>
              <w14:schemeClr w14:val="tx1"/>
            </w14:solidFill>
          </w14:textFill>
        </w:rPr>
        <w:t>德兴市人民法院</w:t>
      </w:r>
      <w:r>
        <w:rPr>
          <w:rFonts w:ascii="宋体" w:hAnsi="宋体" w:cs="宋体"/>
          <w:color w:val="000000" w:themeColor="text1"/>
          <w:kern w:val="0"/>
          <w:sz w:val="28"/>
          <w:szCs w:val="28"/>
          <w14:textFill>
            <w14:solidFill>
              <w14:schemeClr w14:val="tx1"/>
            </w14:solidFill>
          </w14:textFill>
        </w:rPr>
        <w:t>裁定</w:t>
      </w:r>
      <w:r>
        <w:rPr>
          <w:rFonts w:hint="eastAsia" w:ascii="宋体" w:hAnsi="宋体" w:cs="宋体"/>
          <w:color w:val="000000" w:themeColor="text1"/>
          <w:kern w:val="0"/>
          <w:sz w:val="28"/>
          <w:szCs w:val="28"/>
          <w:lang w:val="en-US" w:eastAsia="zh-CN"/>
          <w14:textFill>
            <w14:solidFill>
              <w14:schemeClr w14:val="tx1"/>
            </w14:solidFill>
          </w14:textFill>
        </w:rPr>
        <w:t>认可，德兴市人民法院于同日对第二次债权人会议通过的《江西泓德新能源科技有限公司破产财产分配方案》予以裁定认可。</w:t>
      </w:r>
      <w:r>
        <w:rPr>
          <w:rFonts w:ascii="宋体" w:hAnsi="宋体" w:cs="宋体"/>
          <w:color w:val="000000" w:themeColor="text1"/>
          <w:kern w:val="0"/>
          <w:sz w:val="28"/>
          <w:szCs w:val="28"/>
          <w14:textFill>
            <w14:solidFill>
              <w14:schemeClr w14:val="tx1"/>
            </w14:solidFill>
          </w14:textFill>
        </w:rPr>
        <w:br w:type="textWrapping"/>
      </w:r>
      <w:r>
        <w:rPr>
          <w:rFonts w:ascii="宋体" w:hAnsi="宋体" w:cs="宋体"/>
          <w:color w:val="000000" w:themeColor="text1"/>
          <w:kern w:val="0"/>
          <w:sz w:val="28"/>
          <w:szCs w:val="28"/>
          <w14:textFill>
            <w14:solidFill>
              <w14:schemeClr w14:val="tx1"/>
            </w14:solidFill>
          </w14:textFill>
        </w:rPr>
        <w:t>　　</w:t>
      </w:r>
    </w:p>
    <w:p>
      <w:pPr>
        <w:widowControl/>
        <w:wordWrap w:val="0"/>
        <w:spacing w:after="240" w:line="384" w:lineRule="auto"/>
        <w:ind w:firstLine="840" w:firstLineChars="300"/>
        <w:jc w:val="left"/>
        <w:rPr>
          <w:rFonts w:ascii="宋体" w:hAnsi="宋体" w:cs="宋体"/>
          <w:color w:val="000000" w:themeColor="text1"/>
          <w:kern w:val="0"/>
          <w:sz w:val="28"/>
          <w:szCs w:val="28"/>
          <w14:textFill>
            <w14:solidFill>
              <w14:schemeClr w14:val="tx1"/>
            </w14:solidFill>
          </w14:textFill>
        </w:rPr>
      </w:pPr>
      <w:r>
        <w:rPr>
          <w:rFonts w:ascii="宋体" w:hAnsi="宋体" w:cs="宋体"/>
          <w:color w:val="000000" w:themeColor="text1"/>
          <w:kern w:val="0"/>
          <w:sz w:val="28"/>
          <w:szCs w:val="28"/>
          <w14:textFill>
            <w14:solidFill>
              <w14:schemeClr w14:val="tx1"/>
            </w14:solidFill>
          </w14:textFill>
        </w:rPr>
        <w:t>特此</w:t>
      </w:r>
      <w:r>
        <w:rPr>
          <w:rFonts w:hint="eastAsia" w:ascii="宋体" w:hAnsi="宋体" w:cs="宋体"/>
          <w:color w:val="000000" w:themeColor="text1"/>
          <w:kern w:val="0"/>
          <w:sz w:val="28"/>
          <w:szCs w:val="28"/>
          <w:lang w:val="en-US" w:eastAsia="zh-CN"/>
          <w14:textFill>
            <w14:solidFill>
              <w14:schemeClr w14:val="tx1"/>
            </w14:solidFill>
          </w14:textFill>
        </w:rPr>
        <w:t>公</w:t>
      </w:r>
      <w:r>
        <w:rPr>
          <w:rFonts w:ascii="宋体" w:hAnsi="宋体" w:cs="宋体"/>
          <w:color w:val="000000" w:themeColor="text1"/>
          <w:kern w:val="0"/>
          <w:sz w:val="28"/>
          <w:szCs w:val="28"/>
          <w14:textFill>
            <w14:solidFill>
              <w14:schemeClr w14:val="tx1"/>
            </w14:solidFill>
          </w14:textFill>
        </w:rPr>
        <w:t>告。</w:t>
      </w:r>
    </w:p>
    <w:p>
      <w:pPr>
        <w:widowControl/>
        <w:wordWrap w:val="0"/>
        <w:spacing w:line="384" w:lineRule="auto"/>
        <w:jc w:val="righ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lang w:val="en-US" w:eastAsia="zh-CN"/>
          <w14:textFill>
            <w14:solidFill>
              <w14:schemeClr w14:val="tx1"/>
            </w14:solidFill>
          </w14:textFill>
        </w:rPr>
        <w:t>江西泓德新能源科技有限公司管理人</w:t>
      </w:r>
      <w:r>
        <w:rPr>
          <w:rFonts w:ascii="宋体" w:hAnsi="宋体" w:cs="宋体"/>
          <w:color w:val="000000" w:themeColor="text1"/>
          <w:kern w:val="0"/>
          <w:sz w:val="28"/>
          <w:szCs w:val="28"/>
          <w14:textFill>
            <w14:solidFill>
              <w14:schemeClr w14:val="tx1"/>
            </w14:solidFill>
          </w14:textFill>
        </w:rPr>
        <w:br w:type="textWrapping"/>
      </w:r>
      <w:r>
        <w:rPr>
          <w:rFonts w:hint="eastAsia" w:ascii="宋体" w:hAnsi="宋体" w:cs="宋体"/>
          <w:color w:val="000000" w:themeColor="text1"/>
          <w:kern w:val="0"/>
          <w:sz w:val="28"/>
          <w:szCs w:val="28"/>
          <w:lang w:val="en-US" w:eastAsia="zh-CN"/>
          <w14:textFill>
            <w14:solidFill>
              <w14:schemeClr w14:val="tx1"/>
            </w14:solidFill>
          </w14:textFill>
        </w:rPr>
        <w:t>2022</w:t>
      </w:r>
      <w:r>
        <w:rPr>
          <w:rFonts w:ascii="宋体" w:hAnsi="宋体" w:cs="宋体"/>
          <w:color w:val="000000" w:themeColor="text1"/>
          <w:kern w:val="0"/>
          <w:sz w:val="28"/>
          <w:szCs w:val="28"/>
          <w14:textFill>
            <w14:solidFill>
              <w14:schemeClr w14:val="tx1"/>
            </w14:solidFill>
          </w14:textFill>
        </w:rPr>
        <w:t>年</w:t>
      </w:r>
      <w:r>
        <w:rPr>
          <w:rFonts w:hint="eastAsia" w:ascii="宋体" w:hAnsi="宋体" w:cs="宋体"/>
          <w:color w:val="000000" w:themeColor="text1"/>
          <w:kern w:val="0"/>
          <w:sz w:val="28"/>
          <w:szCs w:val="28"/>
          <w:lang w:val="en-US" w:eastAsia="zh-CN"/>
          <w14:textFill>
            <w14:solidFill>
              <w14:schemeClr w14:val="tx1"/>
            </w14:solidFill>
          </w14:textFill>
        </w:rPr>
        <w:t>1</w:t>
      </w:r>
      <w:r>
        <w:rPr>
          <w:rFonts w:ascii="宋体" w:hAnsi="宋体" w:cs="宋体"/>
          <w:color w:val="000000" w:themeColor="text1"/>
          <w:kern w:val="0"/>
          <w:sz w:val="28"/>
          <w:szCs w:val="28"/>
          <w14:textFill>
            <w14:solidFill>
              <w14:schemeClr w14:val="tx1"/>
            </w14:solidFill>
          </w14:textFill>
        </w:rPr>
        <w:t>月</w:t>
      </w:r>
      <w:r>
        <w:rPr>
          <w:rFonts w:hint="eastAsia" w:ascii="宋体" w:hAnsi="宋体" w:cs="宋体"/>
          <w:color w:val="000000" w:themeColor="text1"/>
          <w:kern w:val="0"/>
          <w:sz w:val="28"/>
          <w:szCs w:val="28"/>
          <w:lang w:val="en-US" w:eastAsia="zh-CN"/>
          <w14:textFill>
            <w14:solidFill>
              <w14:schemeClr w14:val="tx1"/>
            </w14:solidFill>
          </w14:textFill>
        </w:rPr>
        <w:t>24</w:t>
      </w:r>
      <w:r>
        <w:rPr>
          <w:rFonts w:ascii="宋体" w:hAnsi="宋体" w:cs="宋体"/>
          <w:color w:val="000000" w:themeColor="text1"/>
          <w:kern w:val="0"/>
          <w:sz w:val="28"/>
          <w:szCs w:val="28"/>
          <w14:textFill>
            <w14:solidFill>
              <w14:schemeClr w14:val="tx1"/>
            </w14:solidFill>
          </w14:textFill>
        </w:rPr>
        <w:t>日</w:t>
      </w:r>
    </w:p>
    <w:p>
      <w:pPr>
        <w:widowControl/>
        <w:wordWrap w:val="0"/>
        <w:spacing w:after="240" w:line="384" w:lineRule="auto"/>
        <w:jc w:val="left"/>
        <w:rPr>
          <w:rFonts w:hint="eastAsia" w:ascii="宋体" w:hAnsi="宋体" w:cs="宋体"/>
          <w:color w:val="000000" w:themeColor="text1"/>
          <w:kern w:val="0"/>
          <w:sz w:val="28"/>
          <w:szCs w:val="28"/>
          <w:lang w:val="en-US" w:eastAsia="zh-CN"/>
          <w14:textFill>
            <w14:solidFill>
              <w14:schemeClr w14:val="tx1"/>
            </w14:solidFill>
          </w14:textFill>
        </w:rPr>
      </w:pPr>
    </w:p>
    <w:p>
      <w:pPr>
        <w:widowControl/>
        <w:wordWrap w:val="0"/>
        <w:spacing w:after="240" w:line="384" w:lineRule="auto"/>
        <w:jc w:val="left"/>
        <w:rPr>
          <w:rFonts w:hint="eastAsia" w:ascii="宋体" w:hAnsi="宋体" w:cs="宋体"/>
          <w:color w:val="000000" w:themeColor="text1"/>
          <w:kern w:val="0"/>
          <w:sz w:val="28"/>
          <w:szCs w:val="28"/>
          <w:lang w:val="en-US" w:eastAsia="zh-CN"/>
          <w14:textFill>
            <w14:solidFill>
              <w14:schemeClr w14:val="tx1"/>
            </w14:solidFill>
          </w14:textFill>
        </w:rPr>
      </w:pPr>
    </w:p>
    <w:p>
      <w:pPr>
        <w:widowControl/>
        <w:wordWrap w:val="0"/>
        <w:spacing w:after="240" w:line="384" w:lineRule="auto"/>
        <w:jc w:val="left"/>
        <w:rPr>
          <w:rFonts w:hint="eastAsia" w:ascii="宋体" w:hAnsi="宋体" w:cs="宋体"/>
          <w:color w:val="000000" w:themeColor="text1"/>
          <w:kern w:val="0"/>
          <w:sz w:val="28"/>
          <w:szCs w:val="28"/>
          <w:lang w:val="en-US" w:eastAsia="zh-CN"/>
          <w14:textFill>
            <w14:solidFill>
              <w14:schemeClr w14:val="tx1"/>
            </w14:solidFill>
          </w14:textFill>
        </w:rPr>
      </w:pPr>
      <w:r>
        <w:rPr>
          <w:rFonts w:hint="eastAsia" w:ascii="宋体" w:hAnsi="宋体" w:cs="宋体"/>
          <w:color w:val="000000" w:themeColor="text1"/>
          <w:kern w:val="0"/>
          <w:sz w:val="28"/>
          <w:szCs w:val="28"/>
          <w:lang w:val="en-US" w:eastAsia="zh-CN"/>
          <w14:textFill>
            <w14:solidFill>
              <w14:schemeClr w14:val="tx1"/>
            </w14:solidFill>
          </w14:textFill>
        </w:rPr>
        <w:t>附：</w:t>
      </w:r>
    </w:p>
    <w:p>
      <w:pPr>
        <w:widowControl/>
        <w:numPr>
          <w:ilvl w:val="0"/>
          <w:numId w:val="1"/>
        </w:numPr>
        <w:wordWrap w:val="0"/>
        <w:spacing w:after="240" w:line="384" w:lineRule="auto"/>
        <w:jc w:val="left"/>
        <w:rPr>
          <w:rFonts w:hint="eastAsia" w:ascii="宋体" w:hAnsi="宋体" w:cs="宋体"/>
          <w:color w:val="000000" w:themeColor="text1"/>
          <w:kern w:val="0"/>
          <w:sz w:val="28"/>
          <w:szCs w:val="28"/>
          <w:lang w:val="en-US" w:eastAsia="zh-CN"/>
          <w14:textFill>
            <w14:solidFill>
              <w14:schemeClr w14:val="tx1"/>
            </w14:solidFill>
          </w14:textFill>
        </w:rPr>
      </w:pPr>
      <w:r>
        <w:rPr>
          <w:rFonts w:hint="eastAsia" w:ascii="宋体" w:hAnsi="宋体" w:cs="宋体"/>
          <w:color w:val="000000" w:themeColor="text1"/>
          <w:kern w:val="0"/>
          <w:sz w:val="28"/>
          <w:szCs w:val="28"/>
          <w:lang w:val="en-US" w:eastAsia="zh-CN"/>
          <w14:textFill>
            <w14:solidFill>
              <w14:schemeClr w14:val="tx1"/>
            </w14:solidFill>
          </w14:textFill>
        </w:rPr>
        <w:t>《江西泓德新能源科技有限公司破产财产分配方案》</w:t>
      </w:r>
    </w:p>
    <w:p>
      <w:pPr>
        <w:widowControl/>
        <w:numPr>
          <w:ilvl w:val="0"/>
          <w:numId w:val="1"/>
        </w:numPr>
        <w:wordWrap w:val="0"/>
        <w:spacing w:after="240" w:line="384" w:lineRule="auto"/>
        <w:jc w:val="left"/>
        <w:rPr>
          <w:rFonts w:hint="eastAsia" w:ascii="宋体" w:hAnsi="宋体" w:cs="宋体"/>
          <w:color w:val="000000" w:themeColor="text1"/>
          <w:kern w:val="0"/>
          <w:sz w:val="28"/>
          <w:szCs w:val="28"/>
          <w:lang w:val="en-US" w:eastAsia="zh-CN"/>
          <w14:textFill>
            <w14:solidFill>
              <w14:schemeClr w14:val="tx1"/>
            </w14:solidFill>
          </w14:textFill>
        </w:rPr>
      </w:pPr>
      <w:r>
        <w:rPr>
          <w:rFonts w:hint="eastAsia" w:ascii="宋体" w:hAnsi="宋体" w:cs="宋体"/>
          <w:color w:val="000000" w:themeColor="text1"/>
          <w:kern w:val="0"/>
          <w:sz w:val="28"/>
          <w:szCs w:val="28"/>
          <w:lang w:val="en-US" w:eastAsia="zh-CN"/>
          <w14:textFill>
            <w14:solidFill>
              <w14:schemeClr w14:val="tx1"/>
            </w14:solidFill>
          </w14:textFill>
        </w:rPr>
        <w:t>《民事裁定书》</w:t>
      </w:r>
    </w:p>
    <w:p>
      <w:pPr>
        <w:widowControl/>
        <w:numPr>
          <w:ilvl w:val="0"/>
          <w:numId w:val="0"/>
        </w:numPr>
        <w:wordWrap w:val="0"/>
        <w:spacing w:after="240" w:line="384" w:lineRule="auto"/>
        <w:jc w:val="left"/>
        <w:rPr>
          <w:rFonts w:hint="default" w:ascii="宋体" w:hAnsi="宋体" w:cs="宋体"/>
          <w:color w:val="000000" w:themeColor="text1"/>
          <w:kern w:val="0"/>
          <w:sz w:val="28"/>
          <w:szCs w:val="28"/>
          <w:lang w:val="en-US" w:eastAsia="zh-CN"/>
          <w14:textFill>
            <w14:solidFill>
              <w14:schemeClr w14:val="tx1"/>
            </w14:solidFill>
          </w14:textFill>
        </w:rPr>
      </w:pPr>
    </w:p>
    <w:p>
      <w:pPr>
        <w:jc w:val="center"/>
        <w:rPr>
          <w:rFonts w:hint="eastAsia"/>
          <w:b/>
          <w:bCs/>
          <w:color w:val="000000" w:themeColor="text1"/>
          <w:sz w:val="36"/>
          <w:szCs w:val="36"/>
          <w:lang w:val="en-US" w:eastAsia="zh-CN"/>
          <w14:textFill>
            <w14:solidFill>
              <w14:schemeClr w14:val="tx1"/>
            </w14:solidFill>
          </w14:textFill>
        </w:rPr>
      </w:pPr>
      <w:r>
        <w:rPr>
          <w:rFonts w:hint="eastAsia"/>
          <w:b/>
          <w:bCs/>
          <w:color w:val="000000" w:themeColor="text1"/>
          <w:sz w:val="36"/>
          <w:szCs w:val="36"/>
          <w:lang w:val="en-US" w:eastAsia="zh-CN"/>
          <w14:textFill>
            <w14:solidFill>
              <w14:schemeClr w14:val="tx1"/>
            </w14:solidFill>
          </w14:textFill>
        </w:rPr>
        <w:t>江西泓德新能源科技有限公司</w:t>
      </w:r>
    </w:p>
    <w:p>
      <w:pPr>
        <w:jc w:val="center"/>
        <w:rPr>
          <w:rFonts w:hint="eastAsia"/>
          <w:b/>
          <w:bCs/>
          <w:color w:val="000000" w:themeColor="text1"/>
          <w:sz w:val="36"/>
          <w:szCs w:val="36"/>
          <w:lang w:val="en-US" w:eastAsia="zh-CN"/>
          <w14:textFill>
            <w14:solidFill>
              <w14:schemeClr w14:val="tx1"/>
            </w14:solidFill>
          </w14:textFill>
        </w:rPr>
      </w:pPr>
      <w:r>
        <w:rPr>
          <w:rFonts w:hint="eastAsia"/>
          <w:b/>
          <w:bCs/>
          <w:color w:val="000000" w:themeColor="text1"/>
          <w:sz w:val="36"/>
          <w:szCs w:val="36"/>
          <w:lang w:val="en-US" w:eastAsia="zh-CN"/>
          <w14:textFill>
            <w14:solidFill>
              <w14:schemeClr w14:val="tx1"/>
            </w14:solidFill>
          </w14:textFill>
        </w:rPr>
        <w:t>破产财产分配方案</w:t>
      </w:r>
    </w:p>
    <w:p>
      <w:pPr>
        <w:ind w:firstLine="723" w:firstLineChars="200"/>
        <w:jc w:val="center"/>
        <w:rPr>
          <w:rFonts w:hint="eastAsia"/>
          <w:color w:val="000000" w:themeColor="text1"/>
          <w:sz w:val="28"/>
          <w:szCs w:val="28"/>
          <w14:textFill>
            <w14:solidFill>
              <w14:schemeClr w14:val="tx1"/>
            </w14:solidFill>
          </w14:textFill>
        </w:rPr>
      </w:pPr>
      <w:r>
        <w:rPr>
          <w:rFonts w:hint="eastAsia"/>
          <w:b/>
          <w:bCs/>
          <w:color w:val="000000" w:themeColor="text1"/>
          <w:sz w:val="36"/>
          <w:szCs w:val="36"/>
          <w14:textFill>
            <w14:solidFill>
              <w14:schemeClr w14:val="tx1"/>
            </w14:solidFill>
          </w14:textFill>
        </w:rPr>
        <w:br w:type="textWrapping"/>
      </w:r>
      <w:r>
        <w:rPr>
          <w:rFonts w:hint="eastAsia"/>
          <w:color w:val="000000" w:themeColor="text1"/>
          <w:sz w:val="28"/>
          <w:szCs w:val="28"/>
          <w14:textFill>
            <w14:solidFill>
              <w14:schemeClr w14:val="tx1"/>
            </w14:solidFill>
          </w14:textFill>
        </w:rPr>
        <w:t>目录</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一、</w:t>
      </w:r>
      <w:r>
        <w:rPr>
          <w:rFonts w:hint="eastAsia"/>
          <w:color w:val="000000" w:themeColor="text1"/>
          <w:sz w:val="28"/>
          <w:szCs w:val="28"/>
          <w14:textFill>
            <w14:solidFill>
              <w14:schemeClr w14:val="tx1"/>
            </w14:solidFill>
          </w14:textFill>
        </w:rPr>
        <w:t>参加破产财产分配的债权情况</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二、</w:t>
      </w:r>
      <w:r>
        <w:rPr>
          <w:rFonts w:hint="eastAsia"/>
          <w:color w:val="000000" w:themeColor="text1"/>
          <w:sz w:val="28"/>
          <w:szCs w:val="28"/>
          <w14:textFill>
            <w14:solidFill>
              <w14:schemeClr w14:val="tx1"/>
            </w14:solidFill>
          </w14:textFill>
        </w:rPr>
        <w:t>可供分配的破产财产总额</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三、破产财产分配的顺序、比例和数额</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四、破产财产分配的实施办法</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五、特定财产清偿方案</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六、</w:t>
      </w:r>
      <w:r>
        <w:rPr>
          <w:rFonts w:hint="eastAsia"/>
          <w:color w:val="000000" w:themeColor="text1"/>
          <w:sz w:val="28"/>
          <w:szCs w:val="28"/>
          <w:lang w:val="en-US" w:eastAsia="zh-CN"/>
          <w14:textFill>
            <w14:solidFill>
              <w14:schemeClr w14:val="tx1"/>
            </w14:solidFill>
          </w14:textFill>
        </w:rPr>
        <w:t>追加</w:t>
      </w:r>
      <w:r>
        <w:rPr>
          <w:rFonts w:hint="eastAsia"/>
          <w:color w:val="000000" w:themeColor="text1"/>
          <w:sz w:val="28"/>
          <w:szCs w:val="28"/>
          <w14:textFill>
            <w14:solidFill>
              <w14:schemeClr w14:val="tx1"/>
            </w14:solidFill>
          </w14:textFill>
        </w:rPr>
        <w:t>分配的说明</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七、特别说明</w:t>
      </w:r>
    </w:p>
    <w:p>
      <w:pPr>
        <w:ind w:firstLine="560" w:firstLineChars="2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德兴市人民法院(以下简称“德兴法院”)于2021年11月4日作出（2021）赣1181破1号《民事裁定书》，裁定受理江西泓德新能源科技有限公司(以下简称“泓德公司”或“债务人”)破产清算一案，并于2021年11月4日作出（2021）赣1181破1号决定书，指定江西赣东北律师事务所担任管理人。</w:t>
      </w:r>
      <w:r>
        <w:rPr>
          <w:rFonts w:hint="eastAsia"/>
          <w:color w:val="000000" w:themeColor="text1"/>
          <w:sz w:val="28"/>
          <w:szCs w:val="28"/>
          <w14:textFill>
            <w14:solidFill>
              <w14:schemeClr w14:val="tx1"/>
            </w14:solidFill>
          </w14:textFill>
        </w:rPr>
        <w:t>在</w:t>
      </w:r>
      <w:r>
        <w:rPr>
          <w:rFonts w:hint="eastAsia"/>
          <w:color w:val="000000" w:themeColor="text1"/>
          <w:sz w:val="28"/>
          <w:szCs w:val="28"/>
          <w:lang w:val="en-US" w:eastAsia="zh-CN"/>
          <w14:textFill>
            <w14:solidFill>
              <w14:schemeClr w14:val="tx1"/>
            </w14:solidFill>
          </w14:textFill>
        </w:rPr>
        <w:t>德兴法院</w:t>
      </w:r>
      <w:r>
        <w:rPr>
          <w:rFonts w:hint="eastAsia"/>
          <w:color w:val="000000" w:themeColor="text1"/>
          <w:sz w:val="28"/>
          <w:szCs w:val="28"/>
          <w14:textFill>
            <w14:solidFill>
              <w14:schemeClr w14:val="tx1"/>
            </w14:solidFill>
          </w14:textFill>
        </w:rPr>
        <w:t>的指导和债权人会议的监督下,管理人依法履行了相关职责,现管理人根据《中华人民共和国企业破产法》第一百一十三条、第一百一十四条、第一百一十五条等规定,结合债权核查结果及债务人可供分配的破产财产情况,制订本《破产财产分配</w:t>
      </w:r>
      <w:r>
        <w:rPr>
          <w:rFonts w:hint="eastAsia"/>
          <w:color w:val="000000" w:themeColor="text1"/>
          <w:sz w:val="28"/>
          <w:szCs w:val="28"/>
          <w:lang w:val="en-US" w:eastAsia="zh-CN"/>
          <w14:textFill>
            <w14:solidFill>
              <w14:schemeClr w14:val="tx1"/>
            </w14:solidFill>
          </w14:textFill>
        </w:rPr>
        <w:t>方案》。</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一</w:t>
      </w:r>
      <w:r>
        <w:rPr>
          <w:rFonts w:hint="eastAsia"/>
          <w:color w:val="000000" w:themeColor="text1"/>
          <w:sz w:val="28"/>
          <w:szCs w:val="28"/>
          <w14:textFill>
            <w14:solidFill>
              <w14:schemeClr w14:val="tx1"/>
            </w14:solidFill>
          </w14:textFill>
        </w:rPr>
        <w:t>、参加破产财产分配的债权情况</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参加破产财产分配的债权人共计</w:t>
      </w:r>
      <w:r>
        <w:rPr>
          <w:rFonts w:hint="eastAsia"/>
          <w:color w:val="000000" w:themeColor="text1"/>
          <w:sz w:val="28"/>
          <w:szCs w:val="28"/>
          <w:lang w:val="en-US" w:eastAsia="zh-CN"/>
          <w14:textFill>
            <w14:solidFill>
              <w14:schemeClr w14:val="tx1"/>
            </w14:solidFill>
          </w14:textFill>
        </w:rPr>
        <w:t>9</w:t>
      </w:r>
      <w:r>
        <w:rPr>
          <w:rFonts w:hint="eastAsia"/>
          <w:color w:val="000000" w:themeColor="text1"/>
          <w:sz w:val="28"/>
          <w:szCs w:val="28"/>
          <w14:textFill>
            <w14:solidFill>
              <w14:schemeClr w14:val="tx1"/>
            </w14:solidFill>
          </w14:textFill>
        </w:rPr>
        <w:t>户,债权总</w:t>
      </w:r>
      <w:r>
        <w:rPr>
          <w:rFonts w:hint="eastAsia"/>
          <w:color w:val="000000" w:themeColor="text1"/>
          <w:sz w:val="28"/>
          <w:szCs w:val="28"/>
          <w:lang w:val="en-US" w:eastAsia="zh-CN"/>
          <w14:textFill>
            <w14:solidFill>
              <w14:schemeClr w14:val="tx1"/>
            </w14:solidFill>
          </w14:textFill>
        </w:rPr>
        <w:t>金额</w:t>
      </w:r>
      <w:r>
        <w:rPr>
          <w:rFonts w:hint="eastAsia"/>
          <w:color w:val="000000" w:themeColor="text1"/>
          <w:sz w:val="28"/>
          <w:szCs w:val="28"/>
          <w14:textFill>
            <w14:solidFill>
              <w14:schemeClr w14:val="tx1"/>
            </w14:solidFill>
          </w14:textFill>
        </w:rPr>
        <w:t>为人民币</w:t>
      </w:r>
      <w:r>
        <w:rPr>
          <w:rFonts w:hint="eastAsia"/>
          <w:color w:val="000000" w:themeColor="text1"/>
          <w:sz w:val="28"/>
          <w:szCs w:val="28"/>
          <w:lang w:val="en-US" w:eastAsia="zh-CN"/>
          <w14:textFill>
            <w14:solidFill>
              <w14:schemeClr w14:val="tx1"/>
            </w14:solidFill>
          </w14:textFill>
        </w:rPr>
        <w:t>11841940.35</w:t>
      </w:r>
      <w:r>
        <w:rPr>
          <w:rFonts w:hint="eastAsia"/>
          <w:color w:val="000000" w:themeColor="text1"/>
          <w:sz w:val="28"/>
          <w:szCs w:val="28"/>
          <w14:textFill>
            <w14:solidFill>
              <w14:schemeClr w14:val="tx1"/>
            </w14:solidFill>
          </w14:textFill>
        </w:rPr>
        <w:t>元。</w:t>
      </w:r>
    </w:p>
    <w:p>
      <w:pPr>
        <w:ind w:firstLine="560" w:firstLineChars="200"/>
        <w:rPr>
          <w:rFonts w:hint="default"/>
          <w:color w:val="000000" w:themeColor="text1"/>
          <w:sz w:val="28"/>
          <w:szCs w:val="28"/>
          <w:lang w:val="en-US"/>
          <w14:textFill>
            <w14:solidFill>
              <w14:schemeClr w14:val="tx1"/>
            </w14:solidFill>
          </w14:textFill>
        </w:rPr>
      </w:pPr>
      <w:r>
        <w:rPr>
          <w:rFonts w:hint="eastAsia"/>
          <w:color w:val="000000" w:themeColor="text1"/>
          <w:sz w:val="28"/>
          <w:szCs w:val="28"/>
          <w14:textFill>
            <w14:solidFill>
              <w14:schemeClr w14:val="tx1"/>
            </w14:solidFill>
          </w14:textFill>
        </w:rPr>
        <w:t>其中:特定财产享有担保的债权</w:t>
      </w:r>
      <w:r>
        <w:rPr>
          <w:rFonts w:hint="eastAsia"/>
          <w:color w:val="000000" w:themeColor="text1"/>
          <w:sz w:val="28"/>
          <w:szCs w:val="28"/>
          <w:lang w:val="en-US" w:eastAsia="zh-CN"/>
          <w14:textFill>
            <w14:solidFill>
              <w14:schemeClr w14:val="tx1"/>
            </w14:solidFill>
          </w14:textFill>
        </w:rPr>
        <w:t>0</w:t>
      </w:r>
      <w:r>
        <w:rPr>
          <w:rFonts w:hint="eastAsia"/>
          <w:color w:val="000000" w:themeColor="text1"/>
          <w:sz w:val="28"/>
          <w:szCs w:val="28"/>
          <w14:textFill>
            <w14:solidFill>
              <w14:schemeClr w14:val="tx1"/>
            </w14:solidFill>
          </w14:textFill>
        </w:rPr>
        <w:t>户,债权金额</w:t>
      </w:r>
      <w:r>
        <w:rPr>
          <w:rFonts w:hint="eastAsia"/>
          <w:color w:val="000000" w:themeColor="text1"/>
          <w:sz w:val="28"/>
          <w:szCs w:val="28"/>
          <w:lang w:val="en-US" w:eastAsia="zh-CN"/>
          <w14:textFill>
            <w14:solidFill>
              <w14:schemeClr w14:val="tx1"/>
            </w14:solidFill>
          </w14:textFill>
        </w:rPr>
        <w:t>0</w:t>
      </w:r>
      <w:r>
        <w:rPr>
          <w:rFonts w:hint="eastAsia"/>
          <w:color w:val="000000" w:themeColor="text1"/>
          <w:sz w:val="28"/>
          <w:szCs w:val="28"/>
          <w14:textFill>
            <w14:solidFill>
              <w14:schemeClr w14:val="tx1"/>
            </w14:solidFill>
          </w14:textFill>
        </w:rPr>
        <w:t>元;职工债权</w:t>
      </w:r>
      <w:r>
        <w:rPr>
          <w:rFonts w:hint="eastAsia"/>
          <w:color w:val="000000" w:themeColor="text1"/>
          <w:sz w:val="28"/>
          <w:szCs w:val="28"/>
          <w:lang w:val="en-US" w:eastAsia="zh-CN"/>
          <w14:textFill>
            <w14:solidFill>
              <w14:schemeClr w14:val="tx1"/>
            </w14:solidFill>
          </w14:textFill>
        </w:rPr>
        <w:t>0</w:t>
      </w:r>
      <w:r>
        <w:rPr>
          <w:rFonts w:hint="eastAsia"/>
          <w:color w:val="000000" w:themeColor="text1"/>
          <w:sz w:val="28"/>
          <w:szCs w:val="28"/>
          <w14:textFill>
            <w14:solidFill>
              <w14:schemeClr w14:val="tx1"/>
            </w14:solidFill>
          </w14:textFill>
        </w:rPr>
        <w:t>户,</w:t>
      </w:r>
      <w:r>
        <w:rPr>
          <w:rFonts w:hint="eastAsia"/>
          <w:color w:val="000000" w:themeColor="text1"/>
          <w:sz w:val="28"/>
          <w:szCs w:val="28"/>
          <w:lang w:val="en-US" w:eastAsia="zh-CN"/>
          <w14:textFill>
            <w14:solidFill>
              <w14:schemeClr w14:val="tx1"/>
            </w14:solidFill>
          </w14:textFill>
        </w:rPr>
        <w:t>债权</w:t>
      </w:r>
      <w:r>
        <w:rPr>
          <w:rFonts w:hint="eastAsia"/>
          <w:color w:val="000000" w:themeColor="text1"/>
          <w:sz w:val="28"/>
          <w:szCs w:val="28"/>
          <w14:textFill>
            <w14:solidFill>
              <w14:schemeClr w14:val="tx1"/>
            </w14:solidFill>
          </w14:textFill>
        </w:rPr>
        <w:t>金额为</w:t>
      </w:r>
      <w:r>
        <w:rPr>
          <w:rFonts w:hint="eastAsia"/>
          <w:color w:val="000000" w:themeColor="text1"/>
          <w:sz w:val="28"/>
          <w:szCs w:val="28"/>
          <w:lang w:val="en-US" w:eastAsia="zh-CN"/>
          <w14:textFill>
            <w14:solidFill>
              <w14:schemeClr w14:val="tx1"/>
            </w14:solidFill>
          </w14:textFill>
        </w:rPr>
        <w:t>0</w:t>
      </w:r>
      <w:r>
        <w:rPr>
          <w:rFonts w:hint="eastAsia"/>
          <w:color w:val="000000" w:themeColor="text1"/>
          <w:sz w:val="28"/>
          <w:szCs w:val="28"/>
          <w14:textFill>
            <w14:solidFill>
              <w14:schemeClr w14:val="tx1"/>
            </w14:solidFill>
          </w14:textFill>
        </w:rPr>
        <w:t>元;税费债权</w:t>
      </w:r>
      <w:r>
        <w:rPr>
          <w:rFonts w:hint="eastAsia"/>
          <w:color w:val="000000" w:themeColor="text1"/>
          <w:sz w:val="28"/>
          <w:szCs w:val="28"/>
          <w:lang w:val="en-US" w:eastAsia="zh-CN"/>
          <w14:textFill>
            <w14:solidFill>
              <w14:schemeClr w14:val="tx1"/>
            </w14:solidFill>
          </w14:textFill>
        </w:rPr>
        <w:t>1</w:t>
      </w:r>
      <w:r>
        <w:rPr>
          <w:rFonts w:hint="eastAsia"/>
          <w:color w:val="000000" w:themeColor="text1"/>
          <w:sz w:val="28"/>
          <w:szCs w:val="28"/>
          <w14:textFill>
            <w14:solidFill>
              <w14:schemeClr w14:val="tx1"/>
            </w14:solidFill>
          </w14:textFill>
        </w:rPr>
        <w:t>户,债权金额为</w:t>
      </w:r>
      <w:r>
        <w:rPr>
          <w:rFonts w:hint="eastAsia"/>
          <w:color w:val="000000" w:themeColor="text1"/>
          <w:sz w:val="28"/>
          <w:szCs w:val="28"/>
          <w:lang w:val="en-US" w:eastAsia="zh-CN"/>
          <w14:textFill>
            <w14:solidFill>
              <w14:schemeClr w14:val="tx1"/>
            </w14:solidFill>
          </w14:textFill>
        </w:rPr>
        <w:t>1531036</w:t>
      </w:r>
      <w:r>
        <w:rPr>
          <w:rFonts w:hint="eastAsia"/>
          <w:color w:val="000000" w:themeColor="text1"/>
          <w:sz w:val="28"/>
          <w:szCs w:val="28"/>
          <w14:textFill>
            <w14:solidFill>
              <w14:schemeClr w14:val="tx1"/>
            </w14:solidFill>
          </w14:textFill>
        </w:rPr>
        <w:t>元;</w:t>
      </w:r>
      <w:r>
        <w:rPr>
          <w:rFonts w:hint="eastAsia"/>
          <w:color w:val="000000" w:themeColor="text1"/>
          <w:sz w:val="28"/>
          <w:szCs w:val="28"/>
          <w:lang w:val="en-US" w:eastAsia="zh-CN"/>
          <w14:textFill>
            <w14:solidFill>
              <w14:schemeClr w14:val="tx1"/>
            </w14:solidFill>
          </w14:textFill>
        </w:rPr>
        <w:t>社保债权1户，债权金额56758.66元；</w:t>
      </w:r>
      <w:r>
        <w:rPr>
          <w:rFonts w:hint="eastAsia"/>
          <w:color w:val="000000" w:themeColor="text1"/>
          <w:sz w:val="28"/>
          <w:szCs w:val="28"/>
          <w14:textFill>
            <w14:solidFill>
              <w14:schemeClr w14:val="tx1"/>
            </w14:solidFill>
          </w14:textFill>
        </w:rPr>
        <w:t>普通债权</w:t>
      </w:r>
      <w:r>
        <w:rPr>
          <w:rFonts w:hint="eastAsia"/>
          <w:color w:val="000000" w:themeColor="text1"/>
          <w:sz w:val="28"/>
          <w:szCs w:val="28"/>
          <w:lang w:val="en-US" w:eastAsia="zh-CN"/>
          <w14:textFill>
            <w14:solidFill>
              <w14:schemeClr w14:val="tx1"/>
            </w14:solidFill>
          </w14:textFill>
        </w:rPr>
        <w:t>9</w:t>
      </w:r>
      <w:r>
        <w:rPr>
          <w:rFonts w:hint="eastAsia"/>
          <w:color w:val="000000" w:themeColor="text1"/>
          <w:sz w:val="28"/>
          <w:szCs w:val="28"/>
          <w14:textFill>
            <w14:solidFill>
              <w14:schemeClr w14:val="tx1"/>
            </w14:solidFill>
          </w14:textFill>
        </w:rPr>
        <w:t>户,债权金额</w:t>
      </w:r>
      <w:r>
        <w:rPr>
          <w:rFonts w:hint="eastAsia"/>
          <w:color w:val="000000" w:themeColor="text1"/>
          <w:sz w:val="28"/>
          <w:szCs w:val="28"/>
          <w:lang w:val="en-US" w:eastAsia="zh-CN"/>
          <w14:textFill>
            <w14:solidFill>
              <w14:schemeClr w14:val="tx1"/>
            </w14:solidFill>
          </w14:textFill>
        </w:rPr>
        <w:t>11841940.35元。</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二、可供分配的破产财产总额</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债务人名下所有财产在裁定受理破产前已被法院强制执行通过拍卖方式变现，经管理人调查核实，现债务人名下共有银行存款人民币2943166.37元可供分配</w:t>
      </w:r>
      <w:r>
        <w:rPr>
          <w:rFonts w:hint="eastAsia"/>
          <w:color w:val="000000" w:themeColor="text1"/>
          <w:sz w:val="28"/>
          <w:szCs w:val="28"/>
          <w14:textFill>
            <w14:solidFill>
              <w14:schemeClr w14:val="tx1"/>
            </w14:solidFill>
          </w14:textFill>
        </w:rPr>
        <w:t>。</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三、破产财产分配的顺序、比例和数额</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1</w:t>
      </w:r>
      <w:r>
        <w:rPr>
          <w:rFonts w:hint="eastAsia"/>
          <w:color w:val="000000" w:themeColor="text1"/>
          <w:sz w:val="28"/>
          <w:szCs w:val="28"/>
          <w14:textFill>
            <w14:solidFill>
              <w14:schemeClr w14:val="tx1"/>
            </w14:solidFill>
          </w14:textFill>
        </w:rPr>
        <w:t>)破产费用和共益债务的清偿情况</w:t>
      </w: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截至</w:t>
      </w:r>
      <w:r>
        <w:rPr>
          <w:rFonts w:hint="eastAsia"/>
          <w:color w:val="000000" w:themeColor="text1"/>
          <w:sz w:val="28"/>
          <w:szCs w:val="28"/>
          <w:lang w:val="en-US" w:eastAsia="zh-CN"/>
          <w14:textFill>
            <w14:solidFill>
              <w14:schemeClr w14:val="tx1"/>
            </w14:solidFill>
          </w14:textFill>
        </w:rPr>
        <w:t>2022年1月24</w:t>
      </w:r>
      <w:r>
        <w:rPr>
          <w:rFonts w:hint="eastAsia"/>
          <w:color w:val="000000" w:themeColor="text1"/>
          <w:sz w:val="28"/>
          <w:szCs w:val="28"/>
          <w14:textFill>
            <w14:solidFill>
              <w14:schemeClr w14:val="tx1"/>
            </w14:solidFill>
          </w14:textFill>
        </w:rPr>
        <w:t>日,发生破产费用、共益债务(含已发生清偿</w:t>
      </w:r>
    </w:p>
    <w:p>
      <w:pP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和未清偿,以及预留款项,不含管理人报酬)合计</w:t>
      </w:r>
      <w:r>
        <w:rPr>
          <w:rFonts w:hint="eastAsia"/>
          <w:color w:val="000000" w:themeColor="text1"/>
          <w:sz w:val="28"/>
          <w:szCs w:val="28"/>
          <w:lang w:val="en-US" w:eastAsia="zh-CN"/>
          <w14:textFill>
            <w14:solidFill>
              <w14:schemeClr w14:val="tx1"/>
            </w14:solidFill>
          </w14:textFill>
        </w:rPr>
        <w:t>15737</w:t>
      </w:r>
      <w:r>
        <w:rPr>
          <w:rFonts w:hint="eastAsia"/>
          <w:color w:val="000000" w:themeColor="text1"/>
          <w:sz w:val="28"/>
          <w:szCs w:val="28"/>
          <w14:textFill>
            <w14:solidFill>
              <w14:schemeClr w14:val="tx1"/>
            </w14:solidFill>
          </w14:textFill>
        </w:rPr>
        <w:t>元,明细如下表: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1704"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序号</w:t>
            </w:r>
          </w:p>
        </w:tc>
        <w:tc>
          <w:tcPr>
            <w:tcW w:w="1704" w:type="dxa"/>
          </w:tcPr>
          <w:p>
            <w:pPr>
              <w:ind w:firstLine="560" w:firstLineChars="200"/>
              <w:jc w:val="both"/>
              <w:rPr>
                <w:rFonts w:hint="eastAsia"/>
                <w:color w:val="000000" w:themeColor="text1"/>
                <w:sz w:val="28"/>
                <w:szCs w:val="28"/>
                <w:vertAlign w:val="baseline"/>
                <w14:textFill>
                  <w14:solidFill>
                    <w14:schemeClr w14:val="tx1"/>
                  </w14:solidFill>
                </w14:textFill>
              </w:rPr>
            </w:pPr>
            <w:r>
              <w:rPr>
                <w:rFonts w:hint="eastAsia"/>
                <w:color w:val="000000" w:themeColor="text1"/>
                <w:sz w:val="28"/>
                <w:szCs w:val="28"/>
                <w14:textFill>
                  <w14:solidFill>
                    <w14:schemeClr w14:val="tx1"/>
                  </w14:solidFill>
                </w14:textFill>
              </w:rPr>
              <w:t>名目</w:t>
            </w:r>
          </w:p>
        </w:tc>
        <w:tc>
          <w:tcPr>
            <w:tcW w:w="1704" w:type="dxa"/>
          </w:tcPr>
          <w:p>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金额(元)</w:t>
            </w:r>
          </w:p>
          <w:p>
            <w:pPr>
              <w:jc w:val="center"/>
              <w:rPr>
                <w:rFonts w:hint="eastAsia"/>
                <w:color w:val="000000" w:themeColor="text1"/>
                <w:sz w:val="28"/>
                <w:szCs w:val="28"/>
                <w:vertAlign w:val="baseline"/>
                <w14:textFill>
                  <w14:solidFill>
                    <w14:schemeClr w14:val="tx1"/>
                  </w14:solidFill>
                </w14:textFill>
              </w:rPr>
            </w:pPr>
          </w:p>
        </w:tc>
        <w:tc>
          <w:tcPr>
            <w:tcW w:w="1705" w:type="dxa"/>
          </w:tcPr>
          <w:p>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备注</w:t>
            </w:r>
          </w:p>
          <w:p>
            <w:pPr>
              <w:rPr>
                <w:rFonts w:hint="eastAsia"/>
                <w:color w:val="000000" w:themeColor="text1"/>
                <w:sz w:val="28"/>
                <w:szCs w:val="28"/>
                <w:vertAlign w:val="baseline"/>
                <w14:textFill>
                  <w14:solidFill>
                    <w14:schemeClr w14:val="tx1"/>
                  </w14:solidFill>
                </w14:textFill>
              </w:rPr>
            </w:pPr>
          </w:p>
        </w:tc>
        <w:tc>
          <w:tcPr>
            <w:tcW w:w="1705"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清偿情况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w:t>
            </w:r>
          </w:p>
        </w:tc>
        <w:tc>
          <w:tcPr>
            <w:tcW w:w="1704"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破产案件受理费</w:t>
            </w:r>
          </w:p>
        </w:tc>
        <w:tc>
          <w:tcPr>
            <w:tcW w:w="1704"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15173</w:t>
            </w:r>
          </w:p>
        </w:tc>
        <w:tc>
          <w:tcPr>
            <w:tcW w:w="1705" w:type="dxa"/>
          </w:tcPr>
          <w:p>
            <w:pPr>
              <w:rPr>
                <w:rFonts w:hint="eastAsia"/>
                <w:color w:val="000000" w:themeColor="text1"/>
                <w:sz w:val="28"/>
                <w:szCs w:val="28"/>
                <w:vertAlign w:val="baseline"/>
                <w14:textFill>
                  <w14:solidFill>
                    <w14:schemeClr w14:val="tx1"/>
                  </w14:solidFill>
                </w14:textFill>
              </w:rPr>
            </w:pPr>
          </w:p>
        </w:tc>
        <w:tc>
          <w:tcPr>
            <w:tcW w:w="1705" w:type="dxa"/>
          </w:tcPr>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暂未支付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w:t>
            </w:r>
          </w:p>
        </w:tc>
        <w:tc>
          <w:tcPr>
            <w:tcW w:w="1704"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管理人执行职务的费用</w:t>
            </w:r>
          </w:p>
        </w:tc>
        <w:tc>
          <w:tcPr>
            <w:tcW w:w="1704"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564</w:t>
            </w:r>
          </w:p>
        </w:tc>
        <w:tc>
          <w:tcPr>
            <w:tcW w:w="1705" w:type="dxa"/>
          </w:tcPr>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刻章费、开户费</w:t>
            </w:r>
          </w:p>
        </w:tc>
        <w:tc>
          <w:tcPr>
            <w:tcW w:w="1705" w:type="dxa"/>
          </w:tcPr>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管理人垫付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p>
        </w:tc>
        <w:tc>
          <w:tcPr>
            <w:tcW w:w="1704"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合计</w:t>
            </w:r>
          </w:p>
        </w:tc>
        <w:tc>
          <w:tcPr>
            <w:tcW w:w="1704"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15737</w:t>
            </w:r>
          </w:p>
        </w:tc>
        <w:tc>
          <w:tcPr>
            <w:tcW w:w="1705" w:type="dxa"/>
          </w:tcPr>
          <w:p>
            <w:pPr>
              <w:rPr>
                <w:rFonts w:hint="default" w:eastAsiaTheme="minorEastAsia"/>
                <w:color w:val="000000" w:themeColor="text1"/>
                <w:sz w:val="28"/>
                <w:szCs w:val="28"/>
                <w:vertAlign w:val="baseline"/>
                <w:lang w:val="en-US" w:eastAsia="zh-CN"/>
                <w14:textFill>
                  <w14:solidFill>
                    <w14:schemeClr w14:val="tx1"/>
                  </w14:solidFill>
                </w14:textFill>
              </w:rPr>
            </w:pPr>
          </w:p>
        </w:tc>
        <w:tc>
          <w:tcPr>
            <w:tcW w:w="1705" w:type="dxa"/>
          </w:tcPr>
          <w:p>
            <w:pPr>
              <w:rPr>
                <w:rFonts w:hint="eastAsia"/>
                <w:color w:val="000000" w:themeColor="text1"/>
                <w:sz w:val="28"/>
                <w:szCs w:val="28"/>
                <w:vertAlign w:val="baseline"/>
                <w14:textFill>
                  <w14:solidFill>
                    <w14:schemeClr w14:val="tx1"/>
                  </w14:solidFill>
                </w14:textFill>
              </w:rPr>
            </w:pPr>
          </w:p>
        </w:tc>
      </w:tr>
    </w:tbl>
    <w:p>
      <w:pPr>
        <w:ind w:firstLine="560" w:firstLineChars="200"/>
        <w:rPr>
          <w:rFonts w:hint="eastAsia"/>
          <w:color w:val="000000" w:themeColor="text1"/>
          <w:sz w:val="28"/>
          <w:szCs w:val="28"/>
          <w14:textFill>
            <w14:solidFill>
              <w14:schemeClr w14:val="tx1"/>
            </w14:solidFill>
          </w14:textFill>
        </w:rPr>
      </w:pPr>
    </w:p>
    <w:p>
      <w:pPr>
        <w:ind w:firstLine="560" w:firstLineChars="200"/>
        <w:rPr>
          <w:rFonts w:hint="eastAsia"/>
          <w:color w:val="000000" w:themeColor="text1"/>
          <w:sz w:val="28"/>
          <w:szCs w:val="28"/>
          <w14:textFill>
            <w14:solidFill>
              <w14:schemeClr w14:val="tx1"/>
            </w14:solidFill>
          </w14:textFill>
        </w:rPr>
      </w:pPr>
    </w:p>
    <w:p>
      <w:pPr>
        <w:ind w:firstLine="560" w:firstLineChars="200"/>
        <w:rPr>
          <w:rFonts w:hint="eastAsia"/>
          <w:color w:val="000000" w:themeColor="text1"/>
          <w:sz w:val="28"/>
          <w:szCs w:val="28"/>
          <w14:textFill>
            <w14:solidFill>
              <w14:schemeClr w14:val="tx1"/>
            </w14:solidFill>
          </w14:textFill>
        </w:rPr>
      </w:pPr>
    </w:p>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(二)管理人报酬以及最终可供清偿的财产价值总额</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423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序号</w:t>
            </w:r>
          </w:p>
        </w:tc>
        <w:tc>
          <w:tcPr>
            <w:tcW w:w="4231"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内容</w:t>
            </w:r>
          </w:p>
        </w:tc>
        <w:tc>
          <w:tcPr>
            <w:tcW w:w="2841"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w:t>
            </w:r>
          </w:p>
        </w:tc>
        <w:tc>
          <w:tcPr>
            <w:tcW w:w="4231" w:type="dxa"/>
          </w:tcPr>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可供分配的债务人财产总额</w:t>
            </w:r>
          </w:p>
        </w:tc>
        <w:tc>
          <w:tcPr>
            <w:tcW w:w="2841"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2943166.37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w:t>
            </w:r>
          </w:p>
        </w:tc>
        <w:tc>
          <w:tcPr>
            <w:tcW w:w="4231" w:type="dxa"/>
          </w:tcPr>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担保债权有限受偿金额（不含分摊费用）</w:t>
            </w:r>
          </w:p>
        </w:tc>
        <w:tc>
          <w:tcPr>
            <w:tcW w:w="2841"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3</w:t>
            </w:r>
          </w:p>
        </w:tc>
        <w:tc>
          <w:tcPr>
            <w:tcW w:w="4231" w:type="dxa"/>
          </w:tcPr>
          <w:p>
            <w:pPr>
              <w:rPr>
                <w:rFonts w:hint="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破产费用及公益债务（含已发生清偿、未清偿,以及预提部分,</w:t>
            </w:r>
          </w:p>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不含管理人报酬）</w:t>
            </w:r>
          </w:p>
        </w:tc>
        <w:tc>
          <w:tcPr>
            <w:tcW w:w="2841" w:type="dxa"/>
          </w:tcPr>
          <w:p>
            <w:pPr>
              <w:jc w:val="center"/>
              <w:rPr>
                <w:rFonts w:hint="eastAsia"/>
                <w:color w:val="000000" w:themeColor="text1"/>
                <w:sz w:val="28"/>
                <w:szCs w:val="28"/>
                <w:vertAlign w:val="baseline"/>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15737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4</w:t>
            </w:r>
          </w:p>
        </w:tc>
        <w:tc>
          <w:tcPr>
            <w:tcW w:w="4231" w:type="dxa"/>
          </w:tcPr>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可供清偿的财产价值总额(1-2-3)</w:t>
            </w:r>
          </w:p>
          <w:p>
            <w:pPr>
              <w:rPr>
                <w:rFonts w:hint="eastAsia"/>
                <w:color w:val="000000" w:themeColor="text1"/>
                <w:sz w:val="28"/>
                <w:szCs w:val="28"/>
                <w:vertAlign w:val="baseline"/>
                <w14:textFill>
                  <w14:solidFill>
                    <w14:schemeClr w14:val="tx1"/>
                  </w14:solidFill>
                </w14:textFill>
              </w:rPr>
            </w:pPr>
          </w:p>
        </w:tc>
        <w:tc>
          <w:tcPr>
            <w:tcW w:w="2841"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2927429.37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5</w:t>
            </w:r>
          </w:p>
        </w:tc>
        <w:tc>
          <w:tcPr>
            <w:tcW w:w="4231" w:type="dxa"/>
          </w:tcPr>
          <w:p>
            <w:pP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参照</w:t>
            </w:r>
            <w:r>
              <w:rPr>
                <w:rFonts w:hint="eastAsia"/>
                <w:color w:val="000000" w:themeColor="text1"/>
                <w:sz w:val="28"/>
                <w:szCs w:val="28"/>
                <w:vertAlign w:val="baseline"/>
                <w:lang w:eastAsia="zh-CN"/>
                <w14:textFill>
                  <w14:solidFill>
                    <w14:schemeClr w14:val="tx1"/>
                  </w14:solidFill>
                </w14:textFill>
              </w:rPr>
              <w:t>《</w:t>
            </w:r>
            <w:r>
              <w:rPr>
                <w:rFonts w:hint="eastAsia"/>
                <w:color w:val="000000" w:themeColor="text1"/>
                <w:sz w:val="28"/>
                <w:szCs w:val="28"/>
                <w:vertAlign w:val="baseline"/>
                <w:lang w:val="en-US" w:eastAsia="zh-CN"/>
                <w14:textFill>
                  <w14:solidFill>
                    <w14:schemeClr w14:val="tx1"/>
                  </w14:solidFill>
                </w14:textFill>
              </w:rPr>
              <w:t>最高人民法院关于审理破产案件确定管理人报酬的规定</w:t>
            </w:r>
            <w:r>
              <w:rPr>
                <w:rFonts w:hint="eastAsia"/>
                <w:color w:val="000000" w:themeColor="text1"/>
                <w:sz w:val="28"/>
                <w:szCs w:val="28"/>
                <w:vertAlign w:val="baseline"/>
                <w:lang w:eastAsia="zh-CN"/>
                <w14:textFill>
                  <w14:solidFill>
                    <w14:schemeClr w14:val="tx1"/>
                  </w14:solidFill>
                </w14:textFill>
              </w:rPr>
              <w:t>》</w:t>
            </w:r>
            <w:r>
              <w:rPr>
                <w:rFonts w:hint="eastAsia"/>
                <w:color w:val="000000" w:themeColor="text1"/>
                <w:sz w:val="28"/>
                <w:szCs w:val="28"/>
                <w:vertAlign w:val="baseline"/>
                <w:lang w:val="en-US" w:eastAsia="zh-CN"/>
                <w14:textFill>
                  <w14:solidFill>
                    <w14:schemeClr w14:val="tx1"/>
                  </w14:solidFill>
                </w14:textFill>
              </w:rPr>
              <w:t>第二条规定</w:t>
            </w:r>
          </w:p>
        </w:tc>
        <w:tc>
          <w:tcPr>
            <w:tcW w:w="2841"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tcPr>
          <w:p>
            <w:pPr>
              <w:jc w:val="center"/>
              <w:rPr>
                <w:rFonts w:hint="eastAsia"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6</w:t>
            </w:r>
          </w:p>
        </w:tc>
        <w:tc>
          <w:tcPr>
            <w:tcW w:w="4231" w:type="dxa"/>
          </w:tcPr>
          <w:p>
            <w:p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最终可供清偿的财产价值总额(4-5)</w:t>
            </w:r>
          </w:p>
          <w:p>
            <w:pPr>
              <w:rPr>
                <w:rFonts w:hint="eastAsia"/>
                <w:color w:val="000000" w:themeColor="text1"/>
                <w:sz w:val="28"/>
                <w:szCs w:val="28"/>
                <w:vertAlign w:val="baseline"/>
                <w14:textFill>
                  <w14:solidFill>
                    <w14:schemeClr w14:val="tx1"/>
                  </w14:solidFill>
                </w14:textFill>
              </w:rPr>
            </w:pPr>
          </w:p>
        </w:tc>
        <w:tc>
          <w:tcPr>
            <w:tcW w:w="2841" w:type="dxa"/>
          </w:tcPr>
          <w:p>
            <w:pPr>
              <w:jc w:val="center"/>
              <w:rPr>
                <w:rFonts w:hint="default" w:eastAsiaTheme="minor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2747429.37</w:t>
            </w:r>
          </w:p>
        </w:tc>
      </w:tr>
    </w:tbl>
    <w:p>
      <w:pPr>
        <w:rPr>
          <w:rFonts w:hint="eastAsia"/>
          <w:color w:val="000000" w:themeColor="text1"/>
          <w:sz w:val="28"/>
          <w:szCs w:val="28"/>
          <w14:textFill>
            <w14:solidFill>
              <w14:schemeClr w14:val="tx1"/>
            </w14:solidFill>
          </w14:textFill>
        </w:rPr>
      </w:pPr>
    </w:p>
    <w:p>
      <w:pPr>
        <w:numPr>
          <w:ilvl w:val="0"/>
          <w:numId w:val="2"/>
        </w:numPr>
        <w:ind w:firstLine="560" w:firstLineChars="200"/>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破产债权的分配</w:t>
      </w:r>
    </w:p>
    <w:p>
      <w:pPr>
        <w:ind w:firstLine="560" w:firstLineChars="200"/>
        <w:rPr>
          <w:rFonts w:hint="eastAsia" w:eastAsiaTheme="minorEastAsia"/>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最终可供清偿的财产价值总额2747429.37元,根据《中华人民共和国企业产法》第一百一十三条的规定,按职工债权、税费债权</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社保债权</w:t>
      </w:r>
      <w:r>
        <w:rPr>
          <w:rFonts w:hint="eastAsia"/>
          <w:color w:val="000000" w:themeColor="text1"/>
          <w:sz w:val="28"/>
          <w:szCs w:val="28"/>
          <w14:textFill>
            <w14:solidFill>
              <w14:schemeClr w14:val="tx1"/>
            </w14:solidFill>
          </w14:textFill>
        </w:rPr>
        <w:t>和普通债权的顺序,</w:t>
      </w:r>
      <w:r>
        <w:rPr>
          <w:rFonts w:hint="eastAsia"/>
          <w:color w:val="000000" w:themeColor="text1"/>
          <w:sz w:val="28"/>
          <w:szCs w:val="28"/>
          <w:lang w:val="en-US" w:eastAsia="zh-CN"/>
          <w14:textFill>
            <w14:solidFill>
              <w14:schemeClr w14:val="tx1"/>
            </w14:solidFill>
          </w14:textFill>
        </w:rPr>
        <w:t>其</w:t>
      </w:r>
      <w:r>
        <w:rPr>
          <w:rFonts w:hint="eastAsia"/>
          <w:color w:val="000000" w:themeColor="text1"/>
          <w:sz w:val="28"/>
          <w:szCs w:val="28"/>
          <w14:textFill>
            <w14:solidFill>
              <w14:schemeClr w14:val="tx1"/>
            </w14:solidFill>
          </w14:textFill>
        </w:rPr>
        <w:t>中</w:t>
      </w:r>
      <w:r>
        <w:rPr>
          <w:rFonts w:hint="eastAsia"/>
          <w:color w:val="000000" w:themeColor="text1"/>
          <w:sz w:val="28"/>
          <w:szCs w:val="28"/>
          <w:lang w:eastAsia="zh-CN"/>
          <w14:textFill>
            <w14:solidFill>
              <w14:schemeClr w14:val="tx1"/>
            </w14:solidFill>
          </w14:textFill>
        </w:rPr>
        <w:t>：</w:t>
      </w:r>
    </w:p>
    <w:p>
      <w:pPr>
        <w:ind w:firstLine="840" w:firstLineChars="300"/>
        <w:rPr>
          <w:rFonts w:hint="eastAsia" w:eastAsiaTheme="minorEastAsia"/>
          <w:color w:val="000000" w:themeColor="text1"/>
          <w:sz w:val="28"/>
          <w:szCs w:val="28"/>
          <w:lang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1.本案无职工债权。</w:t>
      </w:r>
    </w:p>
    <w:p>
      <w:pPr>
        <w:ind w:firstLine="840" w:firstLineChars="3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2.税费债权金额1531036.51元，清偿率100%。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序号</w:t>
            </w:r>
          </w:p>
        </w:tc>
        <w:tc>
          <w:tcPr>
            <w:tcW w:w="2130"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债权人</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债权金额</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受偿金额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w:t>
            </w:r>
          </w:p>
        </w:tc>
        <w:tc>
          <w:tcPr>
            <w:tcW w:w="2130" w:type="dxa"/>
          </w:tcPr>
          <w:p>
            <w:p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国家税务总局德兴市税务局</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1531036.51</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1531036.51</w:t>
            </w:r>
          </w:p>
        </w:tc>
      </w:tr>
    </w:tbl>
    <w:p>
      <w:pPr>
        <w:ind w:firstLine="840" w:firstLineChars="3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3.社保债权金额56758.66元，清偿率100%。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序号</w:t>
            </w:r>
          </w:p>
        </w:tc>
        <w:tc>
          <w:tcPr>
            <w:tcW w:w="2130"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债权人</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债权金额</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受偿金额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w:t>
            </w:r>
          </w:p>
        </w:tc>
        <w:tc>
          <w:tcPr>
            <w:tcW w:w="2130" w:type="dxa"/>
          </w:tcPr>
          <w:p>
            <w:p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德兴市社保局</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56758.66</w:t>
            </w:r>
          </w:p>
        </w:tc>
        <w:tc>
          <w:tcPr>
            <w:tcW w:w="2131" w:type="dxa"/>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56758.66</w:t>
            </w:r>
          </w:p>
        </w:tc>
      </w:tr>
    </w:tbl>
    <w:p>
      <w:pPr>
        <w:numPr>
          <w:ilvl w:val="0"/>
          <w:numId w:val="0"/>
        </w:numPr>
        <w:ind w:firstLine="840" w:firstLineChars="300"/>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4.普通债权金额11841940.35元，清偿率9.792602%。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序号</w:t>
            </w:r>
          </w:p>
        </w:tc>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债权人</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债权金额</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受偿金额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泰州市峰玮安装工程有限公司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1019304</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99816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林则永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1763195</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172662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3</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德兴市飞腾建材销售有限公司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298033.56</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29185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4</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福建省仁宏建设发展有限公司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231718.32</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22691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5</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上海东方泵业（集团）有限公司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41982</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4111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6</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江西竞远建筑工程有限公司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5653564.47</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553631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7</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无锡泰源药化设备制造厂</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1233222</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120764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8</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江苏时空涂装工程有限公司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212148</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20774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9</w:t>
            </w:r>
          </w:p>
        </w:tc>
        <w:tc>
          <w:tcPr>
            <w:tcW w:w="2130"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江西王牌建设工程集团有限公司</w:t>
            </w:r>
          </w:p>
        </w:tc>
        <w:tc>
          <w:tcPr>
            <w:tcW w:w="2131" w:type="dxa"/>
            <w:vAlign w:val="top"/>
          </w:tcPr>
          <w:p>
            <w:pPr>
              <w:jc w:val="cente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1388773</w:t>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135997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numPr>
                <w:ilvl w:val="0"/>
                <w:numId w:val="0"/>
              </w:numPr>
              <w:jc w:val="center"/>
              <w:rPr>
                <w:rFonts w:hint="default"/>
                <w:color w:val="000000" w:themeColor="text1"/>
                <w:sz w:val="28"/>
                <w:szCs w:val="28"/>
                <w:vertAlign w:val="baseline"/>
                <w:lang w:val="en-US" w:eastAsia="zh-CN"/>
                <w14:textFill>
                  <w14:solidFill>
                    <w14:schemeClr w14:val="tx1"/>
                  </w14:solidFill>
                </w14:textFill>
              </w:rPr>
            </w:pPr>
          </w:p>
        </w:tc>
        <w:tc>
          <w:tcPr>
            <w:tcW w:w="2130" w:type="dxa"/>
            <w:vAlign w:val="top"/>
          </w:tcPr>
          <w:p>
            <w:pPr>
              <w:jc w:val="center"/>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合计</w:t>
            </w:r>
          </w:p>
        </w:tc>
        <w:tc>
          <w:tcPr>
            <w:tcW w:w="2131" w:type="dxa"/>
            <w:vAlign w:val="top"/>
          </w:tcPr>
          <w:p>
            <w:pPr>
              <w:jc w:val="center"/>
              <w:rPr>
                <w:rFonts w:hint="eastAsia"/>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fldChar w:fldCharType="begin"/>
            </w:r>
            <w:r>
              <w:rPr>
                <w:rFonts w:hint="eastAsia"/>
                <w:color w:val="000000" w:themeColor="text1"/>
                <w:sz w:val="28"/>
                <w:szCs w:val="28"/>
                <w:vertAlign w:val="baseline"/>
                <w:lang w:val="en-US" w:eastAsia="zh-CN"/>
                <w14:textFill>
                  <w14:solidFill>
                    <w14:schemeClr w14:val="tx1"/>
                  </w14:solidFill>
                </w14:textFill>
              </w:rPr>
              <w:instrText xml:space="preserve"> = sum(D2:D10) \* MERGEFORMAT </w:instrText>
            </w:r>
            <w:r>
              <w:rPr>
                <w:rFonts w:hint="eastAsia"/>
                <w:color w:val="000000" w:themeColor="text1"/>
                <w:sz w:val="28"/>
                <w:szCs w:val="28"/>
                <w:vertAlign w:val="baseline"/>
                <w:lang w:val="en-US" w:eastAsia="zh-CN"/>
                <w14:textFill>
                  <w14:solidFill>
                    <w14:schemeClr w14:val="tx1"/>
                  </w14:solidFill>
                </w14:textFill>
              </w:rPr>
              <w:fldChar w:fldCharType="separate"/>
            </w:r>
            <w:r>
              <w:rPr>
                <w:rFonts w:hint="eastAsia"/>
                <w:color w:val="000000" w:themeColor="text1"/>
                <w:sz w:val="28"/>
                <w:szCs w:val="28"/>
                <w:vertAlign w:val="baseline"/>
                <w:lang w:val="en-US" w:eastAsia="zh-CN"/>
                <w14:textFill>
                  <w14:solidFill>
                    <w14:schemeClr w14:val="tx1"/>
                  </w14:solidFill>
                </w14:textFill>
              </w:rPr>
              <w:t>11841940.35</w:t>
            </w:r>
            <w:r>
              <w:rPr>
                <w:rFonts w:hint="eastAsia"/>
                <w:color w:val="000000" w:themeColor="text1"/>
                <w:sz w:val="28"/>
                <w:szCs w:val="28"/>
                <w:vertAlign w:val="baseline"/>
                <w:lang w:val="en-US" w:eastAsia="zh-CN"/>
                <w14:textFill>
                  <w14:solidFill>
                    <w14:schemeClr w14:val="tx1"/>
                  </w14:solidFill>
                </w14:textFill>
              </w:rPr>
              <w:fldChar w:fldCharType="end"/>
            </w:r>
          </w:p>
        </w:tc>
        <w:tc>
          <w:tcPr>
            <w:tcW w:w="2131" w:type="dxa"/>
          </w:tcPr>
          <w:p>
            <w:pPr>
              <w:numPr>
                <w:ilvl w:val="0"/>
                <w:numId w:val="0"/>
              </w:numPr>
              <w:rPr>
                <w:rFonts w:hint="default"/>
                <w:color w:val="000000" w:themeColor="text1"/>
                <w:sz w:val="28"/>
                <w:szCs w:val="28"/>
                <w:vertAlign w:val="baseline"/>
                <w:lang w:val="en-US" w:eastAsia="zh-CN"/>
                <w14:textFill>
                  <w14:solidFill>
                    <w14:schemeClr w14:val="tx1"/>
                  </w14:solidFill>
                </w14:textFill>
              </w:rPr>
            </w:pPr>
            <w:r>
              <w:rPr>
                <w:rFonts w:hint="default"/>
                <w:color w:val="000000" w:themeColor="text1"/>
                <w:sz w:val="28"/>
                <w:szCs w:val="28"/>
                <w:vertAlign w:val="baseline"/>
                <w:lang w:val="en-US" w:eastAsia="zh-CN"/>
                <w14:textFill>
                  <w14:solidFill>
                    <w14:schemeClr w14:val="tx1"/>
                  </w14:solidFill>
                </w14:textFill>
              </w:rPr>
              <w:fldChar w:fldCharType="begin"/>
            </w:r>
            <w:r>
              <w:rPr>
                <w:rFonts w:hint="default"/>
                <w:color w:val="000000" w:themeColor="text1"/>
                <w:sz w:val="28"/>
                <w:szCs w:val="28"/>
                <w:vertAlign w:val="baseline"/>
                <w:lang w:val="en-US" w:eastAsia="zh-CN"/>
                <w14:textFill>
                  <w14:solidFill>
                    <w14:schemeClr w14:val="tx1"/>
                  </w14:solidFill>
                </w14:textFill>
              </w:rPr>
              <w:instrText xml:space="preserve"> = sum(D2:D10) \* MERGEFORMAT </w:instrText>
            </w:r>
            <w:r>
              <w:rPr>
                <w:rFonts w:hint="default"/>
                <w:color w:val="000000" w:themeColor="text1"/>
                <w:sz w:val="28"/>
                <w:szCs w:val="28"/>
                <w:vertAlign w:val="baseline"/>
                <w:lang w:val="en-US" w:eastAsia="zh-CN"/>
                <w14:textFill>
                  <w14:solidFill>
                    <w14:schemeClr w14:val="tx1"/>
                  </w14:solidFill>
                </w14:textFill>
              </w:rPr>
              <w:fldChar w:fldCharType="separate"/>
            </w:r>
            <w:r>
              <w:rPr>
                <w:rFonts w:hint="default"/>
                <w:color w:val="000000" w:themeColor="text1"/>
                <w:sz w:val="28"/>
                <w:szCs w:val="28"/>
                <w:vertAlign w:val="baseline"/>
                <w:lang w:val="en-US" w:eastAsia="zh-CN"/>
                <w14:textFill>
                  <w14:solidFill>
                    <w14:schemeClr w14:val="tx1"/>
                  </w14:solidFill>
                </w14:textFill>
              </w:rPr>
              <w:t>1159631</w:t>
            </w:r>
            <w:r>
              <w:rPr>
                <w:rFonts w:hint="default"/>
                <w:color w:val="000000" w:themeColor="text1"/>
                <w:sz w:val="28"/>
                <w:szCs w:val="28"/>
                <w:vertAlign w:val="baseline"/>
                <w:lang w:val="en-US" w:eastAsia="zh-CN"/>
                <w14:textFill>
                  <w14:solidFill>
                    <w14:schemeClr w14:val="tx1"/>
                  </w14:solidFill>
                </w14:textFill>
              </w:rPr>
              <w:fldChar w:fldCharType="end"/>
            </w:r>
          </w:p>
        </w:tc>
      </w:tr>
    </w:tbl>
    <w:p>
      <w:pPr>
        <w:numPr>
          <w:ilvl w:val="0"/>
          <w:numId w:val="0"/>
        </w:numPr>
        <w:rPr>
          <w:rFonts w:hint="default"/>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四、破产财产分配的实施办法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(一)分配方式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eastAsiaTheme="minorEastAsia"/>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财产分配以货币方式进行,由管理人根据各债权人提供的银行账号,实施银行转账支付,但经人民法院裁定或要求协助执行查封、冻结的分配权益管理人将不予分配,依法处置</w:t>
      </w:r>
      <w:r>
        <w:rPr>
          <w:rFonts w:hint="eastAsia"/>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(二)分配步骤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管理人按照本分配方案确定的分配顺序按照以下步骤进行分配:</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eastAsiaTheme="minorEastAsia"/>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1.在分配方案实施后</w:t>
      </w:r>
      <w:r>
        <w:rPr>
          <w:rFonts w:hint="eastAsia"/>
          <w:color w:val="000000" w:themeColor="text1"/>
          <w:sz w:val="28"/>
          <w:szCs w:val="28"/>
          <w:lang w:val="en-US" w:eastAsia="zh-CN"/>
          <w14:textFill>
            <w14:solidFill>
              <w14:schemeClr w14:val="tx1"/>
            </w14:solidFill>
          </w14:textFill>
        </w:rPr>
        <w:t>15</w:t>
      </w:r>
      <w:r>
        <w:rPr>
          <w:rFonts w:hint="eastAsia"/>
          <w:color w:val="000000" w:themeColor="text1"/>
          <w:sz w:val="28"/>
          <w:szCs w:val="28"/>
          <w14:textFill>
            <w14:solidFill>
              <w14:schemeClr w14:val="tx1"/>
            </w14:solidFill>
          </w14:textFill>
        </w:rPr>
        <w:t>个工作日内对人民法院已裁定确认的债权人进行分配</w:t>
      </w:r>
      <w:r>
        <w:rPr>
          <w:rFonts w:hint="eastAsia"/>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2.在争议债权经</w:t>
      </w:r>
      <w:r>
        <w:rPr>
          <w:rFonts w:hint="eastAsia"/>
          <w:color w:val="000000" w:themeColor="text1"/>
          <w:sz w:val="28"/>
          <w:szCs w:val="28"/>
          <w:lang w:val="en-US" w:eastAsia="zh-CN"/>
          <w14:textFill>
            <w14:solidFill>
              <w14:schemeClr w14:val="tx1"/>
            </w14:solidFill>
          </w14:textFill>
        </w:rPr>
        <w:t>德兴</w:t>
      </w:r>
      <w:r>
        <w:rPr>
          <w:rFonts w:hint="eastAsia"/>
          <w:color w:val="000000" w:themeColor="text1"/>
          <w:sz w:val="28"/>
          <w:szCs w:val="28"/>
          <w14:textFill>
            <w14:solidFill>
              <w14:schemeClr w14:val="tx1"/>
            </w14:solidFill>
          </w14:textFill>
        </w:rPr>
        <w:t>法院裁定确认后</w:t>
      </w:r>
      <w:r>
        <w:rPr>
          <w:rFonts w:hint="eastAsia"/>
          <w:color w:val="000000" w:themeColor="text1"/>
          <w:sz w:val="28"/>
          <w:szCs w:val="28"/>
          <w:lang w:val="en-US" w:eastAsia="zh-CN"/>
          <w14:textFill>
            <w14:solidFill>
              <w14:schemeClr w14:val="tx1"/>
            </w14:solidFill>
          </w14:textFill>
        </w:rPr>
        <w:t>15</w:t>
      </w:r>
      <w:r>
        <w:rPr>
          <w:rFonts w:hint="eastAsia"/>
          <w:color w:val="000000" w:themeColor="text1"/>
          <w:sz w:val="28"/>
          <w:szCs w:val="28"/>
          <w14:textFill>
            <w14:solidFill>
              <w14:schemeClr w14:val="tx1"/>
            </w14:solidFill>
          </w14:textFill>
        </w:rPr>
        <w:t>个工作日内进行对该部分债权人进行分配(分配提存部分)。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eastAsiaTheme="minorEastAsia"/>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实施日为本分配方案经债权人会议表决通过并由</w:t>
      </w:r>
      <w:r>
        <w:rPr>
          <w:rFonts w:hint="eastAsia"/>
          <w:color w:val="000000" w:themeColor="text1"/>
          <w:sz w:val="28"/>
          <w:szCs w:val="28"/>
          <w:lang w:val="en-US" w:eastAsia="zh-CN"/>
          <w14:textFill>
            <w14:solidFill>
              <w14:schemeClr w14:val="tx1"/>
            </w14:solidFill>
          </w14:textFill>
        </w:rPr>
        <w:t>德兴</w:t>
      </w:r>
      <w:r>
        <w:rPr>
          <w:rFonts w:hint="eastAsia"/>
          <w:color w:val="000000" w:themeColor="text1"/>
          <w:sz w:val="28"/>
          <w:szCs w:val="28"/>
          <w14:textFill>
            <w14:solidFill>
              <w14:schemeClr w14:val="tx1"/>
            </w14:solidFill>
          </w14:textFill>
        </w:rPr>
        <w:t>法院裁定认可,裁定书送达管理人之日</w:t>
      </w:r>
      <w:r>
        <w:rPr>
          <w:rFonts w:hint="eastAsia"/>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(三)分配提存</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列明破产财产分配额提存的情况,以及提存分配额的处置方案。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五</w:t>
      </w:r>
      <w:r>
        <w:rPr>
          <w:rFonts w:hint="eastAsia"/>
          <w:color w:val="000000" w:themeColor="text1"/>
          <w:sz w:val="28"/>
          <w:szCs w:val="28"/>
          <w14:textFill>
            <w14:solidFill>
              <w14:schemeClr w14:val="tx1"/>
            </w14:solidFill>
          </w14:textFill>
        </w:rPr>
        <w:t>、追加分配的说明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管理人或债权人发现其他可供分配的财产的,管理人进行追加分配。追加分配方案由管理人根据《中华人民共和国企业破产法》第一百一十三条规定及本分配方案确定的相关规则制作,经</w:t>
      </w:r>
      <w:r>
        <w:rPr>
          <w:rFonts w:hint="eastAsia"/>
          <w:color w:val="000000" w:themeColor="text1"/>
          <w:sz w:val="28"/>
          <w:szCs w:val="28"/>
          <w:lang w:val="en-US" w:eastAsia="zh-CN"/>
          <w14:textFill>
            <w14:solidFill>
              <w14:schemeClr w14:val="tx1"/>
            </w14:solidFill>
          </w14:textFill>
        </w:rPr>
        <w:t>德兴</w:t>
      </w:r>
      <w:r>
        <w:rPr>
          <w:rFonts w:hint="eastAsia"/>
          <w:color w:val="000000" w:themeColor="text1"/>
          <w:sz w:val="28"/>
          <w:szCs w:val="28"/>
          <w14:textFill>
            <w14:solidFill>
              <w14:schemeClr w14:val="tx1"/>
            </w14:solidFill>
          </w14:textFill>
        </w:rPr>
        <w:t>法院认可后</w:t>
      </w:r>
      <w:r>
        <w:rPr>
          <w:rFonts w:hint="eastAsia"/>
          <w:color w:val="000000" w:themeColor="text1"/>
          <w:sz w:val="28"/>
          <w:szCs w:val="28"/>
          <w:lang w:val="en-US" w:eastAsia="zh-CN"/>
          <w14:textFill>
            <w14:solidFill>
              <w14:schemeClr w14:val="tx1"/>
            </w14:solidFill>
          </w14:textFill>
        </w:rPr>
        <w:t>予</w:t>
      </w:r>
      <w:r>
        <w:rPr>
          <w:rFonts w:hint="eastAsia"/>
          <w:color w:val="000000" w:themeColor="text1"/>
          <w:sz w:val="28"/>
          <w:szCs w:val="28"/>
          <w14:textFill>
            <w14:solidFill>
              <w14:schemeClr w14:val="tx1"/>
            </w14:solidFill>
          </w14:textFill>
        </w:rPr>
        <w:t>以执行,不再另行召开债权人会议对后续再次分配方案进行表决。</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六</w:t>
      </w:r>
      <w:r>
        <w:rPr>
          <w:rFonts w:hint="eastAsia"/>
          <w:color w:val="000000" w:themeColor="text1"/>
          <w:sz w:val="28"/>
          <w:szCs w:val="28"/>
          <w14:textFill>
            <w14:solidFill>
              <w14:schemeClr w14:val="tx1"/>
            </w14:solidFill>
          </w14:textFill>
        </w:rPr>
        <w:t>、特别说明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全体债权人在破产财产分配方案执行完毕后,就未能清偿或减免的债权不再要求债务人承担偿还责任,但不影响债权人根据相关法律</w:t>
      </w:r>
      <w:r>
        <w:rPr>
          <w:rFonts w:hint="eastAsia"/>
          <w:color w:val="000000" w:themeColor="text1"/>
          <w:sz w:val="28"/>
          <w:szCs w:val="28"/>
          <w:lang w:val="en-US" w:eastAsia="zh-CN"/>
          <w14:textFill>
            <w14:solidFill>
              <w14:schemeClr w14:val="tx1"/>
            </w14:solidFill>
          </w14:textFill>
        </w:rPr>
        <w:t>规定</w:t>
      </w:r>
      <w:r>
        <w:rPr>
          <w:rFonts w:hint="eastAsia"/>
          <w:color w:val="000000" w:themeColor="text1"/>
          <w:sz w:val="28"/>
          <w:szCs w:val="28"/>
          <w14:textFill>
            <w14:solidFill>
              <w14:schemeClr w14:val="tx1"/>
            </w14:solidFill>
          </w14:textFill>
        </w:rPr>
        <w:t>向其他责任人追偿的权利。</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江西泓德新能源科技</w:t>
      </w:r>
      <w:r>
        <w:rPr>
          <w:rFonts w:hint="eastAsia"/>
          <w:color w:val="000000" w:themeColor="text1"/>
          <w:sz w:val="28"/>
          <w:szCs w:val="28"/>
          <w14:textFill>
            <w14:solidFill>
              <w14:schemeClr w14:val="tx1"/>
            </w14:solidFill>
          </w14:textFill>
        </w:rPr>
        <w:t>有限公司管理人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2022</w:t>
      </w:r>
      <w:r>
        <w:rPr>
          <w:rFonts w:hint="eastAsia"/>
          <w:color w:val="000000" w:themeColor="text1"/>
          <w:sz w:val="28"/>
          <w:szCs w:val="28"/>
          <w14:textFill>
            <w14:solidFill>
              <w14:schemeClr w14:val="tx1"/>
            </w14:solidFill>
          </w14:textFill>
        </w:rPr>
        <w:t>年</w:t>
      </w:r>
      <w:r>
        <w:rPr>
          <w:rFonts w:hint="eastAsia"/>
          <w:color w:val="000000" w:themeColor="text1"/>
          <w:sz w:val="28"/>
          <w:szCs w:val="28"/>
          <w:lang w:val="en-US" w:eastAsia="zh-CN"/>
          <w14:textFill>
            <w14:solidFill>
              <w14:schemeClr w14:val="tx1"/>
            </w14:solidFill>
          </w14:textFill>
        </w:rPr>
        <w:t>1</w:t>
      </w:r>
      <w:r>
        <w:rPr>
          <w:rFonts w:hint="eastAsia"/>
          <w:color w:val="000000" w:themeColor="text1"/>
          <w:sz w:val="28"/>
          <w:szCs w:val="28"/>
          <w14:textFill>
            <w14:solidFill>
              <w14:schemeClr w14:val="tx1"/>
            </w14:solidFill>
          </w14:textFill>
        </w:rPr>
        <w:t>月</w:t>
      </w:r>
      <w:r>
        <w:rPr>
          <w:rFonts w:hint="eastAsia"/>
          <w:color w:val="000000" w:themeColor="text1"/>
          <w:sz w:val="28"/>
          <w:szCs w:val="28"/>
          <w:lang w:val="en-US" w:eastAsia="zh-CN"/>
          <w14:textFill>
            <w14:solidFill>
              <w14:schemeClr w14:val="tx1"/>
            </w14:solidFill>
          </w14:textFill>
        </w:rPr>
        <w:t>24</w:t>
      </w:r>
      <w:r>
        <w:rPr>
          <w:rFonts w:hint="eastAsia"/>
          <w:color w:val="000000" w:themeColor="text1"/>
          <w:sz w:val="28"/>
          <w:szCs w:val="28"/>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color w:val="000000" w:themeColor="text1"/>
          <w:sz w:val="28"/>
          <w:szCs w:val="28"/>
          <w14:textFill>
            <w14:solidFill>
              <w14:schemeClr w14:val="tx1"/>
            </w14:solidFill>
          </w14:textFill>
        </w:rPr>
      </w:pPr>
    </w:p>
    <w:p>
      <w:pPr>
        <w:rPr>
          <w:rFonts w:hint="default"/>
          <w:lang w:val="en-US" w:eastAsia="zh-CN"/>
        </w:rPr>
      </w:pPr>
    </w:p>
    <w:p>
      <w:pPr>
        <w:rPr>
          <w:rFonts w:hint="default"/>
          <w:lang w:val="en-US" w:eastAsia="zh-CN"/>
        </w:rPr>
      </w:pPr>
    </w:p>
    <w:p>
      <w:pPr>
        <w:rPr>
          <w:rFonts w:hint="default"/>
          <w:lang w:val="en-US" w:eastAsia="zh-CN"/>
        </w:rPr>
      </w:pPr>
      <w:r>
        <w:rPr>
          <w:rFonts w:hint="eastAsia"/>
          <w:lang w:val="en-US" w:eastAsia="zh-CN"/>
        </w:rPr>
        <w:t>附：认可财产分配方案裁定书</w:t>
      </w:r>
    </w:p>
    <w:p>
      <w:pPr>
        <w:rPr>
          <w:rFonts w:hint="default"/>
          <w:lang w:val="en-US" w:eastAsia="zh-CN"/>
        </w:rPr>
      </w:pPr>
      <w:r>
        <w:rPr>
          <w:rFonts w:hint="default"/>
          <w:lang w:val="en-US" w:eastAsia="zh-CN"/>
        </w:rPr>
        <w:drawing>
          <wp:inline distT="0" distB="0" distL="114300" distR="114300">
            <wp:extent cx="5266690" cy="7457440"/>
            <wp:effectExtent l="0" t="0" r="3810" b="10160"/>
            <wp:docPr id="4" name="图片 4" descr="cde05ab0ea555b582e6d26c4e1085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de05ab0ea555b582e6d26c4e10855d"/>
                    <pic:cNvPicPr>
                      <a:picLocks noChangeAspect="1"/>
                    </pic:cNvPicPr>
                  </pic:nvPicPr>
                  <pic:blipFill>
                    <a:blip r:embed="rId4"/>
                    <a:stretch>
                      <a:fillRect/>
                    </a:stretch>
                  </pic:blipFill>
                  <pic:spPr>
                    <a:xfrm>
                      <a:off x="0" y="0"/>
                      <a:ext cx="5266690" cy="74574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1C5A9F"/>
    <w:multiLevelType w:val="singleLevel"/>
    <w:tmpl w:val="A01C5A9F"/>
    <w:lvl w:ilvl="0" w:tentative="0">
      <w:start w:val="3"/>
      <w:numFmt w:val="chineseCounting"/>
      <w:suff w:val="nothing"/>
      <w:lvlText w:val="（%1）"/>
      <w:lvlJc w:val="left"/>
      <w:rPr>
        <w:rFonts w:hint="eastAsia"/>
      </w:rPr>
    </w:lvl>
  </w:abstractNum>
  <w:abstractNum w:abstractNumId="1">
    <w:nsid w:val="53E076EA"/>
    <w:multiLevelType w:val="singleLevel"/>
    <w:tmpl w:val="53E076E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BC254F"/>
    <w:rsid w:val="040A794C"/>
    <w:rsid w:val="144C07BE"/>
    <w:rsid w:val="1A2B7B24"/>
    <w:rsid w:val="57A6042A"/>
    <w:rsid w:val="6FBC254F"/>
    <w:rsid w:val="7DF07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2022-01-23T07:14:00Z</dcterms:created>
  <dc:creator>林奕然</dc:creator>
  <cp:lastModifiedBy>王杰</cp:lastModifiedBy>
  <dcterms:modified xsi:type="dcterms:W3CDTF">2022-01-25T16:13:11Z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4308438AB9224E4B8B9BF1C74191551E</vt:lpwstr>
  </property>
</Properties>
</file>