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>评分标准表</w:t>
      </w:r>
    </w:p>
    <w:p>
      <w:pPr>
        <w:rPr>
          <w:rFonts w:hint="eastAsia"/>
          <w:lang w:val="en-US" w:eastAsia="zh-CN"/>
        </w:rPr>
      </w:pPr>
    </w:p>
    <w:tbl>
      <w:tblPr>
        <w:tblStyle w:val="6"/>
        <w:tblW w:w="970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947"/>
        <w:gridCol w:w="1285"/>
        <w:gridCol w:w="718"/>
        <w:gridCol w:w="67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74" w:hRule="atLeast"/>
          <w:jc w:val="center"/>
        </w:trPr>
        <w:tc>
          <w:tcPr>
            <w:tcW w:w="2232" w:type="dxa"/>
            <w:gridSpan w:val="2"/>
            <w:vAlign w:val="center"/>
          </w:tcPr>
          <w:p>
            <w:pPr>
              <w:jc w:val="center"/>
              <w:rPr>
                <w:rFonts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</w:rPr>
              <w:t>评分内容</w:t>
            </w:r>
          </w:p>
        </w:tc>
        <w:tc>
          <w:tcPr>
            <w:tcW w:w="718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</w:rPr>
              <w:t>分值</w:t>
            </w:r>
          </w:p>
        </w:tc>
        <w:tc>
          <w:tcPr>
            <w:tcW w:w="6750" w:type="dxa"/>
            <w:vAlign w:val="center"/>
          </w:tcPr>
          <w:p>
            <w:pPr>
              <w:rPr>
                <w:rFonts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</w:rPr>
              <w:t>评分细则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1870" w:hRule="atLeast"/>
          <w:jc w:val="center"/>
        </w:trPr>
        <w:tc>
          <w:tcPr>
            <w:tcW w:w="947" w:type="dxa"/>
            <w:vMerge w:val="restart"/>
            <w:vAlign w:val="center"/>
          </w:tcPr>
          <w:p>
            <w:pPr>
              <w:jc w:val="center"/>
              <w:rPr>
                <w:rFonts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</w:rPr>
              <w:t>商务部分资信</w:t>
            </w:r>
          </w:p>
          <w:p>
            <w:pPr>
              <w:jc w:val="center"/>
              <w:rPr>
                <w:rFonts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</w:rPr>
              <w:t>分</w:t>
            </w:r>
          </w:p>
          <w:p>
            <w:pPr>
              <w:jc w:val="center"/>
              <w:rPr>
                <w:rFonts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</w:rPr>
              <w:t>（40分）</w:t>
            </w:r>
          </w:p>
        </w:tc>
        <w:tc>
          <w:tcPr>
            <w:tcW w:w="1285" w:type="dxa"/>
            <w:vMerge w:val="restart"/>
            <w:vAlign w:val="center"/>
          </w:tcPr>
          <w:p>
            <w:pPr>
              <w:jc w:val="center"/>
              <w:rPr>
                <w:rFonts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</w:rPr>
              <w:t>投标人综合实力</w:t>
            </w:r>
          </w:p>
        </w:tc>
        <w:tc>
          <w:tcPr>
            <w:tcW w:w="718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</w:rPr>
              <w:t>0-10</w:t>
            </w:r>
          </w:p>
        </w:tc>
        <w:tc>
          <w:tcPr>
            <w:tcW w:w="6750" w:type="dxa"/>
            <w:vAlign w:val="center"/>
          </w:tcPr>
          <w:p>
            <w:pPr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项目负责人具有资产评估师职业资格证书，得4分；项目小组成员中具有资产评估师职业资格证书的，每一个得2分，最高得6分，本项满分10分；</w:t>
            </w:r>
          </w:p>
          <w:p>
            <w:pPr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/>
                <w:bCs/>
              </w:rPr>
              <w:t>投标文件中提供相关人员证书及单位社保证明的复印件加盖公章，否则不得分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1306" w:hRule="atLeast"/>
          <w:jc w:val="center"/>
        </w:trPr>
        <w:tc>
          <w:tcPr>
            <w:tcW w:w="947" w:type="dxa"/>
            <w:vMerge w:val="continue"/>
            <w:vAlign w:val="center"/>
          </w:tcPr>
          <w:p>
            <w:pPr>
              <w:jc w:val="center"/>
              <w:rPr>
                <w:rFonts w:ascii="黑体" w:hAnsi="黑体" w:eastAsia="黑体" w:cs="黑体"/>
              </w:rPr>
            </w:pPr>
          </w:p>
        </w:tc>
        <w:tc>
          <w:tcPr>
            <w:tcW w:w="1285" w:type="dxa"/>
            <w:vMerge w:val="continue"/>
            <w:vAlign w:val="center"/>
          </w:tcPr>
          <w:p>
            <w:pPr>
              <w:jc w:val="center"/>
              <w:rPr>
                <w:rFonts w:ascii="黑体" w:hAnsi="黑体" w:eastAsia="黑体" w:cs="黑体"/>
              </w:rPr>
            </w:pPr>
          </w:p>
        </w:tc>
        <w:tc>
          <w:tcPr>
            <w:tcW w:w="718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</w:rPr>
              <w:t>0-20</w:t>
            </w:r>
          </w:p>
        </w:tc>
        <w:tc>
          <w:tcPr>
            <w:tcW w:w="6750" w:type="dxa"/>
            <w:vAlign w:val="center"/>
          </w:tcPr>
          <w:p>
            <w:pPr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评估机构具备资产评估资格，得5分；具有房地产一级资格加5分，同时具备土地资格和土地A型资信加10分；其余不得分。</w:t>
            </w:r>
          </w:p>
          <w:p>
            <w:pPr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/>
                <w:bCs/>
              </w:rPr>
              <w:t>投标文件中提供相关证书的复印件加盖公章，否则不得分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1206" w:hRule="atLeast"/>
          <w:jc w:val="center"/>
        </w:trPr>
        <w:tc>
          <w:tcPr>
            <w:tcW w:w="947" w:type="dxa"/>
            <w:vMerge w:val="continue"/>
            <w:vAlign w:val="center"/>
          </w:tcPr>
          <w:p>
            <w:pPr>
              <w:jc w:val="center"/>
              <w:rPr>
                <w:rFonts w:ascii="黑体" w:hAnsi="黑体" w:eastAsia="黑体" w:cs="黑体"/>
              </w:rPr>
            </w:pPr>
          </w:p>
        </w:tc>
        <w:tc>
          <w:tcPr>
            <w:tcW w:w="1285" w:type="dxa"/>
            <w:vMerge w:val="continue"/>
            <w:vAlign w:val="center"/>
          </w:tcPr>
          <w:p>
            <w:pPr>
              <w:jc w:val="center"/>
              <w:rPr>
                <w:rFonts w:ascii="黑体" w:hAnsi="黑体" w:eastAsia="黑体" w:cs="黑体"/>
              </w:rPr>
            </w:pPr>
          </w:p>
        </w:tc>
        <w:tc>
          <w:tcPr>
            <w:tcW w:w="718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</w:rPr>
              <w:t>0-10</w:t>
            </w:r>
          </w:p>
        </w:tc>
        <w:tc>
          <w:tcPr>
            <w:tcW w:w="6750" w:type="dxa"/>
            <w:vAlign w:val="center"/>
          </w:tcPr>
          <w:p>
            <w:pPr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评估机构自2018年1月1日（时间以合同或中标通知书签订时间为准）以来具有类似业绩的，每一个得2分，本项最高得10分；</w:t>
            </w:r>
          </w:p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宋体" w:hAnsi="宋体" w:eastAsia="宋体" w:cs="宋体"/>
                <w:b/>
                <w:bCs/>
              </w:rPr>
              <w:t>投标文件中提供合同（或中标通知书）复印件并加盖公章，否则不得分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930" w:hRule="atLeast"/>
          <w:jc w:val="center"/>
        </w:trPr>
        <w:tc>
          <w:tcPr>
            <w:tcW w:w="947" w:type="dxa"/>
            <w:vMerge w:val="restart"/>
            <w:vAlign w:val="center"/>
          </w:tcPr>
          <w:p>
            <w:pPr>
              <w:jc w:val="center"/>
              <w:rPr>
                <w:rFonts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</w:rPr>
              <w:t>技术部分</w:t>
            </w:r>
          </w:p>
          <w:p>
            <w:pPr>
              <w:jc w:val="center"/>
              <w:rPr>
                <w:rFonts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</w:rPr>
              <w:t>（40分）</w:t>
            </w:r>
          </w:p>
        </w:tc>
        <w:tc>
          <w:tcPr>
            <w:tcW w:w="1285" w:type="dxa"/>
            <w:vMerge w:val="restart"/>
            <w:vAlign w:val="center"/>
          </w:tcPr>
          <w:p>
            <w:pPr>
              <w:jc w:val="center"/>
              <w:rPr>
                <w:rFonts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</w:rPr>
              <w:t>项目技术</w:t>
            </w:r>
          </w:p>
          <w:p>
            <w:pPr>
              <w:jc w:val="center"/>
              <w:rPr>
                <w:rFonts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</w:rPr>
              <w:t>方案</w:t>
            </w:r>
          </w:p>
          <w:p>
            <w:pPr>
              <w:jc w:val="center"/>
              <w:rPr>
                <w:rFonts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</w:rPr>
              <w:t>（35分）</w:t>
            </w:r>
          </w:p>
        </w:tc>
        <w:tc>
          <w:tcPr>
            <w:tcW w:w="718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</w:rPr>
              <w:t>2-13</w:t>
            </w:r>
          </w:p>
        </w:tc>
        <w:tc>
          <w:tcPr>
            <w:tcW w:w="6750" w:type="dxa"/>
            <w:vAlign w:val="center"/>
          </w:tcPr>
          <w:p>
            <w:pPr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投标方案与需求的吻合程度以及方案的优势情况，包括方案的科学性、可靠性、成熟性、合理性等。（综合评定对比打分）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996" w:hRule="atLeast"/>
          <w:jc w:val="center"/>
        </w:trPr>
        <w:tc>
          <w:tcPr>
            <w:tcW w:w="947" w:type="dxa"/>
            <w:vMerge w:val="continue"/>
            <w:vAlign w:val="center"/>
          </w:tcPr>
          <w:p>
            <w:pPr>
              <w:rPr>
                <w:rFonts w:ascii="黑体" w:hAnsi="黑体" w:eastAsia="黑体" w:cs="黑体"/>
              </w:rPr>
            </w:pPr>
          </w:p>
        </w:tc>
        <w:tc>
          <w:tcPr>
            <w:tcW w:w="1285" w:type="dxa"/>
            <w:vMerge w:val="continue"/>
            <w:vAlign w:val="center"/>
          </w:tcPr>
          <w:p>
            <w:pPr>
              <w:jc w:val="center"/>
              <w:rPr>
                <w:rFonts w:ascii="黑体" w:hAnsi="黑体" w:eastAsia="黑体" w:cs="黑体"/>
              </w:rPr>
            </w:pPr>
          </w:p>
        </w:tc>
        <w:tc>
          <w:tcPr>
            <w:tcW w:w="718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</w:rPr>
              <w:t>2-12</w:t>
            </w:r>
          </w:p>
        </w:tc>
        <w:tc>
          <w:tcPr>
            <w:tcW w:w="6750" w:type="dxa"/>
            <w:vAlign w:val="center"/>
          </w:tcPr>
          <w:p>
            <w:pPr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技术方案是否内容齐全、结构清晰、表述准确、主题明确；关键技术的作业流程和方法是否先进、可行、规范、周密，是否满足技术要求的相关规定，方案科学合理，符合招标要求。（综合评定对比打分）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856" w:hRule="atLeast"/>
          <w:jc w:val="center"/>
        </w:trPr>
        <w:tc>
          <w:tcPr>
            <w:tcW w:w="947" w:type="dxa"/>
            <w:vMerge w:val="continue"/>
            <w:vAlign w:val="center"/>
          </w:tcPr>
          <w:p>
            <w:pPr>
              <w:rPr>
                <w:rFonts w:ascii="黑体" w:hAnsi="黑体" w:eastAsia="黑体" w:cs="黑体"/>
              </w:rPr>
            </w:pPr>
          </w:p>
        </w:tc>
        <w:tc>
          <w:tcPr>
            <w:tcW w:w="1285" w:type="dxa"/>
            <w:vMerge w:val="continue"/>
            <w:vAlign w:val="center"/>
          </w:tcPr>
          <w:p>
            <w:pPr>
              <w:jc w:val="center"/>
              <w:rPr>
                <w:rFonts w:ascii="黑体" w:hAnsi="黑体" w:eastAsia="黑体" w:cs="黑体"/>
              </w:rPr>
            </w:pPr>
          </w:p>
        </w:tc>
        <w:tc>
          <w:tcPr>
            <w:tcW w:w="718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</w:rPr>
              <w:t>2-10</w:t>
            </w:r>
          </w:p>
        </w:tc>
        <w:tc>
          <w:tcPr>
            <w:tcW w:w="6750" w:type="dxa"/>
            <w:vAlign w:val="center"/>
          </w:tcPr>
          <w:p>
            <w:pPr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是否建立项目应急预案，方案对项目实施可能遇到的问题及其应对措施的考虑情况等。（综合评定对比打分）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1140" w:hRule="atLeast"/>
          <w:jc w:val="center"/>
        </w:trPr>
        <w:tc>
          <w:tcPr>
            <w:tcW w:w="947" w:type="dxa"/>
            <w:vMerge w:val="continue"/>
            <w:vAlign w:val="center"/>
          </w:tcPr>
          <w:p>
            <w:pPr>
              <w:rPr>
                <w:rFonts w:ascii="黑体" w:hAnsi="黑体" w:eastAsia="黑体" w:cs="黑体"/>
              </w:rPr>
            </w:pPr>
          </w:p>
        </w:tc>
        <w:tc>
          <w:tcPr>
            <w:tcW w:w="1285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</w:rPr>
              <w:t>响应情况（3分）</w:t>
            </w:r>
          </w:p>
        </w:tc>
        <w:tc>
          <w:tcPr>
            <w:tcW w:w="718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</w:rPr>
              <w:t>1-3</w:t>
            </w:r>
          </w:p>
        </w:tc>
        <w:tc>
          <w:tcPr>
            <w:tcW w:w="6750" w:type="dxa"/>
            <w:vAlign w:val="center"/>
          </w:tcPr>
          <w:p>
            <w:pPr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根据投标单位承诺的响应时间、办公地点等进行综合打分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870" w:hRule="atLeast"/>
          <w:jc w:val="center"/>
        </w:trPr>
        <w:tc>
          <w:tcPr>
            <w:tcW w:w="947" w:type="dxa"/>
            <w:vMerge w:val="continue"/>
            <w:vAlign w:val="center"/>
          </w:tcPr>
          <w:p>
            <w:pPr>
              <w:rPr>
                <w:rFonts w:ascii="黑体" w:hAnsi="黑体" w:eastAsia="黑体" w:cs="黑体"/>
              </w:rPr>
            </w:pPr>
          </w:p>
        </w:tc>
        <w:tc>
          <w:tcPr>
            <w:tcW w:w="1285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</w:rPr>
              <w:t>其他（2分）</w:t>
            </w:r>
          </w:p>
        </w:tc>
        <w:tc>
          <w:tcPr>
            <w:tcW w:w="718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</w:rPr>
              <w:t>1-2</w:t>
            </w:r>
          </w:p>
        </w:tc>
        <w:tc>
          <w:tcPr>
            <w:tcW w:w="6750" w:type="dxa"/>
            <w:vAlign w:val="center"/>
          </w:tcPr>
          <w:p>
            <w:pPr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投标文件制作质量（根据投标文件编制有序、内容规范、字句清晰、表述完整等情况综合评定对比打分）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710" w:hRule="atLeast"/>
          <w:jc w:val="center"/>
        </w:trPr>
        <w:tc>
          <w:tcPr>
            <w:tcW w:w="947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</w:rPr>
              <w:t>报价部分（20分）</w:t>
            </w:r>
          </w:p>
        </w:tc>
        <w:tc>
          <w:tcPr>
            <w:tcW w:w="1285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</w:rPr>
              <w:t>报价得分计算规则</w:t>
            </w:r>
          </w:p>
        </w:tc>
        <w:tc>
          <w:tcPr>
            <w:tcW w:w="718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</w:rPr>
              <w:t>0-20</w:t>
            </w:r>
          </w:p>
        </w:tc>
        <w:tc>
          <w:tcPr>
            <w:tcW w:w="6750" w:type="dxa"/>
            <w:vAlign w:val="center"/>
          </w:tcPr>
          <w:p>
            <w:pPr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1、评定评审基准价：对有效投标人的投标报价的算术平均值为评标基准价。</w:t>
            </w:r>
          </w:p>
          <w:p>
            <w:pPr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2、当投标人报价等于基准价得2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</w:rPr>
              <w:t>0分，每高于基准价1%扣0.2分，每低于基准价的1%扣0.1分。</w:t>
            </w:r>
          </w:p>
          <w:p>
            <w:pPr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价格分计算方法：</w:t>
            </w:r>
          </w:p>
          <w:p>
            <w:pPr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投标报价高于基准价：价格分=20-（投标报价-评标基准价）/评标基准价*100*0.2</w:t>
            </w:r>
          </w:p>
          <w:p>
            <w:pPr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投标报价低于基准价：价格分=20-（评标基准价-投标报价）/评标基准价*100*0.1</w:t>
            </w:r>
          </w:p>
        </w:tc>
      </w:tr>
    </w:tbl>
    <w:p/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3B9558E"/>
    <w:rsid w:val="23B955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next w:val="3"/>
    <w:qFormat/>
    <w:uiPriority w:val="0"/>
    <w:pPr>
      <w:keepNext/>
      <w:keepLines/>
      <w:widowControl w:val="0"/>
      <w:spacing w:before="260" w:after="260" w:line="416" w:lineRule="auto"/>
      <w:jc w:val="both"/>
      <w:outlineLvl w:val="1"/>
    </w:pPr>
    <w:rPr>
      <w:rFonts w:ascii="Arial" w:hAnsi="Arial" w:eastAsia="黑体" w:cs="Times New Roman"/>
      <w:b/>
      <w:bCs/>
      <w:kern w:val="0"/>
      <w:sz w:val="32"/>
      <w:szCs w:val="32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qFormat/>
    <w:uiPriority w:val="0"/>
    <w:pPr>
      <w:widowControl w:val="0"/>
      <w:adjustRightInd w:val="0"/>
      <w:spacing w:line="360" w:lineRule="atLeast"/>
      <w:ind w:firstLine="420"/>
      <w:jc w:val="both"/>
      <w:textAlignment w:val="baseline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4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2022-02-10T09:11:00Z</dcterms:created>
  <dc:creator>WPS_1607937118</dc:creator>
  <cp:lastModifiedBy>WPS_1607937118</cp:lastModifiedBy>
  <dcterms:modified xsi:type="dcterms:W3CDTF">2022-02-10T09:14:22Z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716A2A5162504767B1E0CE0453B89D18</vt:lpwstr>
  </property>
</Properties>
</file>