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Theme="minorEastAsia"/>
          <w:lang w:eastAsia="zh-CN"/>
        </w:rPr>
      </w:pPr>
      <w:r>
        <w:rPr>
          <w:rFonts w:hint="eastAsia" w:eastAsiaTheme="minorEastAsia"/>
          <w:lang w:eastAsia="zh-CN"/>
        </w:rPr>
        <w:drawing>
          <wp:inline distT="0" distB="0" distL="114300" distR="114300">
            <wp:extent cx="5255260" cy="7383780"/>
            <wp:effectExtent l="0" t="0" r="2540" b="7620"/>
            <wp:docPr id="1" name="图片 1"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3"/>
                    <pic:cNvPicPr>
                      <a:picLocks noChangeAspect="1"/>
                    </pic:cNvPicPr>
                  </pic:nvPicPr>
                  <pic:blipFill>
                    <a:blip r:embed="rId4"/>
                    <a:stretch>
                      <a:fillRect/>
                    </a:stretch>
                  </pic:blipFill>
                  <pic:spPr>
                    <a:xfrm>
                      <a:off x="0" y="0"/>
                      <a:ext cx="5255260" cy="7383780"/>
                    </a:xfrm>
                    <a:prstGeom prst="rect">
                      <a:avLst/>
                    </a:prstGeom>
                  </pic:spPr>
                </pic:pic>
              </a:graphicData>
            </a:graphic>
          </wp:inline>
        </w:drawing>
      </w:r>
      <w:r>
        <w:rPr>
          <w:rFonts w:hint="eastAsia" w:eastAsiaTheme="minorEastAsia"/>
          <w:lang w:eastAsia="zh-CN"/>
        </w:rPr>
        <w:drawing>
          <wp:inline distT="0" distB="0" distL="114300" distR="114300">
            <wp:extent cx="5264150" cy="7452995"/>
            <wp:effectExtent l="0" t="0" r="12700" b="14605"/>
            <wp:docPr id="2" name="图片 2"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4"/>
                    <pic:cNvPicPr>
                      <a:picLocks noChangeAspect="1"/>
                    </pic:cNvPicPr>
                  </pic:nvPicPr>
                  <pic:blipFill>
                    <a:blip r:embed="rId5"/>
                    <a:stretch>
                      <a:fillRect/>
                    </a:stretch>
                  </pic:blipFill>
                  <pic:spPr>
                    <a:xfrm>
                      <a:off x="0" y="0"/>
                      <a:ext cx="5264150" cy="7452995"/>
                    </a:xfrm>
                    <a:prstGeom prst="rect">
                      <a:avLst/>
                    </a:prstGeom>
                  </pic:spPr>
                </pic:pic>
              </a:graphicData>
            </a:graphic>
          </wp:inline>
        </w:drawing>
      </w: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default" w:eastAsiaTheme="minorEastAsia"/>
          <w:lang w:val="en-US" w:eastAsia="zh-CN"/>
        </w:rPr>
      </w:pPr>
      <w:r>
        <w:rPr>
          <w:rFonts w:hint="eastAsia"/>
          <w:lang w:val="en-US" w:eastAsia="zh-CN"/>
        </w:rPr>
        <w:t>附件1</w:t>
      </w:r>
    </w:p>
    <w:p>
      <w:pPr>
        <w:rPr>
          <w:rFonts w:hint="eastAsia" w:eastAsiaTheme="minorEastAsia"/>
          <w:lang w:eastAsia="zh-CN"/>
        </w:rPr>
      </w:pPr>
      <w:r>
        <w:rPr>
          <w:rFonts w:hint="eastAsia" w:eastAsiaTheme="minorEastAsia"/>
          <w:lang w:eastAsia="zh-CN"/>
        </w:rPr>
        <w:drawing>
          <wp:inline distT="0" distB="0" distL="114300" distR="114300">
            <wp:extent cx="5273040" cy="7261860"/>
            <wp:effectExtent l="0" t="0" r="3810" b="15240"/>
            <wp:docPr id="3" name="图片 3"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
                    <pic:cNvPicPr>
                      <a:picLocks noChangeAspect="1"/>
                    </pic:cNvPicPr>
                  </pic:nvPicPr>
                  <pic:blipFill>
                    <a:blip r:embed="rId6"/>
                    <a:stretch>
                      <a:fillRect/>
                    </a:stretch>
                  </pic:blipFill>
                  <pic:spPr>
                    <a:xfrm>
                      <a:off x="0" y="0"/>
                      <a:ext cx="5273040" cy="7261860"/>
                    </a:xfrm>
                    <a:prstGeom prst="rect">
                      <a:avLst/>
                    </a:prstGeom>
                  </pic:spPr>
                </pic:pic>
              </a:graphicData>
            </a:graphic>
          </wp:inline>
        </w:drawing>
      </w: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r>
        <w:rPr>
          <w:rFonts w:hint="eastAsia" w:eastAsiaTheme="minorEastAsia"/>
          <w:lang w:eastAsia="zh-CN"/>
        </w:rPr>
        <w:drawing>
          <wp:inline distT="0" distB="0" distL="114300" distR="114300">
            <wp:extent cx="5269865" cy="7031990"/>
            <wp:effectExtent l="0" t="0" r="6985" b="16510"/>
            <wp:docPr id="4" name="图片 4"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2"/>
                    <pic:cNvPicPr>
                      <a:picLocks noChangeAspect="1"/>
                    </pic:cNvPicPr>
                  </pic:nvPicPr>
                  <pic:blipFill>
                    <a:blip r:embed="rId7"/>
                    <a:stretch>
                      <a:fillRect/>
                    </a:stretch>
                  </pic:blipFill>
                  <pic:spPr>
                    <a:xfrm>
                      <a:off x="0" y="0"/>
                      <a:ext cx="5269865" cy="7031990"/>
                    </a:xfrm>
                    <a:prstGeom prst="rect">
                      <a:avLst/>
                    </a:prstGeom>
                  </pic:spPr>
                </pic:pic>
              </a:graphicData>
            </a:graphic>
          </wp:inline>
        </w:drawing>
      </w: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default" w:eastAsiaTheme="minorEastAsia"/>
          <w:lang w:val="en-US" w:eastAsia="zh-CN"/>
        </w:rPr>
      </w:pPr>
      <w:r>
        <w:rPr>
          <w:rFonts w:hint="eastAsia"/>
          <w:lang w:eastAsia="zh-CN"/>
        </w:rPr>
        <w:t>附件</w:t>
      </w:r>
      <w:r>
        <w:rPr>
          <w:rFonts w:hint="eastAsia"/>
          <w:lang w:val="en-US" w:eastAsia="zh-CN"/>
        </w:rPr>
        <w:t>2</w:t>
      </w:r>
    </w:p>
    <w:p>
      <w:pPr>
        <w:spacing w:line="700" w:lineRule="exact"/>
        <w:jc w:val="center"/>
        <w:rPr>
          <w:rFonts w:hint="eastAsia" w:ascii="宋体" w:hAnsi="宋体"/>
          <w:b/>
          <w:color w:val="auto"/>
          <w:sz w:val="36"/>
          <w:szCs w:val="36"/>
        </w:rPr>
      </w:pPr>
      <w:r>
        <w:rPr>
          <w:rFonts w:hint="eastAsia" w:ascii="宋体" w:hAnsi="宋体"/>
          <w:b/>
          <w:color w:val="auto"/>
          <w:sz w:val="36"/>
          <w:szCs w:val="36"/>
        </w:rPr>
        <w:t>乐山大千百汇置业有限公司</w:t>
      </w:r>
    </w:p>
    <w:p>
      <w:pPr>
        <w:spacing w:line="600" w:lineRule="exact"/>
        <w:jc w:val="center"/>
        <w:rPr>
          <w:rFonts w:hint="eastAsia" w:ascii="宋体" w:hAnsi="宋体"/>
          <w:b/>
          <w:color w:val="auto"/>
          <w:sz w:val="36"/>
          <w:szCs w:val="36"/>
        </w:rPr>
      </w:pPr>
      <w:r>
        <w:rPr>
          <w:rFonts w:hint="eastAsia" w:ascii="宋体" w:hAnsi="宋体"/>
          <w:b/>
          <w:color w:val="auto"/>
          <w:sz w:val="36"/>
          <w:szCs w:val="36"/>
        </w:rPr>
        <w:t>分房规则</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新宋体" w:eastAsia="方正小标宋简体"/>
          <w:color w:val="auto"/>
          <w:sz w:val="44"/>
          <w:szCs w:val="44"/>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b/>
          <w:color w:val="auto"/>
          <w:sz w:val="28"/>
          <w:szCs w:val="28"/>
        </w:rPr>
      </w:pPr>
      <w:r>
        <w:rPr>
          <w:rFonts w:hint="eastAsia" w:ascii="宋体" w:hAnsi="宋体"/>
          <w:b/>
          <w:color w:val="auto"/>
          <w:sz w:val="28"/>
          <w:szCs w:val="28"/>
        </w:rPr>
        <w:t>第一章 总则</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b/>
          <w:color w:val="auto"/>
          <w:sz w:val="28"/>
          <w:szCs w:val="28"/>
        </w:rPr>
      </w:pP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560" w:firstLineChars="200"/>
        <w:textAlignment w:val="auto"/>
        <w:rPr>
          <w:rFonts w:hint="eastAsia" w:ascii="宋体" w:hAnsi="宋体"/>
          <w:color w:val="auto"/>
          <w:sz w:val="28"/>
          <w:szCs w:val="28"/>
        </w:rPr>
      </w:pPr>
      <w:r>
        <w:rPr>
          <w:rFonts w:hint="eastAsia" w:ascii="宋体" w:hAnsi="宋体"/>
          <w:color w:val="auto"/>
          <w:sz w:val="28"/>
          <w:szCs w:val="28"/>
        </w:rPr>
        <w:t>为规范乐山大千百汇置业有限公司（以下简称“乐山大千</w:t>
      </w:r>
      <w:r>
        <w:rPr>
          <w:rFonts w:hint="eastAsia" w:ascii="宋体" w:hAnsi="宋体"/>
          <w:color w:val="auto"/>
          <w:sz w:val="28"/>
          <w:szCs w:val="28"/>
          <w:lang w:eastAsia="zh-CN"/>
        </w:rPr>
        <w:t>”</w:t>
      </w:r>
      <w:r>
        <w:rPr>
          <w:rFonts w:hint="eastAsia" w:ascii="宋体" w:hAnsi="宋体"/>
          <w:color w:val="auto"/>
          <w:sz w:val="28"/>
          <w:szCs w:val="28"/>
        </w:rPr>
        <w:t>）破产财产分配程序、提高破产分配效率，保护债权人和</w:t>
      </w:r>
      <w:r>
        <w:rPr>
          <w:rFonts w:hint="eastAsia" w:ascii="宋体" w:hAnsi="宋体"/>
          <w:color w:val="auto"/>
          <w:sz w:val="28"/>
          <w:szCs w:val="28"/>
          <w:lang w:eastAsia="zh-CN"/>
        </w:rPr>
        <w:t>破产人</w:t>
      </w:r>
      <w:r>
        <w:rPr>
          <w:rFonts w:hint="eastAsia" w:ascii="宋体" w:hAnsi="宋体"/>
          <w:color w:val="auto"/>
          <w:sz w:val="28"/>
          <w:szCs w:val="28"/>
        </w:rPr>
        <w:t>的合法权益，根据《企业破产法》及相关法律法规制定本规则。 </w:t>
      </w:r>
      <w:r>
        <w:rPr>
          <w:rFonts w:hint="eastAsia" w:ascii="宋体" w:hAnsi="宋体"/>
          <w:color w:val="auto"/>
          <w:sz w:val="28"/>
          <w:szCs w:val="28"/>
        </w:rPr>
        <w:br w:type="textWrapping"/>
      </w:r>
      <w:r>
        <w:rPr>
          <w:rFonts w:hint="eastAsia" w:ascii="宋体" w:hAnsi="宋体"/>
          <w:color w:val="auto"/>
          <w:sz w:val="28"/>
          <w:szCs w:val="28"/>
        </w:rPr>
        <w:t xml:space="preserve">    第二条 乐山大千破产财产分配应当遵守本规则。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color w:val="auto"/>
          <w:sz w:val="28"/>
          <w:szCs w:val="28"/>
        </w:rPr>
      </w:pP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jc w:val="center"/>
        <w:textAlignment w:val="auto"/>
        <w:rPr>
          <w:rFonts w:hint="eastAsia" w:ascii="宋体" w:hAnsi="宋体"/>
          <w:b/>
          <w:color w:val="auto"/>
          <w:sz w:val="28"/>
          <w:szCs w:val="28"/>
        </w:rPr>
      </w:pPr>
      <w:r>
        <w:rPr>
          <w:rFonts w:hint="eastAsia" w:ascii="宋体" w:hAnsi="宋体"/>
          <w:b/>
          <w:color w:val="auto"/>
          <w:sz w:val="28"/>
          <w:szCs w:val="28"/>
        </w:rPr>
        <w:t>分配规则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b/>
          <w:color w:val="auto"/>
          <w:sz w:val="28"/>
          <w:szCs w:val="28"/>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b/>
          <w:color w:val="auto"/>
          <w:sz w:val="28"/>
          <w:szCs w:val="28"/>
        </w:rPr>
      </w:pPr>
      <w:r>
        <w:rPr>
          <w:rFonts w:hint="eastAsia" w:ascii="宋体" w:hAnsi="宋体"/>
          <w:color w:val="auto"/>
          <w:sz w:val="28"/>
          <w:szCs w:val="28"/>
        </w:rPr>
        <w:t>第三条 破产财产：乐山大千破产财产的种类有货币、住宅、商铺、车位。</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color w:val="auto"/>
          <w:sz w:val="28"/>
          <w:szCs w:val="28"/>
        </w:rPr>
      </w:pPr>
      <w:r>
        <w:rPr>
          <w:rFonts w:hint="eastAsia" w:ascii="宋体" w:hAnsi="宋体"/>
          <w:color w:val="auto"/>
          <w:sz w:val="28"/>
          <w:szCs w:val="28"/>
        </w:rPr>
        <w:t>第四条 破产财产的分配，应遵循公正、公开、效率的工作目标，依法实现债权人利益最大化。</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color w:val="auto"/>
          <w:sz w:val="28"/>
          <w:szCs w:val="28"/>
        </w:rPr>
      </w:pPr>
      <w:r>
        <w:rPr>
          <w:rFonts w:hint="eastAsia" w:ascii="宋体" w:hAnsi="宋体"/>
          <w:color w:val="auto"/>
          <w:sz w:val="28"/>
          <w:szCs w:val="28"/>
        </w:rPr>
        <w:t>第五条 破产财产分配的程序规范，适用《企业破产法》和相关司法解释，《企业破产法》没有规定的，适用《民事诉讼法》及相关司法解释。</w:t>
      </w:r>
    </w:p>
    <w:p>
      <w:pPr>
        <w:keepNext w:val="0"/>
        <w:keepLines w:val="0"/>
        <w:pageBreakBefore w:val="0"/>
        <w:widowControl w:val="0"/>
        <w:kinsoku/>
        <w:wordWrap/>
        <w:overflowPunct/>
        <w:topLinePunct w:val="0"/>
        <w:autoSpaceDE/>
        <w:autoSpaceDN/>
        <w:bidi w:val="0"/>
        <w:adjustRightInd/>
        <w:snapToGrid/>
        <w:spacing w:line="520" w:lineRule="exact"/>
        <w:ind w:firstLine="630"/>
        <w:textAlignment w:val="auto"/>
        <w:rPr>
          <w:rFonts w:hint="eastAsia" w:ascii="宋体" w:hAnsi="宋体"/>
          <w:b/>
          <w:color w:val="auto"/>
          <w:sz w:val="28"/>
          <w:szCs w:val="28"/>
        </w:rPr>
      </w:pPr>
      <w:r>
        <w:rPr>
          <w:rFonts w:hint="eastAsia" w:ascii="宋体" w:hAnsi="宋体"/>
          <w:color w:val="auto"/>
          <w:sz w:val="28"/>
          <w:szCs w:val="28"/>
        </w:rPr>
        <w:t>第六条 破产财产分配的价格，为保证公平受偿，在分配程序中根据唯一的评估报告确定。乐山大千破产财产分配，按照四川国诚资产评估有限责任公司【川国诚评报[2018]第27号】评估报告执行。</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ascii="宋体" w:hAnsi="宋体"/>
          <w:color w:val="auto"/>
          <w:sz w:val="28"/>
          <w:szCs w:val="28"/>
        </w:rPr>
      </w:pPr>
      <w:r>
        <w:rPr>
          <w:rFonts w:hint="eastAsia" w:ascii="宋体" w:hAnsi="宋体"/>
          <w:color w:val="auto"/>
          <w:sz w:val="28"/>
          <w:szCs w:val="28"/>
        </w:rPr>
        <w:t>第七条 破产分配次数，原则上一次性分配结束，结合乐山大千实际情况，根据《企业破产法》第一百二十三条之规定需要进行追加分配的，应当对在前次分配时未获得全额受偿的债权人予以追加分配。</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color w:val="auto"/>
          <w:sz w:val="28"/>
          <w:szCs w:val="28"/>
        </w:rPr>
      </w:pPr>
      <w:r>
        <w:rPr>
          <w:rFonts w:hint="eastAsia" w:ascii="宋体" w:hAnsi="宋体"/>
          <w:color w:val="auto"/>
          <w:sz w:val="28"/>
          <w:szCs w:val="28"/>
        </w:rPr>
        <w:t>第八条 破产财产价值最大化原则。为保证资产价值最大化及将来利用、处分的便捷，在分配时，应当根据破产财产的特点和价值，对应分给债权数额与之相当的债权人，尽量整体分配，避免将整体利用的财产拆分分配。</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color w:val="auto"/>
          <w:sz w:val="28"/>
          <w:szCs w:val="28"/>
        </w:rPr>
      </w:pPr>
      <w:r>
        <w:rPr>
          <w:rFonts w:hint="eastAsia" w:ascii="宋体" w:hAnsi="宋体"/>
          <w:color w:val="auto"/>
          <w:sz w:val="28"/>
          <w:szCs w:val="28"/>
        </w:rPr>
        <w:t>为保护资产整体价值、保护债权人的整体利益，根据商铺现状，在空间上没有独立的墙体将各商铺与相邻其他商铺、过道相隔离，亦没有独立的电和给排水系统的产权式商铺，在向债权人交付或者分配后，债权人在对其建筑物专有部分行使权利时，应当顾及该片区域商业楼整体物业功能的发挥，不得损害其他债权人的合法权益，对于该商铺的处理，应当服从该区域内60%以上的业主的整体意志，并且其所代表的商铺价值占该区域商铺总价值的60%以上。</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宋体" w:hAnsi="宋体"/>
          <w:color w:val="auto"/>
          <w:sz w:val="28"/>
          <w:szCs w:val="28"/>
        </w:rPr>
      </w:pPr>
      <w:r>
        <w:rPr>
          <w:rFonts w:hint="eastAsia" w:ascii="宋体" w:hAnsi="宋体"/>
          <w:color w:val="auto"/>
          <w:sz w:val="28"/>
          <w:szCs w:val="28"/>
        </w:rPr>
        <w:t>第九条  债权分配比例。根据乐山大千实际情况，乐山大千工程债权、有财产担保的债权、职工债权、税款债权全额分配，普通债权暂按78%予以分配。</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color w:val="auto"/>
          <w:sz w:val="28"/>
          <w:szCs w:val="28"/>
        </w:rPr>
      </w:pPr>
      <w:r>
        <w:rPr>
          <w:rFonts w:hint="eastAsia" w:ascii="宋体" w:hAnsi="宋体"/>
          <w:color w:val="auto"/>
          <w:sz w:val="28"/>
          <w:szCs w:val="28"/>
        </w:rPr>
        <w:t>第十条 共益债务和破产费用绝对优先原则及现金预留原则。为保证破产分配工作的正常有序开展，预防其他因素的影响，账目现金全部予以预留，用于支付执行分配方案期间的工作费用、税款、公司注销等共益债务和破产费用。</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color w:val="auto"/>
          <w:sz w:val="28"/>
          <w:szCs w:val="28"/>
        </w:rPr>
      </w:pPr>
      <w:r>
        <w:rPr>
          <w:rFonts w:hint="eastAsia" w:ascii="宋体" w:hAnsi="宋体"/>
          <w:color w:val="auto"/>
          <w:sz w:val="28"/>
          <w:szCs w:val="28"/>
        </w:rPr>
        <w:t>第十一条 商铺购房债权交付房屋。房款已付清的业主，交付房屋；房款未付清的业主须向管理人支付房屋尾款，不支付尚欠房款的，视为解除购房合同，已支付房款按照普通债权进行实物分配。商铺购房债权人可以与其他债权人协商进行调换或者转让。</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color w:val="auto"/>
          <w:sz w:val="28"/>
          <w:szCs w:val="28"/>
        </w:rPr>
      </w:pPr>
      <w:r>
        <w:rPr>
          <w:rFonts w:hint="eastAsia" w:ascii="宋体" w:hAnsi="宋体"/>
          <w:color w:val="auto"/>
          <w:sz w:val="28"/>
          <w:szCs w:val="28"/>
        </w:rPr>
        <w:t>第十二条 抵押权优先原则。有财产担保的债权人就该特定财产获得全额清偿，若担保物价值超出债权数额的，债权人须补差价或放弃超出债权数额的担保物。为不影响其他债权人的合法权益，有财产担保的债权人，在分配方案获债权人会议表决通过或经法院裁定认可后，应当无条件办理解除财产抵押的手续，并在5个工作日内制作放弃剩余抵押物权利承诺书交管理人。</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color w:val="auto"/>
          <w:sz w:val="28"/>
          <w:szCs w:val="28"/>
        </w:rPr>
      </w:pPr>
      <w:r>
        <w:rPr>
          <w:rFonts w:hint="eastAsia" w:ascii="宋体" w:hAnsi="宋体"/>
          <w:color w:val="auto"/>
          <w:sz w:val="28"/>
          <w:szCs w:val="28"/>
        </w:rPr>
        <w:t>第十三条 资产搭配原则。在分配时，根据乐山大千资产情况及债权情况，从实际出发，将住宅与商铺适当搭配分配。除有财产担保的债权外，各类债权应分配的住宅比例根据该类债权总额占无财产担保债权总额的比例确定。</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color w:val="auto"/>
          <w:sz w:val="28"/>
          <w:szCs w:val="28"/>
          <w:highlight w:val="none"/>
        </w:rPr>
      </w:pPr>
      <w:r>
        <w:rPr>
          <w:rFonts w:hint="eastAsia" w:ascii="宋体" w:hAnsi="宋体"/>
          <w:color w:val="auto"/>
          <w:sz w:val="28"/>
          <w:szCs w:val="28"/>
          <w:highlight w:val="none"/>
        </w:rPr>
        <w:t>第十四条 抵销。进入分配程序后，在不违反法律强制性规定的情况下，</w:t>
      </w:r>
      <w:r>
        <w:rPr>
          <w:rFonts w:hint="eastAsia" w:ascii="宋体" w:hAnsi="宋体"/>
          <w:color w:val="auto"/>
          <w:sz w:val="28"/>
          <w:szCs w:val="28"/>
          <w:highlight w:val="none"/>
          <w:lang w:eastAsia="zh-CN"/>
        </w:rPr>
        <w:t>债权人对破产人享有的债权，可以根据债权性质确定可清偿金额，与债权人对破产人所负的债务进行</w:t>
      </w:r>
      <w:r>
        <w:rPr>
          <w:rFonts w:hint="eastAsia" w:ascii="宋体" w:hAnsi="宋体"/>
          <w:color w:val="auto"/>
          <w:sz w:val="28"/>
          <w:szCs w:val="28"/>
          <w:highlight w:val="none"/>
        </w:rPr>
        <w:t>抵销。</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color w:val="auto"/>
          <w:sz w:val="28"/>
          <w:szCs w:val="28"/>
        </w:rPr>
      </w:pPr>
      <w:r>
        <w:rPr>
          <w:rFonts w:hint="eastAsia" w:ascii="宋体" w:hAnsi="宋体"/>
          <w:color w:val="auto"/>
          <w:sz w:val="28"/>
          <w:szCs w:val="28"/>
        </w:rPr>
        <w:t>第十五条 争议债权的处理。在清算程序中，制定清算分配方案时，有争议债权、或者涉诉未决的债权暂时不能得到实际的分配，但应将未决债权份额按较高份额进行保留，待债权确认后依照分配方案再行分配。</w:t>
      </w:r>
    </w:p>
    <w:p>
      <w:pPr>
        <w:keepNext w:val="0"/>
        <w:keepLines w:val="0"/>
        <w:pageBreakBefore w:val="0"/>
        <w:widowControl w:val="0"/>
        <w:kinsoku/>
        <w:wordWrap/>
        <w:overflowPunct/>
        <w:topLinePunct w:val="0"/>
        <w:autoSpaceDE/>
        <w:autoSpaceDN/>
        <w:bidi w:val="0"/>
        <w:adjustRightInd/>
        <w:snapToGrid/>
        <w:spacing w:line="520" w:lineRule="exact"/>
        <w:ind w:firstLine="540"/>
        <w:textAlignment w:val="auto"/>
        <w:rPr>
          <w:rFonts w:ascii="宋体" w:hAnsi="宋体"/>
          <w:color w:val="auto"/>
          <w:sz w:val="28"/>
          <w:szCs w:val="28"/>
        </w:rPr>
      </w:pPr>
      <w:r>
        <w:rPr>
          <w:rFonts w:hint="eastAsia" w:ascii="宋体" w:hAnsi="宋体"/>
          <w:color w:val="auto"/>
          <w:sz w:val="28"/>
          <w:szCs w:val="28"/>
        </w:rPr>
        <w:t>第十六条 内部调整原则。因破产财产价值存在差异，根据破产财产的特点，在不损害其他债权人合法权益的情况下，债权人可以在分配方案经法院裁定认可后</w:t>
      </w:r>
      <w:r>
        <w:rPr>
          <w:rFonts w:hint="eastAsia" w:ascii="宋体" w:hAnsi="宋体"/>
          <w:color w:val="auto"/>
          <w:sz w:val="28"/>
          <w:szCs w:val="28"/>
          <w:u w:val="single"/>
        </w:rPr>
        <w:t>3个月内</w:t>
      </w:r>
      <w:r>
        <w:rPr>
          <w:rFonts w:hint="eastAsia" w:ascii="宋体" w:hAnsi="宋体"/>
          <w:color w:val="auto"/>
          <w:sz w:val="28"/>
          <w:szCs w:val="28"/>
        </w:rPr>
        <w:t>采取转让、互换、组合等方式进行调整，并向管理人申请办理相关手续。</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color w:val="auto"/>
          <w:sz w:val="28"/>
          <w:szCs w:val="28"/>
        </w:rPr>
      </w:pPr>
      <w:r>
        <w:rPr>
          <w:rFonts w:hint="eastAsia" w:ascii="宋体" w:hAnsi="宋体"/>
          <w:color w:val="auto"/>
          <w:sz w:val="28"/>
          <w:szCs w:val="28"/>
        </w:rPr>
        <w:t>第十七条 补差原则。受偿时，债权人分配的资产价值大于债权金额，债权人应当以现金方式一次性向管理人补差。若不补差，管理人依法追偿。</w:t>
      </w:r>
    </w:p>
    <w:p>
      <w:pPr>
        <w:keepNext w:val="0"/>
        <w:keepLines w:val="0"/>
        <w:pageBreakBefore w:val="0"/>
        <w:widowControl w:val="0"/>
        <w:kinsoku/>
        <w:wordWrap/>
        <w:overflowPunct/>
        <w:topLinePunct w:val="0"/>
        <w:autoSpaceDE/>
        <w:autoSpaceDN/>
        <w:bidi w:val="0"/>
        <w:adjustRightInd/>
        <w:snapToGrid/>
        <w:spacing w:line="520" w:lineRule="exact"/>
        <w:ind w:firstLine="540"/>
        <w:textAlignment w:val="auto"/>
        <w:rPr>
          <w:rFonts w:ascii="宋体" w:hAnsi="宋体"/>
          <w:color w:val="auto"/>
          <w:sz w:val="28"/>
          <w:szCs w:val="28"/>
        </w:rPr>
      </w:pPr>
      <w:r>
        <w:rPr>
          <w:rFonts w:hint="eastAsia" w:ascii="宋体" w:hAnsi="宋体"/>
          <w:color w:val="auto"/>
          <w:sz w:val="28"/>
          <w:szCs w:val="28"/>
        </w:rPr>
        <w:t>第十八条 怠于行使权力的处理。为保证全体债权人的合法权益，提高分配效率，缩短债权受偿周期，在不违反法律规定的前提下，先行协商完毕、积极完善相关手续的债权人可以先行分配，没有正当理由怠于行使权力的债权人延缓分配，并承担由此造成的不利后果。若债权人怠于受领破产财产，自最后分配公告之日起满两个月仍不领取的，视为放弃受领分配的权利，管理人应当将该破产财产分配给其他债权人。</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color w:val="auto"/>
          <w:sz w:val="28"/>
          <w:szCs w:val="28"/>
        </w:rPr>
      </w:pPr>
      <w:r>
        <w:rPr>
          <w:rFonts w:hint="eastAsia" w:ascii="宋体" w:hAnsi="宋体"/>
          <w:color w:val="auto"/>
          <w:sz w:val="28"/>
          <w:szCs w:val="28"/>
        </w:rPr>
        <w:t>第十九条 被冻结债权的处理。债权人的债权被法院全部或部分执行的，管理人在分配时通知执行法院、申请人及被申请人共同协商处理。</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color w:val="auto"/>
          <w:sz w:val="28"/>
          <w:szCs w:val="28"/>
        </w:rPr>
      </w:pPr>
      <w:r>
        <w:rPr>
          <w:rFonts w:hint="eastAsia" w:ascii="宋体" w:hAnsi="宋体"/>
          <w:color w:val="auto"/>
          <w:sz w:val="28"/>
          <w:szCs w:val="28"/>
        </w:rPr>
        <w:t>第二十条 同一债权人对</w:t>
      </w:r>
      <w:r>
        <w:rPr>
          <w:rFonts w:hint="eastAsia" w:ascii="宋体" w:hAnsi="宋体"/>
          <w:color w:val="auto"/>
          <w:sz w:val="28"/>
          <w:szCs w:val="28"/>
          <w:lang w:eastAsia="zh-CN"/>
        </w:rPr>
        <w:t>破产人</w:t>
      </w:r>
      <w:r>
        <w:rPr>
          <w:rFonts w:hint="eastAsia" w:ascii="宋体" w:hAnsi="宋体"/>
          <w:color w:val="auto"/>
          <w:sz w:val="28"/>
          <w:szCs w:val="28"/>
        </w:rPr>
        <w:t>享有优先债权又享有普通债权的，分配时同时一并分配，普通债权暂按78%分配。</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宋体" w:hAnsi="宋体"/>
          <w:color w:val="auto"/>
          <w:sz w:val="28"/>
          <w:szCs w:val="28"/>
        </w:rPr>
      </w:pP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jc w:val="center"/>
        <w:textAlignment w:val="auto"/>
        <w:rPr>
          <w:rFonts w:hint="eastAsia" w:ascii="宋体" w:hAnsi="宋体"/>
          <w:b/>
          <w:color w:val="auto"/>
          <w:sz w:val="28"/>
          <w:szCs w:val="28"/>
        </w:rPr>
      </w:pPr>
      <w:r>
        <w:rPr>
          <w:rFonts w:hint="eastAsia" w:ascii="宋体" w:hAnsi="宋体"/>
          <w:b/>
          <w:color w:val="auto"/>
          <w:sz w:val="28"/>
          <w:szCs w:val="28"/>
        </w:rPr>
        <w:t>附则</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宋体" w:hAnsi="宋体"/>
          <w:b/>
          <w:color w:val="auto"/>
          <w:sz w:val="28"/>
          <w:szCs w:val="28"/>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宋体" w:hAnsi="宋体"/>
          <w:color w:val="auto"/>
          <w:sz w:val="28"/>
          <w:szCs w:val="28"/>
        </w:rPr>
      </w:pPr>
      <w:r>
        <w:rPr>
          <w:rFonts w:hint="eastAsia" w:ascii="宋体" w:hAnsi="宋体"/>
          <w:bCs/>
          <w:color w:val="auto"/>
          <w:sz w:val="28"/>
          <w:szCs w:val="28"/>
        </w:rPr>
        <w:t>第二十一条</w:t>
      </w:r>
      <w:r>
        <w:rPr>
          <w:rFonts w:hint="eastAsia" w:ascii="宋体" w:hAnsi="宋体"/>
          <w:color w:val="auto"/>
          <w:sz w:val="28"/>
          <w:szCs w:val="28"/>
        </w:rPr>
        <w:t xml:space="preserve"> 本规则为乐山大千破产财产分配方案的附件，与乐山大千破产财产分配方案一并提交债权人会议审议。本规则自乐山大千破产财产分配方案经债权人会议表决通过或人民法院裁定认可后生效。</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宋体" w:hAnsi="宋体"/>
          <w:color w:val="auto"/>
          <w:sz w:val="28"/>
          <w:szCs w:val="28"/>
        </w:rPr>
      </w:pPr>
      <w:r>
        <w:rPr>
          <w:rFonts w:ascii="宋体" w:hAnsi="宋体"/>
          <w:color w:val="auto"/>
          <w:sz w:val="28"/>
          <w:szCs w:val="28"/>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3920" w:firstLineChars="1400"/>
        <w:textAlignment w:val="auto"/>
        <w:rPr>
          <w:rFonts w:ascii="宋体" w:hAnsi="宋体"/>
          <w:color w:val="auto"/>
          <w:sz w:val="28"/>
          <w:szCs w:val="28"/>
        </w:rPr>
      </w:pPr>
      <w:r>
        <w:rPr>
          <w:rFonts w:hint="eastAsia" w:ascii="宋体" w:hAnsi="宋体"/>
          <w:color w:val="auto"/>
          <w:sz w:val="28"/>
          <w:szCs w:val="28"/>
          <w:lang w:eastAsia="zh-CN"/>
        </w:rPr>
        <w:t>乐山大千百汇置业有限公司管理人</w:t>
      </w:r>
      <w:r>
        <w:rPr>
          <w:rFonts w:ascii="宋体" w:hAnsi="宋体"/>
          <w:color w:val="auto"/>
          <w:sz w:val="28"/>
          <w:szCs w:val="28"/>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5040" w:firstLineChars="1800"/>
        <w:textAlignment w:val="auto"/>
        <w:rPr>
          <w:rFonts w:ascii="宋体" w:hAnsi="宋体"/>
          <w:color w:val="auto"/>
          <w:sz w:val="28"/>
          <w:szCs w:val="28"/>
        </w:rPr>
      </w:pPr>
      <w:r>
        <w:rPr>
          <w:rFonts w:ascii="宋体" w:hAnsi="宋体"/>
          <w:color w:val="auto"/>
          <w:sz w:val="28"/>
          <w:szCs w:val="28"/>
        </w:rPr>
        <w:t>20</w:t>
      </w:r>
      <w:r>
        <w:rPr>
          <w:rFonts w:hint="eastAsia" w:ascii="宋体" w:hAnsi="宋体"/>
          <w:color w:val="auto"/>
          <w:sz w:val="28"/>
          <w:szCs w:val="28"/>
        </w:rPr>
        <w:t>20年5月26日</w:t>
      </w: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lang w:val="en-US" w:eastAsia="zh-CN"/>
        </w:rPr>
      </w:pPr>
      <w:r>
        <w:rPr>
          <w:rFonts w:hint="eastAsia"/>
          <w:lang w:eastAsia="zh-CN"/>
        </w:rPr>
        <w:t>附件</w:t>
      </w:r>
      <w:r>
        <w:rPr>
          <w:rFonts w:hint="eastAsia"/>
          <w:lang w:val="en-US" w:eastAsia="zh-CN"/>
        </w:rPr>
        <w:t>3</w:t>
      </w:r>
    </w:p>
    <w:p>
      <w:pPr>
        <w:rPr>
          <w:rFonts w:hint="eastAsia"/>
          <w:lang w:val="en-US" w:eastAsia="zh-CN"/>
        </w:rPr>
      </w:pPr>
    </w:p>
    <w:p>
      <w:pPr>
        <w:rPr>
          <w:rFonts w:hint="eastAsia" w:eastAsiaTheme="minorEastAsia"/>
          <w:lang w:eastAsia="zh-CN"/>
        </w:rPr>
      </w:pPr>
      <w:r>
        <w:rPr>
          <w:rFonts w:hint="eastAsia" w:eastAsiaTheme="minorEastAsia"/>
          <w:lang w:eastAsia="zh-CN"/>
        </w:rPr>
        <w:drawing>
          <wp:inline distT="0" distB="0" distL="114300" distR="114300">
            <wp:extent cx="5260975" cy="3713480"/>
            <wp:effectExtent l="0" t="0" r="15875" b="1270"/>
            <wp:docPr id="6" name="图片 6" descr="6号楼1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6号楼1层"/>
                    <pic:cNvPicPr>
                      <a:picLocks noChangeAspect="1"/>
                    </pic:cNvPicPr>
                  </pic:nvPicPr>
                  <pic:blipFill>
                    <a:blip r:embed="rId8"/>
                    <a:stretch>
                      <a:fillRect/>
                    </a:stretch>
                  </pic:blipFill>
                  <pic:spPr>
                    <a:xfrm>
                      <a:off x="0" y="0"/>
                      <a:ext cx="5260975" cy="3713480"/>
                    </a:xfrm>
                    <a:prstGeom prst="rect">
                      <a:avLst/>
                    </a:prstGeom>
                  </pic:spPr>
                </pic:pic>
              </a:graphicData>
            </a:graphic>
          </wp:inline>
        </w:drawing>
      </w:r>
    </w:p>
    <w:p>
      <w:pPr>
        <w:rPr>
          <w:rFonts w:hint="eastAsia" w:eastAsiaTheme="minorEastAsia"/>
          <w:lang w:eastAsia="zh-CN"/>
        </w:rPr>
      </w:pPr>
    </w:p>
    <w:p>
      <w:pPr>
        <w:rPr>
          <w:rFonts w:hint="default" w:eastAsiaTheme="minorEastAsia"/>
          <w:lang w:val="en-US" w:eastAsia="zh-CN"/>
        </w:rPr>
      </w:pPr>
      <w:r>
        <w:rPr>
          <w:rFonts w:hint="default" w:eastAsiaTheme="minorEastAsia"/>
          <w:lang w:val="en-US" w:eastAsia="zh-CN"/>
        </w:rPr>
        <w:drawing>
          <wp:inline distT="0" distB="0" distL="114300" distR="114300">
            <wp:extent cx="5252720" cy="3937635"/>
            <wp:effectExtent l="0" t="0" r="5080" b="5715"/>
            <wp:docPr id="7" name="图片 7" descr="6号楼2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6号楼2层"/>
                    <pic:cNvPicPr>
                      <a:picLocks noChangeAspect="1"/>
                    </pic:cNvPicPr>
                  </pic:nvPicPr>
                  <pic:blipFill>
                    <a:blip r:embed="rId9"/>
                    <a:stretch>
                      <a:fillRect/>
                    </a:stretch>
                  </pic:blipFill>
                  <pic:spPr>
                    <a:xfrm>
                      <a:off x="0" y="0"/>
                      <a:ext cx="5252720" cy="3937635"/>
                    </a:xfrm>
                    <a:prstGeom prst="rect">
                      <a:avLst/>
                    </a:prstGeom>
                  </pic:spPr>
                </pic:pic>
              </a:graphicData>
            </a:graphic>
          </wp:inline>
        </w:drawing>
      </w:r>
    </w:p>
    <w:p>
      <w:pPr>
        <w:rPr>
          <w:rFonts w:hint="eastAsia" w:eastAsiaTheme="minorEastAsia"/>
          <w:lang w:eastAsia="zh-CN"/>
        </w:rPr>
      </w:pPr>
    </w:p>
    <w:p>
      <w:pPr>
        <w:rPr>
          <w:rFonts w:hint="default" w:eastAsiaTheme="minorEastAsia"/>
          <w:lang w:val="en-US" w:eastAsia="zh-CN"/>
        </w:rPr>
      </w:pPr>
      <w:r>
        <w:rPr>
          <w:rFonts w:hint="default" w:eastAsiaTheme="minorEastAsia"/>
          <w:lang w:val="en-US" w:eastAsia="zh-CN"/>
        </w:rPr>
        <w:drawing>
          <wp:inline distT="0" distB="0" distL="114300" distR="114300">
            <wp:extent cx="5255895" cy="3940175"/>
            <wp:effectExtent l="0" t="0" r="1905" b="3175"/>
            <wp:docPr id="8" name="图片 8" descr="6号楼3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6号楼3层"/>
                    <pic:cNvPicPr>
                      <a:picLocks noChangeAspect="1"/>
                    </pic:cNvPicPr>
                  </pic:nvPicPr>
                  <pic:blipFill>
                    <a:blip r:embed="rId10"/>
                    <a:stretch>
                      <a:fillRect/>
                    </a:stretch>
                  </pic:blipFill>
                  <pic:spPr>
                    <a:xfrm>
                      <a:off x="0" y="0"/>
                      <a:ext cx="5255895" cy="3940175"/>
                    </a:xfrm>
                    <a:prstGeom prst="rect">
                      <a:avLst/>
                    </a:prstGeom>
                  </pic:spPr>
                </pic:pic>
              </a:graphicData>
            </a:graphic>
          </wp:inline>
        </w:drawing>
      </w:r>
    </w:p>
    <w:p>
      <w:pPr>
        <w:rPr>
          <w:rFonts w:hint="default" w:eastAsiaTheme="minorEastAsia"/>
          <w:lang w:val="en-US" w:eastAsia="zh-CN"/>
        </w:rPr>
      </w:pPr>
    </w:p>
    <w:p>
      <w:pPr>
        <w:rPr>
          <w:rFonts w:hint="default" w:eastAsiaTheme="minorEastAsia"/>
          <w:lang w:val="en-US" w:eastAsia="zh-CN"/>
        </w:rPr>
      </w:pPr>
      <w:r>
        <w:rPr>
          <w:rFonts w:hint="default" w:eastAsiaTheme="minorEastAsia"/>
          <w:lang w:val="en-US" w:eastAsia="zh-CN"/>
        </w:rPr>
        <w:drawing>
          <wp:inline distT="0" distB="0" distL="114300" distR="114300">
            <wp:extent cx="5266690" cy="3950335"/>
            <wp:effectExtent l="0" t="0" r="10160" b="12065"/>
            <wp:docPr id="9" name="图片 9" descr="6号楼4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6号楼4层"/>
                    <pic:cNvPicPr>
                      <a:picLocks noChangeAspect="1"/>
                    </pic:cNvPicPr>
                  </pic:nvPicPr>
                  <pic:blipFill>
                    <a:blip r:embed="rId11"/>
                    <a:stretch>
                      <a:fillRect/>
                    </a:stretch>
                  </pic:blipFill>
                  <pic:spPr>
                    <a:xfrm>
                      <a:off x="0" y="0"/>
                      <a:ext cx="5266690" cy="3950335"/>
                    </a:xfrm>
                    <a:prstGeom prst="rect">
                      <a:avLst/>
                    </a:prstGeom>
                  </pic:spPr>
                </pic:pic>
              </a:graphicData>
            </a:graphic>
          </wp:inline>
        </w:drawing>
      </w:r>
    </w:p>
    <w:p>
      <w:pPr>
        <w:rPr>
          <w:rFonts w:hint="default" w:eastAsiaTheme="minorEastAsia"/>
          <w:lang w:val="en-US" w:eastAsia="zh-CN"/>
        </w:rPr>
      </w:pPr>
    </w:p>
    <w:p>
      <w:pPr>
        <w:rPr>
          <w:rFonts w:hint="default" w:eastAsiaTheme="minorEastAsia"/>
          <w:lang w:val="en-US" w:eastAsia="zh-CN"/>
        </w:rPr>
      </w:pPr>
    </w:p>
    <w:p>
      <w:pPr>
        <w:rPr>
          <w:rFonts w:hint="default" w:eastAsiaTheme="minorEastAsia"/>
          <w:lang w:val="en-US" w:eastAsia="zh-CN"/>
        </w:rPr>
      </w:pPr>
    </w:p>
    <w:p>
      <w:pPr>
        <w:rPr>
          <w:rFonts w:hint="eastAsia"/>
          <w:lang w:val="en-US" w:eastAsia="zh-CN"/>
        </w:rPr>
      </w:pPr>
      <w:r>
        <w:rPr>
          <w:rFonts w:hint="eastAsia"/>
          <w:lang w:val="en-US" w:eastAsia="zh-CN"/>
        </w:rPr>
        <w:t>附件4</w:t>
      </w:r>
    </w:p>
    <w:tbl>
      <w:tblPr>
        <w:tblStyle w:val="4"/>
        <w:tblpPr w:leftFromText="180" w:rightFromText="180" w:vertAnchor="text" w:horzAnchor="page" w:tblpX="1229" w:tblpY="511"/>
        <w:tblOverlap w:val="never"/>
        <w:tblW w:w="10365" w:type="dxa"/>
        <w:tblInd w:w="0" w:type="dxa"/>
        <w:shd w:val="clear" w:color="auto" w:fill="auto"/>
        <w:tblLayout w:type="autofit"/>
        <w:tblCellMar>
          <w:top w:w="0" w:type="dxa"/>
          <w:left w:w="0" w:type="dxa"/>
          <w:bottom w:w="0" w:type="dxa"/>
          <w:right w:w="0" w:type="dxa"/>
        </w:tblCellMar>
      </w:tblPr>
      <w:tblGrid>
        <w:gridCol w:w="3781"/>
        <w:gridCol w:w="1325"/>
        <w:gridCol w:w="2885"/>
        <w:gridCol w:w="2374"/>
      </w:tblGrid>
      <w:tr>
        <w:tblPrEx>
          <w:shd w:val="clear" w:color="auto" w:fill="auto"/>
          <w:tblCellMar>
            <w:top w:w="0" w:type="dxa"/>
            <w:left w:w="0" w:type="dxa"/>
            <w:bottom w:w="0" w:type="dxa"/>
            <w:right w:w="0" w:type="dxa"/>
          </w:tblCellMar>
        </w:tblPrEx>
        <w:trPr>
          <w:trHeight w:val="540" w:hRule="atLeast"/>
        </w:trPr>
        <w:tc>
          <w:tcPr>
            <w:tcW w:w="10365" w:type="dxa"/>
            <w:gridSpan w:val="4"/>
            <w:tcBorders>
              <w:top w:val="nil"/>
              <w:left w:val="nil"/>
              <w:bottom w:val="nil"/>
              <w:right w:val="nil"/>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b/>
                <w:i w:val="0"/>
                <w:color w:val="000000"/>
                <w:sz w:val="44"/>
                <w:szCs w:val="44"/>
                <w:u w:val="none"/>
              </w:rPr>
            </w:pPr>
            <w:r>
              <w:rPr>
                <w:rFonts w:hint="eastAsia" w:ascii="宋体" w:hAnsi="宋体" w:eastAsia="宋体" w:cs="宋体"/>
                <w:b/>
                <w:i w:val="0"/>
                <w:color w:val="000000"/>
                <w:kern w:val="0"/>
                <w:sz w:val="44"/>
                <w:szCs w:val="44"/>
                <w:u w:val="none"/>
                <w:lang w:val="en-US" w:eastAsia="zh-CN" w:bidi="ar"/>
              </w:rPr>
              <w:t>大千百汇6号楼业主联系方式明细表</w:t>
            </w:r>
          </w:p>
        </w:tc>
      </w:tr>
      <w:tr>
        <w:tblPrEx>
          <w:tblCellMar>
            <w:top w:w="0" w:type="dxa"/>
            <w:left w:w="0" w:type="dxa"/>
            <w:bottom w:w="0" w:type="dxa"/>
            <w:right w:w="0" w:type="dxa"/>
          </w:tblCellMar>
        </w:tblPrEx>
        <w:trPr>
          <w:trHeight w:val="240" w:hRule="atLeast"/>
        </w:trPr>
        <w:tc>
          <w:tcPr>
            <w:tcW w:w="3225" w:type="dxa"/>
            <w:tcBorders>
              <w:top w:val="nil"/>
              <w:left w:val="nil"/>
              <w:bottom w:val="nil"/>
              <w:right w:val="nil"/>
            </w:tcBorders>
            <w:shd w:val="clear" w:color="auto" w:fill="auto"/>
            <w:tcMar>
              <w:top w:w="15" w:type="dxa"/>
              <w:left w:w="15" w:type="dxa"/>
              <w:right w:w="15" w:type="dxa"/>
            </w:tcMar>
            <w:vAlign w:val="bottom"/>
          </w:tcPr>
          <w:p>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jc w:val="left"/>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auto"/>
            <w:noWrap/>
            <w:tcMar>
              <w:top w:w="15" w:type="dxa"/>
              <w:left w:w="15" w:type="dxa"/>
              <w:right w:w="15" w:type="dxa"/>
            </w:tcMar>
            <w:vAlign w:val="bottom"/>
          </w:tcPr>
          <w:p>
            <w:pPr>
              <w:jc w:val="right"/>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40" w:hRule="atLeast"/>
        </w:trPr>
        <w:tc>
          <w:tcPr>
            <w:tcW w:w="3225" w:type="dxa"/>
            <w:tcBorders>
              <w:top w:val="single" w:color="000000" w:sz="4" w:space="0"/>
              <w:left w:val="single" w:color="000000" w:sz="4" w:space="0"/>
              <w:bottom w:val="single" w:color="000000" w:sz="4" w:space="0"/>
              <w:right w:val="single" w:color="000000" w:sz="4" w:space="0"/>
            </w:tcBorders>
            <w:shd w:val="clear" w:color="auto" w:fill="EDEDED"/>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名称</w:t>
            </w:r>
          </w:p>
        </w:tc>
        <w:tc>
          <w:tcPr>
            <w:tcW w:w="0" w:type="auto"/>
            <w:tcBorders>
              <w:top w:val="single" w:color="000000" w:sz="4" w:space="0"/>
              <w:left w:val="single" w:color="000000" w:sz="4" w:space="0"/>
              <w:bottom w:val="single" w:color="000000" w:sz="4" w:space="0"/>
              <w:right w:val="single" w:color="000000" w:sz="4" w:space="0"/>
            </w:tcBorders>
            <w:shd w:val="clear" w:color="auto" w:fill="EDEDED"/>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电话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业主情况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欠房款金额</w:t>
            </w:r>
          </w:p>
        </w:tc>
      </w:tr>
      <w:tr>
        <w:tblPrEx>
          <w:tblCellMar>
            <w:top w:w="0" w:type="dxa"/>
            <w:left w:w="0" w:type="dxa"/>
            <w:bottom w:w="0" w:type="dxa"/>
            <w:right w:w="0" w:type="dxa"/>
          </w:tblCellMar>
        </w:tblPrEx>
        <w:trPr>
          <w:trHeight w:val="240" w:hRule="atLeast"/>
        </w:trPr>
        <w:tc>
          <w:tcPr>
            <w:tcW w:w="10365" w:type="dxa"/>
            <w:gridSpan w:val="4"/>
            <w:tcBorders>
              <w:top w:val="single" w:color="000000" w:sz="4" w:space="0"/>
              <w:left w:val="single" w:color="000000" w:sz="4" w:space="0"/>
              <w:bottom w:val="single" w:color="000000" w:sz="4" w:space="0"/>
              <w:right w:val="nil"/>
            </w:tcBorders>
            <w:shd w:val="clear" w:color="auto" w:fill="FFFF00"/>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一楼</w:t>
            </w:r>
          </w:p>
        </w:tc>
      </w:tr>
      <w:tr>
        <w:tblPrEx>
          <w:tblCellMar>
            <w:top w:w="0" w:type="dxa"/>
            <w:left w:w="0" w:type="dxa"/>
            <w:bottom w:w="0" w:type="dxa"/>
            <w:right w:w="0" w:type="dxa"/>
          </w:tblCellMar>
        </w:tblPrEx>
        <w:trPr>
          <w:trHeight w:val="480" w:hRule="atLeast"/>
        </w:trPr>
        <w:tc>
          <w:tcPr>
            <w:tcW w:w="3225" w:type="dxa"/>
            <w:tcBorders>
              <w:top w:val="single" w:color="000000" w:sz="4" w:space="0"/>
              <w:left w:val="single" w:color="000000" w:sz="4" w:space="0"/>
              <w:bottom w:val="single" w:color="000000" w:sz="4" w:space="0"/>
              <w:right w:val="single" w:color="000000" w:sz="4" w:space="0"/>
            </w:tcBorders>
            <w:shd w:val="clear" w:color="auto" w:fill="EDEDED"/>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四川嘉能佳电力集团有限责任公司沐川分公司</w:t>
            </w:r>
          </w:p>
        </w:tc>
        <w:tc>
          <w:tcPr>
            <w:tcW w:w="0" w:type="auto"/>
            <w:tcBorders>
              <w:top w:val="single" w:color="000000" w:sz="4" w:space="0"/>
              <w:left w:val="single" w:color="000000" w:sz="4" w:space="0"/>
              <w:bottom w:val="single" w:color="000000" w:sz="4" w:space="0"/>
              <w:right w:val="single" w:color="000000" w:sz="4" w:space="0"/>
            </w:tcBorders>
            <w:shd w:val="clear" w:color="auto" w:fill="EDEDED"/>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13881331855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债权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right"/>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40" w:hRule="atLeast"/>
        </w:trPr>
        <w:tc>
          <w:tcPr>
            <w:tcW w:w="3225" w:type="dxa"/>
            <w:tcBorders>
              <w:top w:val="single" w:color="000000" w:sz="4" w:space="0"/>
              <w:left w:val="single" w:color="000000" w:sz="4" w:space="0"/>
              <w:bottom w:val="single" w:color="000000" w:sz="4" w:space="0"/>
              <w:right w:val="single" w:color="000000" w:sz="4" w:space="0"/>
            </w:tcBorders>
            <w:shd w:val="clear" w:color="auto" w:fill="EDEDED"/>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龙勇立</w:t>
            </w:r>
          </w:p>
        </w:tc>
        <w:tc>
          <w:tcPr>
            <w:tcW w:w="0" w:type="auto"/>
            <w:tcBorders>
              <w:top w:val="single" w:color="000000" w:sz="4" w:space="0"/>
              <w:left w:val="single" w:color="000000" w:sz="4" w:space="0"/>
              <w:bottom w:val="single" w:color="000000" w:sz="4" w:space="0"/>
              <w:right w:val="single" w:color="000000" w:sz="4" w:space="0"/>
            </w:tcBorders>
            <w:shd w:val="clear" w:color="auto" w:fill="EDEDED"/>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13990642233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买卖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right"/>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40" w:hRule="atLeast"/>
        </w:trPr>
        <w:tc>
          <w:tcPr>
            <w:tcW w:w="3225" w:type="dxa"/>
            <w:tcBorders>
              <w:top w:val="single" w:color="000000" w:sz="4" w:space="0"/>
              <w:left w:val="single" w:color="000000" w:sz="4" w:space="0"/>
              <w:bottom w:val="single" w:color="000000" w:sz="4" w:space="0"/>
              <w:right w:val="single" w:color="000000" w:sz="4" w:space="0"/>
            </w:tcBorders>
            <w:shd w:val="clear" w:color="auto" w:fill="EDEDED"/>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杨彦诩</w:t>
            </w:r>
          </w:p>
        </w:tc>
        <w:tc>
          <w:tcPr>
            <w:tcW w:w="0" w:type="auto"/>
            <w:tcBorders>
              <w:top w:val="single" w:color="000000" w:sz="4" w:space="0"/>
              <w:left w:val="single" w:color="000000" w:sz="4" w:space="0"/>
              <w:bottom w:val="single" w:color="000000" w:sz="4" w:space="0"/>
              <w:right w:val="single" w:color="000000" w:sz="4" w:space="0"/>
            </w:tcBorders>
            <w:shd w:val="clear" w:color="auto" w:fill="EDEDED"/>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15520923585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买卖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right"/>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40" w:hRule="atLeast"/>
        </w:trPr>
        <w:tc>
          <w:tcPr>
            <w:tcW w:w="3225" w:type="dxa"/>
            <w:tcBorders>
              <w:top w:val="single" w:color="000000" w:sz="4" w:space="0"/>
              <w:left w:val="single" w:color="000000" w:sz="4" w:space="0"/>
              <w:bottom w:val="single" w:color="000000" w:sz="4" w:space="0"/>
              <w:right w:val="single" w:color="000000" w:sz="4" w:space="0"/>
            </w:tcBorders>
            <w:shd w:val="clear" w:color="auto" w:fill="BFBFBF"/>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曾伟</w:t>
            </w:r>
          </w:p>
        </w:tc>
        <w:tc>
          <w:tcPr>
            <w:tcW w:w="0" w:type="auto"/>
            <w:tcBorders>
              <w:top w:val="single" w:color="000000" w:sz="4" w:space="0"/>
              <w:left w:val="single" w:color="000000" w:sz="4" w:space="0"/>
              <w:bottom w:val="single" w:color="000000" w:sz="4" w:space="0"/>
              <w:right w:val="single" w:color="000000" w:sz="4" w:space="0"/>
            </w:tcBorders>
            <w:shd w:val="clear" w:color="auto" w:fill="BFBFBF"/>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15082244442</w:t>
            </w:r>
          </w:p>
        </w:tc>
        <w:tc>
          <w:tcPr>
            <w:tcW w:w="0" w:type="auto"/>
            <w:tcBorders>
              <w:top w:val="single" w:color="000000" w:sz="4" w:space="0"/>
              <w:left w:val="single" w:color="000000" w:sz="4" w:space="0"/>
              <w:bottom w:val="single" w:color="000000" w:sz="4" w:space="0"/>
              <w:right w:val="single" w:color="000000" w:sz="4" w:space="0"/>
            </w:tcBorders>
            <w:shd w:val="clear" w:color="auto" w:fill="BFBFBF"/>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买卖</w:t>
            </w:r>
          </w:p>
        </w:tc>
        <w:tc>
          <w:tcPr>
            <w:tcW w:w="0" w:type="auto"/>
            <w:tcBorders>
              <w:top w:val="single" w:color="000000" w:sz="4" w:space="0"/>
              <w:left w:val="single" w:color="000000" w:sz="4" w:space="0"/>
              <w:bottom w:val="single" w:color="000000" w:sz="4" w:space="0"/>
              <w:right w:val="single" w:color="000000" w:sz="4" w:space="0"/>
            </w:tcBorders>
            <w:shd w:val="clear" w:color="auto" w:fill="BFBFBF"/>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1300000</w:t>
            </w:r>
          </w:p>
        </w:tc>
      </w:tr>
      <w:tr>
        <w:tblPrEx>
          <w:tblCellMar>
            <w:top w:w="0" w:type="dxa"/>
            <w:left w:w="0" w:type="dxa"/>
            <w:bottom w:w="0" w:type="dxa"/>
            <w:right w:w="0" w:type="dxa"/>
          </w:tblCellMar>
        </w:tblPrEx>
        <w:trPr>
          <w:trHeight w:val="240" w:hRule="atLeast"/>
        </w:trPr>
        <w:tc>
          <w:tcPr>
            <w:tcW w:w="3225" w:type="dxa"/>
            <w:tcBorders>
              <w:top w:val="single" w:color="000000" w:sz="4" w:space="0"/>
              <w:left w:val="single" w:color="000000" w:sz="4" w:space="0"/>
              <w:bottom w:val="single" w:color="000000" w:sz="4" w:space="0"/>
              <w:right w:val="single" w:color="000000" w:sz="4" w:space="0"/>
            </w:tcBorders>
            <w:shd w:val="clear" w:color="auto" w:fill="BFBFBF"/>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曾幼林</w:t>
            </w:r>
          </w:p>
        </w:tc>
        <w:tc>
          <w:tcPr>
            <w:tcW w:w="0" w:type="auto"/>
            <w:tcBorders>
              <w:top w:val="single" w:color="000000" w:sz="4" w:space="0"/>
              <w:left w:val="single" w:color="000000" w:sz="4" w:space="0"/>
              <w:bottom w:val="single" w:color="000000" w:sz="4" w:space="0"/>
              <w:right w:val="single" w:color="000000" w:sz="4" w:space="0"/>
            </w:tcBorders>
            <w:shd w:val="clear" w:color="auto" w:fill="BFBFBF"/>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13198064885</w:t>
            </w:r>
          </w:p>
        </w:tc>
        <w:tc>
          <w:tcPr>
            <w:tcW w:w="0" w:type="auto"/>
            <w:tcBorders>
              <w:top w:val="single" w:color="000000" w:sz="4" w:space="0"/>
              <w:left w:val="single" w:color="000000" w:sz="4" w:space="0"/>
              <w:bottom w:val="single" w:color="000000" w:sz="4" w:space="0"/>
              <w:right w:val="single" w:color="000000" w:sz="4" w:space="0"/>
            </w:tcBorders>
            <w:shd w:val="clear" w:color="auto" w:fill="BFBFBF"/>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买卖</w:t>
            </w:r>
          </w:p>
        </w:tc>
        <w:tc>
          <w:tcPr>
            <w:tcW w:w="0" w:type="auto"/>
            <w:tcBorders>
              <w:top w:val="single" w:color="000000" w:sz="4" w:space="0"/>
              <w:left w:val="single" w:color="000000" w:sz="4" w:space="0"/>
              <w:bottom w:val="single" w:color="000000" w:sz="4" w:space="0"/>
              <w:right w:val="single" w:color="000000" w:sz="4" w:space="0"/>
            </w:tcBorders>
            <w:shd w:val="clear" w:color="auto" w:fill="BFBFBF"/>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400000</w:t>
            </w:r>
          </w:p>
        </w:tc>
      </w:tr>
      <w:tr>
        <w:tblPrEx>
          <w:tblCellMar>
            <w:top w:w="0" w:type="dxa"/>
            <w:left w:w="0" w:type="dxa"/>
            <w:bottom w:w="0" w:type="dxa"/>
            <w:right w:w="0" w:type="dxa"/>
          </w:tblCellMar>
        </w:tblPrEx>
        <w:trPr>
          <w:trHeight w:val="240" w:hRule="atLeast"/>
        </w:trPr>
        <w:tc>
          <w:tcPr>
            <w:tcW w:w="3225" w:type="dxa"/>
            <w:tcBorders>
              <w:top w:val="single" w:color="000000" w:sz="4" w:space="0"/>
              <w:left w:val="single" w:color="000000" w:sz="4" w:space="0"/>
              <w:bottom w:val="single" w:color="000000" w:sz="4" w:space="0"/>
              <w:right w:val="single" w:color="000000" w:sz="4" w:space="0"/>
            </w:tcBorders>
            <w:shd w:val="clear" w:color="auto" w:fill="EDEDED"/>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聂涛</w:t>
            </w:r>
          </w:p>
        </w:tc>
        <w:tc>
          <w:tcPr>
            <w:tcW w:w="0" w:type="auto"/>
            <w:tcBorders>
              <w:top w:val="single" w:color="000000" w:sz="4" w:space="0"/>
              <w:left w:val="single" w:color="000000" w:sz="4" w:space="0"/>
              <w:bottom w:val="single" w:color="000000" w:sz="4" w:space="0"/>
              <w:right w:val="single" w:color="000000" w:sz="4" w:space="0"/>
            </w:tcBorders>
            <w:shd w:val="clear" w:color="auto" w:fill="EDEDED"/>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13920108979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买卖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right"/>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40" w:hRule="atLeast"/>
        </w:trPr>
        <w:tc>
          <w:tcPr>
            <w:tcW w:w="3225" w:type="dxa"/>
            <w:tcBorders>
              <w:top w:val="single" w:color="000000" w:sz="4" w:space="0"/>
              <w:left w:val="single" w:color="000000" w:sz="4" w:space="0"/>
              <w:bottom w:val="single" w:color="000000" w:sz="4" w:space="0"/>
              <w:right w:val="single" w:color="000000" w:sz="4" w:space="0"/>
            </w:tcBorders>
            <w:shd w:val="clear" w:color="auto" w:fill="EDEDED"/>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黄波黄成</w:t>
            </w:r>
          </w:p>
        </w:tc>
        <w:tc>
          <w:tcPr>
            <w:tcW w:w="0" w:type="auto"/>
            <w:tcBorders>
              <w:top w:val="single" w:color="000000" w:sz="4" w:space="0"/>
              <w:left w:val="single" w:color="000000" w:sz="4" w:space="0"/>
              <w:bottom w:val="single" w:color="000000" w:sz="4" w:space="0"/>
              <w:right w:val="single" w:color="000000" w:sz="4" w:space="0"/>
            </w:tcBorders>
            <w:shd w:val="clear" w:color="auto" w:fill="EDEDED"/>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18030603678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买卖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right"/>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40" w:hRule="atLeast"/>
        </w:trPr>
        <w:tc>
          <w:tcPr>
            <w:tcW w:w="3225" w:type="dxa"/>
            <w:tcBorders>
              <w:top w:val="single" w:color="000000" w:sz="4" w:space="0"/>
              <w:left w:val="single" w:color="000000" w:sz="4" w:space="0"/>
              <w:bottom w:val="single" w:color="000000" w:sz="4" w:space="0"/>
              <w:right w:val="single" w:color="000000" w:sz="4" w:space="0"/>
            </w:tcBorders>
            <w:shd w:val="clear" w:color="auto" w:fill="EDEDED"/>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梁俸予</w:t>
            </w:r>
          </w:p>
        </w:tc>
        <w:tc>
          <w:tcPr>
            <w:tcW w:w="0" w:type="auto"/>
            <w:tcBorders>
              <w:top w:val="single" w:color="000000" w:sz="4" w:space="0"/>
              <w:left w:val="single" w:color="000000" w:sz="4" w:space="0"/>
              <w:bottom w:val="single" w:color="000000" w:sz="4" w:space="0"/>
              <w:right w:val="single" w:color="000000" w:sz="4" w:space="0"/>
            </w:tcBorders>
            <w:shd w:val="clear" w:color="auto" w:fill="EDEDED"/>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13088298777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债权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right"/>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40" w:hRule="atLeast"/>
        </w:trPr>
        <w:tc>
          <w:tcPr>
            <w:tcW w:w="3225" w:type="dxa"/>
            <w:tcBorders>
              <w:top w:val="single" w:color="000000" w:sz="4" w:space="0"/>
              <w:left w:val="single" w:color="000000" w:sz="4" w:space="0"/>
              <w:bottom w:val="single" w:color="000000" w:sz="4" w:space="0"/>
              <w:right w:val="single" w:color="000000" w:sz="4" w:space="0"/>
            </w:tcBorders>
            <w:shd w:val="clear" w:color="auto" w:fill="EDEDED"/>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刘娟</w:t>
            </w:r>
          </w:p>
        </w:tc>
        <w:tc>
          <w:tcPr>
            <w:tcW w:w="0" w:type="auto"/>
            <w:tcBorders>
              <w:top w:val="single" w:color="000000" w:sz="4" w:space="0"/>
              <w:left w:val="single" w:color="000000" w:sz="4" w:space="0"/>
              <w:bottom w:val="single" w:color="000000" w:sz="4" w:space="0"/>
              <w:right w:val="single" w:color="000000" w:sz="4" w:space="0"/>
            </w:tcBorders>
            <w:shd w:val="clear" w:color="auto" w:fill="EDEDED"/>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13612953060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买卖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right"/>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40" w:hRule="atLeast"/>
        </w:trPr>
        <w:tc>
          <w:tcPr>
            <w:tcW w:w="3225" w:type="dxa"/>
            <w:tcBorders>
              <w:top w:val="single" w:color="000000" w:sz="4" w:space="0"/>
              <w:left w:val="single" w:color="000000" w:sz="4" w:space="0"/>
              <w:bottom w:val="single" w:color="000000" w:sz="4" w:space="0"/>
              <w:right w:val="single" w:color="000000" w:sz="4" w:space="0"/>
            </w:tcBorders>
            <w:shd w:val="clear" w:color="auto" w:fill="EDEDED"/>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国家税务总局沐川县税务局</w:t>
            </w:r>
          </w:p>
        </w:tc>
        <w:tc>
          <w:tcPr>
            <w:tcW w:w="0" w:type="auto"/>
            <w:tcBorders>
              <w:top w:val="single" w:color="000000" w:sz="4" w:space="0"/>
              <w:left w:val="single" w:color="000000" w:sz="4" w:space="0"/>
              <w:bottom w:val="single" w:color="000000" w:sz="4" w:space="0"/>
              <w:right w:val="single" w:color="000000" w:sz="4" w:space="0"/>
            </w:tcBorders>
            <w:shd w:val="clear" w:color="auto" w:fill="EDEDED"/>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13881338777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债权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right"/>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480" w:hRule="atLeast"/>
        </w:trPr>
        <w:tc>
          <w:tcPr>
            <w:tcW w:w="3225" w:type="dxa"/>
            <w:tcBorders>
              <w:top w:val="single" w:color="000000" w:sz="4" w:space="0"/>
              <w:left w:val="single" w:color="000000" w:sz="4" w:space="0"/>
              <w:bottom w:val="single" w:color="000000" w:sz="4" w:space="0"/>
              <w:right w:val="single" w:color="000000" w:sz="4" w:space="0"/>
            </w:tcBorders>
            <w:shd w:val="clear" w:color="auto" w:fill="EDEDED"/>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四川安信融资担保有限公司（管理人 朱柳律师）</w:t>
            </w:r>
          </w:p>
        </w:tc>
        <w:tc>
          <w:tcPr>
            <w:tcW w:w="0" w:type="auto"/>
            <w:tcBorders>
              <w:top w:val="single" w:color="000000" w:sz="4" w:space="0"/>
              <w:left w:val="single" w:color="000000" w:sz="4" w:space="0"/>
              <w:bottom w:val="single" w:color="000000" w:sz="4" w:space="0"/>
              <w:right w:val="single" w:color="000000" w:sz="4" w:space="0"/>
            </w:tcBorders>
            <w:shd w:val="clear" w:color="auto" w:fill="EDEDED"/>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13980703636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债权暂缓分配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right"/>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40" w:hRule="atLeast"/>
        </w:trPr>
        <w:tc>
          <w:tcPr>
            <w:tcW w:w="10365" w:type="dxa"/>
            <w:gridSpan w:val="4"/>
            <w:tcBorders>
              <w:top w:val="single" w:color="000000" w:sz="4" w:space="0"/>
              <w:left w:val="single" w:color="000000" w:sz="4" w:space="0"/>
              <w:bottom w:val="single" w:color="000000" w:sz="4" w:space="0"/>
              <w:right w:val="nil"/>
            </w:tcBorders>
            <w:shd w:val="clear" w:color="auto" w:fill="FFFF00"/>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二楼</w:t>
            </w:r>
          </w:p>
        </w:tc>
      </w:tr>
      <w:tr>
        <w:tblPrEx>
          <w:tblCellMar>
            <w:top w:w="0" w:type="dxa"/>
            <w:left w:w="0" w:type="dxa"/>
            <w:bottom w:w="0" w:type="dxa"/>
            <w:right w:w="0" w:type="dxa"/>
          </w:tblCellMar>
        </w:tblPrEx>
        <w:trPr>
          <w:trHeight w:val="240" w:hRule="atLeast"/>
        </w:trPr>
        <w:tc>
          <w:tcPr>
            <w:tcW w:w="32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中科科建集团有限公司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18200213199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债权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right"/>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480" w:hRule="atLeast"/>
        </w:trPr>
        <w:tc>
          <w:tcPr>
            <w:tcW w:w="3225" w:type="dxa"/>
            <w:tcBorders>
              <w:top w:val="single" w:color="000000" w:sz="4" w:space="0"/>
              <w:left w:val="single" w:color="000000" w:sz="4" w:space="0"/>
              <w:bottom w:val="single" w:color="000000" w:sz="4" w:space="0"/>
              <w:right w:val="single" w:color="000000" w:sz="4" w:space="0"/>
            </w:tcBorders>
            <w:shd w:val="clear" w:color="auto" w:fill="BFBFBF"/>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唐维勇 倪秀珍</w:t>
            </w:r>
          </w:p>
        </w:tc>
        <w:tc>
          <w:tcPr>
            <w:tcW w:w="0" w:type="auto"/>
            <w:tcBorders>
              <w:top w:val="single" w:color="000000" w:sz="4" w:space="0"/>
              <w:left w:val="single" w:color="000000" w:sz="4" w:space="0"/>
              <w:bottom w:val="single" w:color="000000" w:sz="4" w:space="0"/>
              <w:right w:val="single" w:color="000000" w:sz="4" w:space="0"/>
            </w:tcBorders>
            <w:shd w:val="clear" w:color="auto" w:fill="BFBFBF"/>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18080269208</w:t>
            </w:r>
          </w:p>
        </w:tc>
        <w:tc>
          <w:tcPr>
            <w:tcW w:w="2460" w:type="dxa"/>
            <w:tcBorders>
              <w:top w:val="single" w:color="000000" w:sz="4" w:space="0"/>
              <w:left w:val="single" w:color="000000" w:sz="4" w:space="0"/>
              <w:bottom w:val="single" w:color="000000" w:sz="4" w:space="0"/>
              <w:right w:val="single" w:color="000000" w:sz="4" w:space="0"/>
            </w:tcBorders>
            <w:shd w:val="clear" w:color="auto" w:fill="BFBFBF"/>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买卖，申请退房、申请已交房款按普通债权受偿</w:t>
            </w:r>
          </w:p>
        </w:tc>
        <w:tc>
          <w:tcPr>
            <w:tcW w:w="0" w:type="auto"/>
            <w:tcBorders>
              <w:top w:val="single" w:color="000000" w:sz="4" w:space="0"/>
              <w:left w:val="single" w:color="000000" w:sz="4" w:space="0"/>
              <w:bottom w:val="single" w:color="000000" w:sz="4" w:space="0"/>
              <w:right w:val="single" w:color="000000" w:sz="4" w:space="0"/>
            </w:tcBorders>
            <w:shd w:val="clear" w:color="auto" w:fill="BFBFBF"/>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340000</w:t>
            </w:r>
          </w:p>
        </w:tc>
      </w:tr>
      <w:tr>
        <w:tblPrEx>
          <w:tblCellMar>
            <w:top w:w="0" w:type="dxa"/>
            <w:left w:w="0" w:type="dxa"/>
            <w:bottom w:w="0" w:type="dxa"/>
            <w:right w:w="0" w:type="dxa"/>
          </w:tblCellMar>
        </w:tblPrEx>
        <w:trPr>
          <w:trHeight w:val="240" w:hRule="atLeast"/>
        </w:trPr>
        <w:tc>
          <w:tcPr>
            <w:tcW w:w="3225" w:type="dxa"/>
            <w:tcBorders>
              <w:top w:val="single" w:color="000000" w:sz="4" w:space="0"/>
              <w:left w:val="single" w:color="000000" w:sz="4" w:space="0"/>
              <w:bottom w:val="single" w:color="000000" w:sz="4" w:space="0"/>
              <w:right w:val="single" w:color="000000" w:sz="4" w:space="0"/>
            </w:tcBorders>
            <w:shd w:val="clear" w:color="auto" w:fill="BFBFBF"/>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魏川来</w:t>
            </w:r>
          </w:p>
        </w:tc>
        <w:tc>
          <w:tcPr>
            <w:tcW w:w="0" w:type="auto"/>
            <w:tcBorders>
              <w:top w:val="single" w:color="000000" w:sz="4" w:space="0"/>
              <w:left w:val="single" w:color="000000" w:sz="4" w:space="0"/>
              <w:bottom w:val="single" w:color="000000" w:sz="4" w:space="0"/>
              <w:right w:val="single" w:color="000000" w:sz="4" w:space="0"/>
            </w:tcBorders>
            <w:shd w:val="clear" w:color="auto" w:fill="BFBFBF"/>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13541223583</w:t>
            </w:r>
          </w:p>
        </w:tc>
        <w:tc>
          <w:tcPr>
            <w:tcW w:w="0" w:type="auto"/>
            <w:tcBorders>
              <w:top w:val="single" w:color="000000" w:sz="4" w:space="0"/>
              <w:left w:val="single" w:color="000000" w:sz="4" w:space="0"/>
              <w:bottom w:val="single" w:color="000000" w:sz="4" w:space="0"/>
              <w:right w:val="single" w:color="000000" w:sz="4" w:space="0"/>
            </w:tcBorders>
            <w:shd w:val="clear" w:color="auto" w:fill="BFBFBF"/>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买卖</w:t>
            </w:r>
          </w:p>
        </w:tc>
        <w:tc>
          <w:tcPr>
            <w:tcW w:w="0" w:type="auto"/>
            <w:tcBorders>
              <w:top w:val="single" w:color="000000" w:sz="4" w:space="0"/>
              <w:left w:val="single" w:color="000000" w:sz="4" w:space="0"/>
              <w:bottom w:val="single" w:color="000000" w:sz="4" w:space="0"/>
              <w:right w:val="single" w:color="000000" w:sz="4" w:space="0"/>
            </w:tcBorders>
            <w:shd w:val="clear" w:color="auto" w:fill="BFBFBF"/>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150000</w:t>
            </w:r>
          </w:p>
        </w:tc>
      </w:tr>
      <w:tr>
        <w:tblPrEx>
          <w:tblCellMar>
            <w:top w:w="0" w:type="dxa"/>
            <w:left w:w="0" w:type="dxa"/>
            <w:bottom w:w="0" w:type="dxa"/>
            <w:right w:w="0" w:type="dxa"/>
          </w:tblCellMar>
        </w:tblPrEx>
        <w:trPr>
          <w:trHeight w:val="240" w:hRule="atLeast"/>
        </w:trPr>
        <w:tc>
          <w:tcPr>
            <w:tcW w:w="32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郭兵伟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13458933290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买卖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right"/>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40" w:hRule="atLeast"/>
        </w:trPr>
        <w:tc>
          <w:tcPr>
            <w:tcW w:w="32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丁良屏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13518228190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买卖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right"/>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40" w:hRule="atLeast"/>
        </w:trPr>
        <w:tc>
          <w:tcPr>
            <w:tcW w:w="32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刁其亮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15282454746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买卖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right"/>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40" w:hRule="atLeast"/>
        </w:trPr>
        <w:tc>
          <w:tcPr>
            <w:tcW w:w="32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马前明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13696122008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买卖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right"/>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40" w:hRule="atLeast"/>
        </w:trPr>
        <w:tc>
          <w:tcPr>
            <w:tcW w:w="32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龙勇立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13990642233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买卖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right"/>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40" w:hRule="atLeast"/>
        </w:trPr>
        <w:tc>
          <w:tcPr>
            <w:tcW w:w="32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张世蓉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13096407898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买卖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right"/>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40" w:hRule="atLeast"/>
        </w:trPr>
        <w:tc>
          <w:tcPr>
            <w:tcW w:w="32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陈明枢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13990642230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买卖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right"/>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40" w:hRule="atLeast"/>
        </w:trPr>
        <w:tc>
          <w:tcPr>
            <w:tcW w:w="32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袁俊梅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18040432691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买卖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right"/>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40" w:hRule="atLeast"/>
        </w:trPr>
        <w:tc>
          <w:tcPr>
            <w:tcW w:w="32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郭骏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17738066240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买卖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right"/>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40" w:hRule="atLeast"/>
        </w:trPr>
        <w:tc>
          <w:tcPr>
            <w:tcW w:w="32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赵洪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13990631638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买卖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right"/>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40" w:hRule="atLeast"/>
        </w:trPr>
        <w:tc>
          <w:tcPr>
            <w:tcW w:w="32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廖天帜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18781377708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买卖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right"/>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40" w:hRule="atLeast"/>
        </w:trPr>
        <w:tc>
          <w:tcPr>
            <w:tcW w:w="32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李世全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18980263878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买卖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right"/>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40" w:hRule="atLeast"/>
        </w:trPr>
        <w:tc>
          <w:tcPr>
            <w:tcW w:w="32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张旭东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13518228181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买卖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right"/>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40" w:hRule="atLeast"/>
        </w:trPr>
        <w:tc>
          <w:tcPr>
            <w:tcW w:w="32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王英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13881393207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买卖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right"/>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40" w:hRule="atLeast"/>
        </w:trPr>
        <w:tc>
          <w:tcPr>
            <w:tcW w:w="32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严刚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13708137416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买卖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right"/>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40" w:hRule="atLeast"/>
        </w:trPr>
        <w:tc>
          <w:tcPr>
            <w:tcW w:w="32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刘英武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13378330810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买卖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right"/>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40" w:hRule="atLeast"/>
        </w:trPr>
        <w:tc>
          <w:tcPr>
            <w:tcW w:w="32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陈霞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13981301395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买卖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right"/>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40" w:hRule="atLeast"/>
        </w:trPr>
        <w:tc>
          <w:tcPr>
            <w:tcW w:w="3225" w:type="dxa"/>
            <w:tcBorders>
              <w:top w:val="single" w:color="000000" w:sz="4" w:space="0"/>
              <w:left w:val="single" w:color="000000" w:sz="4" w:space="0"/>
              <w:bottom w:val="single" w:color="000000" w:sz="4" w:space="0"/>
              <w:right w:val="single" w:color="000000" w:sz="4" w:space="0"/>
            </w:tcBorders>
            <w:shd w:val="clear" w:color="auto" w:fill="BFBFBF"/>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王君（犍为）</w:t>
            </w:r>
          </w:p>
        </w:tc>
        <w:tc>
          <w:tcPr>
            <w:tcW w:w="0" w:type="auto"/>
            <w:tcBorders>
              <w:top w:val="single" w:color="000000" w:sz="4" w:space="0"/>
              <w:left w:val="single" w:color="000000" w:sz="4" w:space="0"/>
              <w:bottom w:val="single" w:color="000000" w:sz="4" w:space="0"/>
              <w:right w:val="single" w:color="000000" w:sz="4" w:space="0"/>
            </w:tcBorders>
            <w:shd w:val="clear" w:color="auto" w:fill="BFBFBF"/>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13378346755</w:t>
            </w:r>
          </w:p>
        </w:tc>
        <w:tc>
          <w:tcPr>
            <w:tcW w:w="0" w:type="auto"/>
            <w:tcBorders>
              <w:top w:val="single" w:color="000000" w:sz="4" w:space="0"/>
              <w:left w:val="single" w:color="000000" w:sz="4" w:space="0"/>
              <w:bottom w:val="single" w:color="000000" w:sz="4" w:space="0"/>
              <w:right w:val="single" w:color="000000" w:sz="4" w:space="0"/>
            </w:tcBorders>
            <w:shd w:val="clear" w:color="auto" w:fill="BFBFBF"/>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买卖</w:t>
            </w:r>
          </w:p>
        </w:tc>
        <w:tc>
          <w:tcPr>
            <w:tcW w:w="0" w:type="auto"/>
            <w:tcBorders>
              <w:top w:val="single" w:color="000000" w:sz="4" w:space="0"/>
              <w:left w:val="single" w:color="000000" w:sz="4" w:space="0"/>
              <w:bottom w:val="single" w:color="000000" w:sz="4" w:space="0"/>
              <w:right w:val="single" w:color="000000" w:sz="4" w:space="0"/>
            </w:tcBorders>
            <w:shd w:val="clear" w:color="auto" w:fill="BFBFBF"/>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145000</w:t>
            </w:r>
          </w:p>
        </w:tc>
      </w:tr>
      <w:tr>
        <w:tblPrEx>
          <w:tblCellMar>
            <w:top w:w="0" w:type="dxa"/>
            <w:left w:w="0" w:type="dxa"/>
            <w:bottom w:w="0" w:type="dxa"/>
            <w:right w:w="0" w:type="dxa"/>
          </w:tblCellMar>
        </w:tblPrEx>
        <w:trPr>
          <w:trHeight w:val="240" w:hRule="atLeast"/>
        </w:trPr>
        <w:tc>
          <w:tcPr>
            <w:tcW w:w="10365" w:type="dxa"/>
            <w:gridSpan w:val="4"/>
            <w:tcBorders>
              <w:top w:val="single" w:color="000000" w:sz="4" w:space="0"/>
              <w:left w:val="single" w:color="000000" w:sz="4" w:space="0"/>
              <w:bottom w:val="single" w:color="000000" w:sz="4" w:space="0"/>
              <w:right w:val="nil"/>
            </w:tcBorders>
            <w:shd w:val="clear" w:color="auto" w:fill="FFFF00"/>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三层</w:t>
            </w:r>
          </w:p>
        </w:tc>
      </w:tr>
      <w:tr>
        <w:tblPrEx>
          <w:tblCellMar>
            <w:top w:w="0" w:type="dxa"/>
            <w:left w:w="0" w:type="dxa"/>
            <w:bottom w:w="0" w:type="dxa"/>
            <w:right w:w="0" w:type="dxa"/>
          </w:tblCellMar>
        </w:tblPrEx>
        <w:trPr>
          <w:trHeight w:val="240" w:hRule="atLeast"/>
        </w:trPr>
        <w:tc>
          <w:tcPr>
            <w:tcW w:w="32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华贯建设有限公司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13679082626</w:t>
            </w:r>
          </w:p>
        </w:tc>
        <w:tc>
          <w:tcPr>
            <w:tcW w:w="24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债权被强制执行中</w:t>
            </w:r>
          </w:p>
        </w:tc>
        <w:tc>
          <w:tcPr>
            <w:tcW w:w="20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jc w:val="right"/>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40" w:hRule="atLeast"/>
        </w:trPr>
        <w:tc>
          <w:tcPr>
            <w:tcW w:w="10365" w:type="dxa"/>
            <w:gridSpan w:val="4"/>
            <w:tcBorders>
              <w:top w:val="single" w:color="000000" w:sz="4" w:space="0"/>
              <w:left w:val="single" w:color="000000" w:sz="4" w:space="0"/>
              <w:bottom w:val="single" w:color="000000" w:sz="4" w:space="0"/>
              <w:right w:val="nil"/>
            </w:tcBorders>
            <w:shd w:val="clear" w:color="auto" w:fill="FFFF00"/>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四层</w:t>
            </w:r>
          </w:p>
        </w:tc>
      </w:tr>
      <w:tr>
        <w:tblPrEx>
          <w:tblCellMar>
            <w:top w:w="0" w:type="dxa"/>
            <w:left w:w="0" w:type="dxa"/>
            <w:bottom w:w="0" w:type="dxa"/>
            <w:right w:w="0" w:type="dxa"/>
          </w:tblCellMar>
        </w:tblPrEx>
        <w:trPr>
          <w:trHeight w:val="240" w:hRule="atLeast"/>
        </w:trPr>
        <w:tc>
          <w:tcPr>
            <w:tcW w:w="32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华贯建设有限公司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13679082626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债权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right"/>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40" w:hRule="atLeast"/>
        </w:trPr>
        <w:tc>
          <w:tcPr>
            <w:tcW w:w="32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四川龙凤玺建筑工程有限公司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13458668280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债权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right"/>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40" w:hRule="atLeast"/>
        </w:trPr>
        <w:tc>
          <w:tcPr>
            <w:tcW w:w="32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成都市锦利源建筑设备有限公司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13880121298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债权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right"/>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40" w:hRule="atLeast"/>
        </w:trPr>
        <w:tc>
          <w:tcPr>
            <w:tcW w:w="32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四川省科源园林工程有限公司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15228912850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债权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right"/>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40" w:hRule="atLeast"/>
        </w:trPr>
        <w:tc>
          <w:tcPr>
            <w:tcW w:w="32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四川泰兴装饰工程有限责任公司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15183350888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债权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right"/>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40" w:hRule="atLeast"/>
        </w:trPr>
        <w:tc>
          <w:tcPr>
            <w:tcW w:w="32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国家税务总局沐川县税务局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13881338777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债权，拍卖中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right"/>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40" w:hRule="atLeast"/>
        </w:trPr>
        <w:tc>
          <w:tcPr>
            <w:tcW w:w="32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成都众智创展地产咨询有限公司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13980901233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债权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right"/>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40" w:hRule="atLeast"/>
        </w:trPr>
        <w:tc>
          <w:tcPr>
            <w:tcW w:w="32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乐山市汇鑫建筑劳务分包有限公司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13696161919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债权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right"/>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40" w:hRule="atLeast"/>
        </w:trPr>
        <w:tc>
          <w:tcPr>
            <w:tcW w:w="32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沐川县住房和城乡规划建设局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13378330753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债权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right"/>
              <w:rPr>
                <w:rFonts w:hint="eastAsia" w:ascii="宋体" w:hAnsi="宋体" w:eastAsia="宋体" w:cs="宋体"/>
                <w:i w:val="0"/>
                <w:color w:val="000000"/>
                <w:sz w:val="20"/>
                <w:szCs w:val="20"/>
                <w:u w:val="none"/>
              </w:rPr>
            </w:pPr>
          </w:p>
        </w:tc>
      </w:tr>
    </w:tbl>
    <w:p>
      <w:pPr>
        <w:rPr>
          <w:rFonts w:hint="default"/>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新宋体">
    <w:panose1 w:val="02010609030101010101"/>
    <w:charset w:val="86"/>
    <w:family w:val="modern"/>
    <w:pitch w:val="default"/>
    <w:sig w:usb0="00000003" w:usb1="288F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B29C301"/>
    <w:multiLevelType w:val="singleLevel"/>
    <w:tmpl w:val="DB29C301"/>
    <w:lvl w:ilvl="0" w:tentative="0">
      <w:start w:val="1"/>
      <w:numFmt w:val="chineseCounting"/>
      <w:suff w:val="space"/>
      <w:lvlText w:val="第%1条"/>
      <w:lvlJc w:val="left"/>
      <w:rPr>
        <w:rFonts w:hint="eastAsia"/>
      </w:rPr>
    </w:lvl>
  </w:abstractNum>
  <w:abstractNum w:abstractNumId="1">
    <w:nsid w:val="55465B25"/>
    <w:multiLevelType w:val="singleLevel"/>
    <w:tmpl w:val="55465B25"/>
    <w:lvl w:ilvl="0" w:tentative="0">
      <w:start w:val="2"/>
      <w:numFmt w:val="chineseCounting"/>
      <w:suff w:val="space"/>
      <w:lvlText w:val="第%1章"/>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0F7EF0"/>
    <w:rsid w:val="0F7535CE"/>
    <w:rsid w:val="450F7EF0"/>
    <w:rsid w:val="68A43463"/>
    <w:rsid w:val="7C6B27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name="header"/>
    <w:lsdException w:unhideWhenUsed="0" w:uiPriority="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semiHidden/>
    <w:uiPriority w:val="0"/>
    <w:pPr>
      <w:tabs>
        <w:tab w:val="center" w:pos="4153"/>
        <w:tab w:val="right" w:pos="8306"/>
      </w:tabs>
      <w:snapToGrid w:val="0"/>
      <w:jc w:val="left"/>
    </w:pPr>
    <w:rPr>
      <w:sz w:val="18"/>
      <w:szCs w:val="18"/>
    </w:rPr>
  </w:style>
  <w:style w:type="paragraph" w:styleId="3">
    <w:name w:val="header"/>
    <w:basedOn w:val="1"/>
    <w:semiHidden/>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2022-02-21T09:54:00Z</dcterms:created>
  <dc:creator>微哥</dc:creator>
  <cp:lastModifiedBy>Administrator</cp:lastModifiedBy>
  <dcterms:modified xsi:type="dcterms:W3CDTF">2022-02-22T02:20:40Z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71C0E7A5BDAF4A1D874CF50742FC06D0</vt:lpwstr>
  </property>
</Properties>
</file>