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30" w:lineRule="exact"/>
        <w:jc w:val="center"/>
        <w:rPr>
          <w:rFonts w:ascii="仿宋" w:hAnsi="仿宋" w:eastAsia="仿宋" w:cs="仿宋"/>
          <w:b/>
          <w:sz w:val="36"/>
          <w:szCs w:val="36"/>
        </w:rPr>
      </w:pPr>
      <w:r>
        <w:rPr>
          <w:rFonts w:hint="eastAsia" w:ascii="仿宋" w:hAnsi="仿宋" w:eastAsia="仿宋" w:cs="仿宋"/>
          <w:b/>
          <w:sz w:val="36"/>
          <w:szCs w:val="36"/>
        </w:rPr>
        <w:t>债权申报通知</w:t>
      </w:r>
    </w:p>
    <w:p>
      <w:pPr>
        <w:spacing w:line="360" w:lineRule="auto"/>
        <w:rPr>
          <w:rFonts w:ascii="仿宋" w:hAnsi="仿宋" w:eastAsia="仿宋" w:cs="仿宋"/>
          <w:b/>
          <w:sz w:val="28"/>
          <w:szCs w:val="28"/>
        </w:rPr>
      </w:pPr>
      <w:r>
        <w:rPr>
          <w:rFonts w:hint="eastAsia" w:ascii="仿宋" w:hAnsi="仿宋" w:eastAsia="仿宋" w:cs="仿宋"/>
          <w:b/>
          <w:sz w:val="28"/>
          <w:szCs w:val="28"/>
          <w:lang w:val="en-US" w:eastAsia="zh-CN"/>
        </w:rPr>
        <w:t>重庆拓望实业</w:t>
      </w:r>
      <w:r>
        <w:rPr>
          <w:rFonts w:hint="eastAsia" w:ascii="仿宋" w:hAnsi="仿宋" w:eastAsia="仿宋" w:cs="仿宋"/>
          <w:b/>
          <w:sz w:val="28"/>
          <w:szCs w:val="28"/>
          <w:lang w:eastAsia="zh-Hans"/>
        </w:rPr>
        <w:t>有限公司</w:t>
      </w:r>
      <w:r>
        <w:rPr>
          <w:rFonts w:hint="eastAsia" w:ascii="仿宋" w:hAnsi="仿宋" w:eastAsia="仿宋" w:cs="仿宋"/>
          <w:b/>
          <w:sz w:val="28"/>
          <w:szCs w:val="28"/>
        </w:rPr>
        <w:t>债权人：</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重庆市第五中级人民法院于202</w:t>
      </w:r>
      <w:r>
        <w:rPr>
          <w:rFonts w:hint="eastAsia" w:ascii="仿宋" w:hAnsi="仿宋" w:eastAsia="仿宋" w:cs="仿宋"/>
          <w:sz w:val="28"/>
          <w:szCs w:val="28"/>
          <w:lang w:val="en-US" w:eastAsia="zh-CN"/>
        </w:rPr>
        <w:t>2</w:t>
      </w:r>
      <w:r>
        <w:rPr>
          <w:rFonts w:hint="eastAsia" w:ascii="仿宋" w:hAnsi="仿宋" w:eastAsia="仿宋" w:cs="仿宋"/>
          <w:sz w:val="28"/>
          <w:szCs w:val="28"/>
        </w:rPr>
        <w:t>年1月</w:t>
      </w:r>
      <w:r>
        <w:rPr>
          <w:rFonts w:hint="eastAsia" w:ascii="仿宋" w:hAnsi="仿宋" w:eastAsia="仿宋" w:cs="仿宋"/>
          <w:sz w:val="28"/>
          <w:szCs w:val="28"/>
          <w:lang w:val="en-US" w:eastAsia="zh-CN"/>
        </w:rPr>
        <w:t>12</w:t>
      </w:r>
      <w:r>
        <w:rPr>
          <w:rFonts w:hint="eastAsia" w:ascii="仿宋" w:hAnsi="仿宋" w:eastAsia="仿宋" w:cs="仿宋"/>
          <w:sz w:val="28"/>
          <w:szCs w:val="28"/>
        </w:rPr>
        <w:t>日作出（202</w:t>
      </w:r>
      <w:r>
        <w:rPr>
          <w:rFonts w:hint="eastAsia" w:ascii="仿宋" w:hAnsi="仿宋" w:eastAsia="仿宋" w:cs="仿宋"/>
          <w:sz w:val="28"/>
          <w:szCs w:val="28"/>
          <w:lang w:val="en-US" w:eastAsia="zh-CN"/>
        </w:rPr>
        <w:t>1</w:t>
      </w:r>
      <w:r>
        <w:rPr>
          <w:rFonts w:hint="eastAsia" w:ascii="仿宋" w:hAnsi="仿宋" w:eastAsia="仿宋" w:cs="仿宋"/>
          <w:sz w:val="28"/>
          <w:szCs w:val="28"/>
        </w:rPr>
        <w:t>）渝05破申</w:t>
      </w:r>
      <w:r>
        <w:rPr>
          <w:rFonts w:hint="eastAsia" w:ascii="仿宋" w:hAnsi="仿宋" w:eastAsia="仿宋" w:cs="仿宋"/>
          <w:sz w:val="28"/>
          <w:szCs w:val="28"/>
          <w:lang w:val="en-US" w:eastAsia="zh-CN"/>
        </w:rPr>
        <w:t>758</w:t>
      </w:r>
      <w:r>
        <w:rPr>
          <w:rFonts w:hint="eastAsia" w:ascii="仿宋" w:hAnsi="仿宋" w:eastAsia="仿宋" w:cs="仿宋"/>
          <w:sz w:val="28"/>
          <w:szCs w:val="28"/>
        </w:rPr>
        <w:t>号《民事裁定书》，依法裁定受理</w:t>
      </w:r>
      <w:r>
        <w:rPr>
          <w:rFonts w:hint="eastAsia" w:ascii="仿宋" w:hAnsi="仿宋" w:eastAsia="仿宋" w:cs="仿宋"/>
          <w:sz w:val="28"/>
          <w:szCs w:val="28"/>
          <w:lang w:val="en-US" w:eastAsia="zh-CN"/>
        </w:rPr>
        <w:t>重庆市翔宇建筑工程（集团）</w:t>
      </w:r>
      <w:r>
        <w:rPr>
          <w:rFonts w:hint="eastAsia" w:ascii="仿宋" w:hAnsi="仿宋" w:eastAsia="仿宋" w:cs="仿宋"/>
          <w:sz w:val="28"/>
          <w:szCs w:val="28"/>
        </w:rPr>
        <w:t>有限公司对重庆拓望实业有限公司（</w:t>
      </w:r>
      <w:r>
        <w:rPr>
          <w:rFonts w:hint="eastAsia" w:ascii="仿宋" w:hAnsi="仿宋" w:eastAsia="仿宋" w:cs="仿宋"/>
          <w:sz w:val="28"/>
          <w:szCs w:val="28"/>
          <w:lang w:val="en-US" w:eastAsia="zh-Hans"/>
        </w:rPr>
        <w:t>简称</w:t>
      </w:r>
      <w:r>
        <w:rPr>
          <w:rFonts w:hint="eastAsia" w:ascii="仿宋" w:hAnsi="仿宋" w:eastAsia="仿宋" w:cs="仿宋"/>
          <w:sz w:val="28"/>
          <w:szCs w:val="28"/>
        </w:rPr>
        <w:t>“</w:t>
      </w:r>
      <w:r>
        <w:rPr>
          <w:rFonts w:hint="eastAsia" w:ascii="仿宋" w:hAnsi="仿宋" w:eastAsia="仿宋" w:cs="仿宋"/>
          <w:sz w:val="28"/>
          <w:szCs w:val="28"/>
          <w:lang w:eastAsia="zh-CN"/>
        </w:rPr>
        <w:t>拓望实业公司</w:t>
      </w:r>
      <w:r>
        <w:rPr>
          <w:rFonts w:hint="eastAsia" w:ascii="仿宋" w:hAnsi="仿宋" w:eastAsia="仿宋" w:cs="仿宋"/>
          <w:sz w:val="28"/>
          <w:szCs w:val="28"/>
        </w:rPr>
        <w:t>”）提出的破产清算申请，并于202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default" w:ascii="仿宋" w:hAnsi="仿宋" w:eastAsia="仿宋" w:cs="仿宋"/>
          <w:sz w:val="28"/>
          <w:szCs w:val="28"/>
        </w:rPr>
        <w:t>1</w:t>
      </w:r>
      <w:r>
        <w:rPr>
          <w:rFonts w:hint="eastAsia" w:ascii="仿宋" w:hAnsi="仿宋" w:eastAsia="仿宋" w:cs="仿宋"/>
          <w:sz w:val="28"/>
          <w:szCs w:val="28"/>
        </w:rPr>
        <w:t>月</w:t>
      </w:r>
      <w:r>
        <w:rPr>
          <w:rFonts w:hint="default" w:ascii="仿宋" w:hAnsi="仿宋" w:eastAsia="仿宋" w:cs="仿宋"/>
          <w:sz w:val="28"/>
          <w:szCs w:val="28"/>
          <w:highlight w:val="none"/>
        </w:rPr>
        <w:t>26</w:t>
      </w:r>
      <w:r>
        <w:rPr>
          <w:rFonts w:hint="eastAsia" w:ascii="仿宋" w:hAnsi="仿宋" w:eastAsia="仿宋" w:cs="仿宋"/>
          <w:sz w:val="28"/>
          <w:szCs w:val="28"/>
          <w:highlight w:val="none"/>
        </w:rPr>
        <w:t>日作出（202</w:t>
      </w:r>
      <w:r>
        <w:rPr>
          <w:rFonts w:hint="default" w:ascii="仿宋" w:hAnsi="仿宋" w:eastAsia="仿宋" w:cs="仿宋"/>
          <w:sz w:val="28"/>
          <w:szCs w:val="28"/>
          <w:highlight w:val="none"/>
        </w:rPr>
        <w:t>2</w:t>
      </w:r>
      <w:r>
        <w:rPr>
          <w:rFonts w:hint="eastAsia" w:ascii="仿宋" w:hAnsi="仿宋" w:eastAsia="仿宋" w:cs="仿宋"/>
          <w:sz w:val="28"/>
          <w:szCs w:val="28"/>
          <w:highlight w:val="none"/>
        </w:rPr>
        <w:t>）渝05破</w:t>
      </w:r>
      <w:r>
        <w:rPr>
          <w:rFonts w:hint="default" w:ascii="仿宋" w:hAnsi="仿宋" w:eastAsia="仿宋" w:cs="仿宋"/>
          <w:sz w:val="28"/>
          <w:szCs w:val="28"/>
          <w:highlight w:val="none"/>
        </w:rPr>
        <w:t>71</w:t>
      </w:r>
      <w:r>
        <w:rPr>
          <w:rFonts w:hint="eastAsia" w:ascii="仿宋" w:hAnsi="仿宋" w:eastAsia="仿宋" w:cs="仿宋"/>
          <w:sz w:val="28"/>
          <w:szCs w:val="28"/>
          <w:highlight w:val="none"/>
        </w:rPr>
        <w:t>号《决</w:t>
      </w:r>
      <w:r>
        <w:rPr>
          <w:rFonts w:hint="eastAsia" w:ascii="仿宋" w:hAnsi="仿宋" w:eastAsia="仿宋" w:cs="仿宋"/>
          <w:sz w:val="28"/>
          <w:szCs w:val="28"/>
        </w:rPr>
        <w:t>定书》，指定重庆经纬资产清算有限公司担任</w:t>
      </w:r>
      <w:r>
        <w:rPr>
          <w:rFonts w:hint="eastAsia" w:ascii="仿宋" w:hAnsi="仿宋" w:eastAsia="仿宋" w:cs="仿宋"/>
          <w:sz w:val="28"/>
          <w:szCs w:val="28"/>
          <w:lang w:eastAsia="zh-CN"/>
        </w:rPr>
        <w:t>拓望实业公司</w:t>
      </w:r>
      <w:r>
        <w:rPr>
          <w:rFonts w:hint="eastAsia" w:ascii="仿宋" w:hAnsi="仿宋" w:eastAsia="仿宋" w:cs="仿宋"/>
          <w:sz w:val="28"/>
          <w:szCs w:val="28"/>
        </w:rPr>
        <w:t>管理人，负责破产清算工作。</w:t>
      </w:r>
    </w:p>
    <w:p>
      <w:pPr>
        <w:numPr>
          <w:ilvl w:val="0"/>
          <w:numId w:val="1"/>
        </w:numPr>
        <w:spacing w:line="360" w:lineRule="auto"/>
        <w:ind w:firstLine="560" w:firstLineChars="200"/>
        <w:rPr>
          <w:rFonts w:hint="eastAsia" w:ascii="仿宋" w:hAnsi="仿宋" w:eastAsia="仿宋" w:cs="仿宋"/>
          <w:b w:val="0"/>
          <w:bCs w:val="0"/>
          <w:sz w:val="28"/>
          <w:szCs w:val="28"/>
        </w:rPr>
      </w:pPr>
      <w:r>
        <w:rPr>
          <w:rFonts w:hint="eastAsia" w:ascii="仿宋" w:hAnsi="仿宋" w:eastAsia="仿宋" w:cs="仿宋"/>
          <w:sz w:val="28"/>
          <w:szCs w:val="28"/>
        </w:rPr>
        <w:t>重庆市第五中级人民法</w:t>
      </w:r>
      <w:r>
        <w:rPr>
          <w:rFonts w:hint="eastAsia" w:ascii="仿宋" w:hAnsi="仿宋" w:eastAsia="仿宋" w:cs="仿宋"/>
          <w:sz w:val="28"/>
          <w:szCs w:val="28"/>
          <w:highlight w:val="none"/>
        </w:rPr>
        <w:t>院于202</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年1月</w:t>
      </w:r>
      <w:r>
        <w:rPr>
          <w:rFonts w:hint="default" w:ascii="仿宋" w:hAnsi="仿宋" w:eastAsia="仿宋" w:cs="仿宋"/>
          <w:sz w:val="28"/>
          <w:szCs w:val="28"/>
          <w:highlight w:val="none"/>
        </w:rPr>
        <w:t>29</w:t>
      </w:r>
      <w:r>
        <w:rPr>
          <w:rFonts w:hint="eastAsia" w:ascii="仿宋" w:hAnsi="仿宋" w:eastAsia="仿宋" w:cs="仿宋"/>
          <w:sz w:val="28"/>
          <w:szCs w:val="28"/>
          <w:highlight w:val="none"/>
        </w:rPr>
        <w:t>日发布破产受理公告，规定重庆拓望实业有限公司的</w:t>
      </w:r>
      <w:r>
        <w:rPr>
          <w:rFonts w:hint="eastAsia" w:ascii="仿宋" w:hAnsi="仿宋" w:eastAsia="仿宋" w:cs="仿宋"/>
          <w:b w:val="0"/>
          <w:bCs w:val="0"/>
          <w:sz w:val="28"/>
          <w:szCs w:val="28"/>
          <w:highlight w:val="none"/>
        </w:rPr>
        <w:t>债权人应在202</w:t>
      </w:r>
      <w:r>
        <w:rPr>
          <w:rFonts w:hint="default" w:ascii="仿宋" w:hAnsi="仿宋" w:eastAsia="仿宋" w:cs="仿宋"/>
          <w:b w:val="0"/>
          <w:bCs w:val="0"/>
          <w:sz w:val="28"/>
          <w:szCs w:val="28"/>
          <w:highlight w:val="none"/>
        </w:rPr>
        <w:t>2</w:t>
      </w:r>
      <w:r>
        <w:rPr>
          <w:rFonts w:hint="eastAsia" w:ascii="仿宋" w:hAnsi="仿宋" w:eastAsia="仿宋" w:cs="仿宋"/>
          <w:b w:val="0"/>
          <w:bCs w:val="0"/>
          <w:sz w:val="28"/>
          <w:szCs w:val="28"/>
          <w:highlight w:val="none"/>
        </w:rPr>
        <w:t>年3月1</w:t>
      </w:r>
      <w:r>
        <w:rPr>
          <w:rFonts w:hint="default" w:ascii="仿宋" w:hAnsi="仿宋" w:eastAsia="仿宋" w:cs="仿宋"/>
          <w:b w:val="0"/>
          <w:bCs w:val="0"/>
          <w:sz w:val="28"/>
          <w:szCs w:val="28"/>
          <w:highlight w:val="none"/>
        </w:rPr>
        <w:t>1</w:t>
      </w:r>
      <w:r>
        <w:rPr>
          <w:rFonts w:hint="eastAsia" w:ascii="仿宋" w:hAnsi="仿宋" w:eastAsia="仿宋" w:cs="仿宋"/>
          <w:b w:val="0"/>
          <w:bCs w:val="0"/>
          <w:sz w:val="28"/>
          <w:szCs w:val="28"/>
          <w:highlight w:val="none"/>
        </w:rPr>
        <w:t>日前向管理人</w:t>
      </w:r>
      <w:r>
        <w:rPr>
          <w:rFonts w:hint="eastAsia" w:ascii="仿宋" w:hAnsi="仿宋" w:eastAsia="仿宋" w:cs="仿宋"/>
          <w:b w:val="0"/>
          <w:bCs w:val="0"/>
          <w:sz w:val="28"/>
          <w:szCs w:val="28"/>
        </w:rPr>
        <w:t>申报债权，根据《中华人民共和国企业破产法》第四十四条、第四十八条之规定，特通知</w:t>
      </w:r>
      <w:r>
        <w:rPr>
          <w:rFonts w:hint="eastAsia" w:ascii="仿宋" w:hAnsi="仿宋" w:eastAsia="仿宋" w:cs="仿宋"/>
          <w:sz w:val="28"/>
          <w:szCs w:val="28"/>
          <w:lang w:eastAsia="zh-CN"/>
        </w:rPr>
        <w:t>拓望实业公司</w:t>
      </w:r>
      <w:r>
        <w:rPr>
          <w:rFonts w:hint="eastAsia" w:ascii="仿宋" w:hAnsi="仿宋" w:eastAsia="仿宋" w:cs="仿宋"/>
          <w:b w:val="0"/>
          <w:bCs w:val="0"/>
          <w:sz w:val="28"/>
          <w:szCs w:val="28"/>
        </w:rPr>
        <w:t>债权人申报债权。为保证债权申报工作的顺利进行，管理人就债权申报有关问题说明如下：</w:t>
      </w:r>
    </w:p>
    <w:p>
      <w:pPr>
        <w:numPr>
          <w:ilvl w:val="0"/>
          <w:numId w:val="1"/>
        </w:numPr>
        <w:spacing w:line="360" w:lineRule="auto"/>
        <w:ind w:firstLine="562" w:firstLineChars="200"/>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债权申报期限</w:t>
      </w:r>
    </w:p>
    <w:p>
      <w:pPr>
        <w:numPr>
          <w:numId w:val="0"/>
        </w:numPr>
        <w:spacing w:line="360" w:lineRule="auto"/>
        <w:ind w:firstLine="560" w:firstLineChars="200"/>
        <w:rPr>
          <w:rFonts w:hint="default" w:ascii="仿宋" w:hAnsi="仿宋" w:eastAsia="仿宋" w:cs="仿宋"/>
          <w:sz w:val="28"/>
          <w:szCs w:val="28"/>
          <w:lang w:eastAsia="zh-Hans"/>
        </w:rPr>
      </w:pPr>
      <w:r>
        <w:rPr>
          <w:rFonts w:hint="eastAsia" w:ascii="仿宋" w:hAnsi="仿宋" w:eastAsia="仿宋" w:cs="仿宋"/>
          <w:sz w:val="28"/>
          <w:szCs w:val="28"/>
          <w:lang w:val="en-US" w:eastAsia="zh-Hans"/>
        </w:rPr>
        <w:t>债权申报期限自重庆市第五中级人民法院公告之日起至2022年</w:t>
      </w:r>
      <w:r>
        <w:rPr>
          <w:rFonts w:hint="default" w:ascii="仿宋" w:hAnsi="仿宋" w:eastAsia="仿宋" w:cs="仿宋"/>
          <w:sz w:val="28"/>
          <w:szCs w:val="28"/>
          <w:lang w:eastAsia="zh-Hans"/>
        </w:rPr>
        <w:t>3</w:t>
      </w:r>
      <w:r>
        <w:rPr>
          <w:rFonts w:hint="eastAsia" w:ascii="仿宋" w:hAnsi="仿宋" w:eastAsia="仿宋" w:cs="仿宋"/>
          <w:sz w:val="28"/>
          <w:szCs w:val="28"/>
          <w:lang w:val="en-US" w:eastAsia="zh-Hans"/>
        </w:rPr>
        <w:t>月1</w:t>
      </w:r>
      <w:r>
        <w:rPr>
          <w:rFonts w:hint="default" w:ascii="仿宋" w:hAnsi="仿宋" w:eastAsia="仿宋" w:cs="仿宋"/>
          <w:sz w:val="28"/>
          <w:szCs w:val="28"/>
          <w:lang w:eastAsia="zh-Hans"/>
        </w:rPr>
        <w:t>1</w:t>
      </w:r>
      <w:r>
        <w:rPr>
          <w:rFonts w:hint="eastAsia" w:ascii="仿宋" w:hAnsi="仿宋" w:eastAsia="仿宋" w:cs="仿宋"/>
          <w:sz w:val="28"/>
          <w:szCs w:val="28"/>
          <w:lang w:val="en-US" w:eastAsia="zh-Hans"/>
        </w:rPr>
        <w:t>日止，受理时间为登记期间工作日的9:30-12:00,14:00-17:30</w:t>
      </w:r>
      <w:r>
        <w:rPr>
          <w:rFonts w:hint="default" w:ascii="仿宋" w:hAnsi="仿宋" w:eastAsia="仿宋" w:cs="仿宋"/>
          <w:sz w:val="28"/>
          <w:szCs w:val="28"/>
          <w:lang w:eastAsia="zh-Hans"/>
        </w:rPr>
        <w:t>。</w:t>
      </w:r>
    </w:p>
    <w:p>
      <w:pPr>
        <w:numPr>
          <w:numId w:val="0"/>
        </w:numPr>
        <w:spacing w:line="360" w:lineRule="auto"/>
        <w:ind w:firstLine="562" w:firstLineChars="200"/>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二</w:t>
      </w:r>
      <w:r>
        <w:rPr>
          <w:rFonts w:hint="default" w:ascii="仿宋" w:hAnsi="仿宋" w:eastAsia="仿宋" w:cs="仿宋"/>
          <w:b/>
          <w:bCs/>
          <w:sz w:val="28"/>
          <w:szCs w:val="28"/>
          <w:lang w:eastAsia="zh-Hans"/>
        </w:rPr>
        <w:t>、</w:t>
      </w:r>
      <w:r>
        <w:rPr>
          <w:rFonts w:hint="eastAsia" w:ascii="仿宋" w:hAnsi="仿宋" w:eastAsia="仿宋" w:cs="仿宋"/>
          <w:b/>
          <w:bCs/>
          <w:sz w:val="28"/>
          <w:szCs w:val="28"/>
          <w:lang w:val="en-US" w:eastAsia="zh-Hans"/>
        </w:rPr>
        <w:t>申报方式</w:t>
      </w:r>
    </w:p>
    <w:p>
      <w:pPr>
        <w:numPr>
          <w:numId w:val="0"/>
        </w:numPr>
        <w:spacing w:line="360" w:lineRule="auto"/>
        <w:ind w:firstLine="560" w:firstLineChars="200"/>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（一）债权人应现场提交申报材料，债权人提交证据材料复印时应提供证据原件供管理人核查、核对。</w:t>
      </w:r>
    </w:p>
    <w:p>
      <w:pPr>
        <w:numPr>
          <w:numId w:val="0"/>
        </w:numPr>
        <w:spacing w:line="360" w:lineRule="auto"/>
        <w:ind w:firstLine="560" w:firstLineChars="200"/>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（二）已由生效法律文书确认的债权，债权人除提交法律文书外，应同时提交相关法律文书的生效证明；申报诉讼费用的债权人，除法律文书确认由债务人径付债权人外，应当向管理人提交诉讼费票据原件。</w:t>
      </w:r>
    </w:p>
    <w:p>
      <w:pPr>
        <w:numPr>
          <w:numId w:val="0"/>
        </w:numPr>
        <w:spacing w:line="360" w:lineRule="auto"/>
        <w:ind w:firstLine="560" w:firstLineChars="200"/>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（三）债权人申报债权时，应当同时提交债权未超过诉讼时效期间、未超过强制执行期间的证据。</w:t>
      </w:r>
    </w:p>
    <w:p>
      <w:pPr>
        <w:numPr>
          <w:numId w:val="0"/>
        </w:numPr>
        <w:spacing w:line="360" w:lineRule="auto"/>
        <w:ind w:firstLine="560" w:firstLineChars="200"/>
        <w:rPr>
          <w:rFonts w:hint="eastAsia" w:ascii="仿宋" w:hAnsi="仿宋" w:eastAsia="仿宋" w:cs="仿宋"/>
          <w:sz w:val="28"/>
          <w:szCs w:val="28"/>
          <w:u w:val="single"/>
          <w:lang w:val="en-US" w:eastAsia="zh-Hans"/>
        </w:rPr>
      </w:pPr>
      <w:r>
        <w:rPr>
          <w:rFonts w:hint="eastAsia" w:ascii="仿宋" w:hAnsi="仿宋" w:eastAsia="仿宋" w:cs="仿宋"/>
          <w:sz w:val="28"/>
          <w:szCs w:val="28"/>
          <w:u w:val="single"/>
          <w:lang w:val="en-US" w:eastAsia="zh-Hans"/>
        </w:rPr>
        <w:t>（四）现场申报地址：重庆市渝北区天宫殿街道财富东路6号重庆高科涉外商务区B3栋22F，戴晓月</w:t>
      </w:r>
      <w:r>
        <w:rPr>
          <w:rFonts w:hint="default" w:ascii="仿宋" w:hAnsi="仿宋" w:eastAsia="仿宋" w:cs="仿宋"/>
          <w:sz w:val="28"/>
          <w:szCs w:val="28"/>
          <w:u w:val="single"/>
          <w:lang w:eastAsia="zh-Hans"/>
        </w:rPr>
        <w:t>，15213095502</w:t>
      </w:r>
      <w:r>
        <w:rPr>
          <w:rFonts w:hint="eastAsia" w:ascii="仿宋" w:hAnsi="仿宋" w:eastAsia="仿宋" w:cs="仿宋"/>
          <w:sz w:val="28"/>
          <w:szCs w:val="28"/>
          <w:u w:val="single"/>
          <w:lang w:val="en-US" w:eastAsia="zh-Hans"/>
        </w:rPr>
        <w:t>。</w:t>
      </w:r>
    </w:p>
    <w:p>
      <w:pPr>
        <w:numPr>
          <w:numId w:val="0"/>
        </w:numPr>
        <w:spacing w:line="360" w:lineRule="auto"/>
        <w:ind w:firstLine="562" w:firstLineChars="200"/>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特别提醒：债权人应同时在“重庆法院破产管理人工作平台”（网址：http://www.cqfygzfw.com/pcczproject/）申报债权。为便利债权人在“重庆法院破产管理人工作平台”申报债权，建议债权人前往上述现场申报地址，管理人工作人员将协助债权人进行平台申报债权。</w:t>
      </w:r>
    </w:p>
    <w:p>
      <w:pPr>
        <w:numPr>
          <w:numId w:val="0"/>
        </w:num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lang w:val="en-US" w:eastAsia="zh-Hans"/>
        </w:rPr>
        <w:t>三</w:t>
      </w:r>
      <w:r>
        <w:rPr>
          <w:rFonts w:hint="default" w:ascii="仿宋" w:hAnsi="仿宋" w:eastAsia="仿宋" w:cs="仿宋"/>
          <w:b/>
          <w:bCs/>
          <w:sz w:val="28"/>
          <w:szCs w:val="28"/>
          <w:lang w:eastAsia="zh-Hans"/>
        </w:rPr>
        <w:t>、</w:t>
      </w:r>
      <w:r>
        <w:rPr>
          <w:rFonts w:hint="eastAsia" w:ascii="仿宋" w:hAnsi="仿宋" w:eastAsia="仿宋" w:cs="仿宋"/>
          <w:b/>
          <w:bCs/>
          <w:sz w:val="28"/>
          <w:szCs w:val="28"/>
        </w:rPr>
        <w:t>债权人应提交的材料</w:t>
      </w:r>
    </w:p>
    <w:p>
      <w:pPr>
        <w:pStyle w:val="15"/>
        <w:spacing w:line="360" w:lineRule="auto"/>
        <w:ind w:firstLine="402"/>
        <w:rPr>
          <w:rFonts w:ascii="仿宋" w:hAnsi="仿宋" w:eastAsia="仿宋" w:cs="仿宋"/>
          <w:b/>
          <w:bCs/>
          <w:sz w:val="28"/>
          <w:szCs w:val="28"/>
        </w:rPr>
      </w:pPr>
      <w:r>
        <w:rPr>
          <w:rFonts w:hint="eastAsia" w:ascii="仿宋" w:hAnsi="仿宋" w:eastAsia="仿宋" w:cs="仿宋"/>
          <w:b/>
          <w:bCs/>
          <w:sz w:val="28"/>
          <w:szCs w:val="28"/>
        </w:rPr>
        <w:t>（一）债权申报登记表</w:t>
      </w:r>
      <w:r>
        <w:rPr>
          <w:rFonts w:hint="default" w:ascii="仿宋" w:hAnsi="仿宋" w:eastAsia="仿宋" w:cs="仿宋"/>
          <w:b/>
          <w:bCs/>
          <w:sz w:val="28"/>
          <w:szCs w:val="28"/>
        </w:rPr>
        <w:t>、</w:t>
      </w:r>
      <w:r>
        <w:rPr>
          <w:rFonts w:hint="eastAsia" w:ascii="仿宋" w:hAnsi="仿宋" w:eastAsia="仿宋" w:cs="仿宋"/>
          <w:b/>
          <w:bCs/>
          <w:sz w:val="28"/>
          <w:szCs w:val="28"/>
          <w:lang w:val="en-US" w:eastAsia="zh-Hans"/>
        </w:rPr>
        <w:t>债权申报材料清单</w:t>
      </w:r>
      <w:r>
        <w:rPr>
          <w:rFonts w:hint="eastAsia" w:ascii="仿宋" w:hAnsi="仿宋" w:eastAsia="仿宋" w:cs="仿宋"/>
          <w:b/>
          <w:bCs/>
          <w:sz w:val="28"/>
          <w:szCs w:val="28"/>
        </w:rPr>
        <w:t>及债权计算依据</w:t>
      </w:r>
    </w:p>
    <w:p>
      <w:pPr>
        <w:pStyle w:val="15"/>
        <w:spacing w:line="360" w:lineRule="auto"/>
        <w:ind w:firstLine="400"/>
        <w:rPr>
          <w:rFonts w:ascii="仿宋" w:hAnsi="仿宋" w:eastAsia="仿宋" w:cs="仿宋"/>
          <w:b w:val="0"/>
          <w:bCs w:val="0"/>
          <w:sz w:val="28"/>
          <w:szCs w:val="28"/>
          <w:u w:val="none"/>
        </w:rPr>
      </w:pPr>
      <w:r>
        <w:rPr>
          <w:rFonts w:hint="eastAsia" w:ascii="仿宋" w:hAnsi="仿宋" w:eastAsia="仿宋" w:cs="仿宋"/>
          <w:b w:val="0"/>
          <w:bCs w:val="0"/>
          <w:sz w:val="28"/>
          <w:szCs w:val="28"/>
          <w:u w:val="none"/>
        </w:rPr>
        <w:t>1.债权计算依据须如实、详细写明申报的债权金额、性质、形成原因、经过、有无财产担保等相关事项。</w:t>
      </w:r>
    </w:p>
    <w:p>
      <w:pPr>
        <w:pStyle w:val="15"/>
        <w:spacing w:line="360" w:lineRule="auto"/>
        <w:ind w:firstLine="400"/>
        <w:rPr>
          <w:rFonts w:ascii="仿宋" w:hAnsi="仿宋" w:eastAsia="仿宋" w:cs="仿宋"/>
          <w:b w:val="0"/>
          <w:bCs w:val="0"/>
          <w:sz w:val="28"/>
          <w:szCs w:val="28"/>
          <w:u w:val="none"/>
        </w:rPr>
      </w:pPr>
      <w:r>
        <w:rPr>
          <w:rFonts w:hint="eastAsia" w:ascii="仿宋" w:hAnsi="仿宋" w:eastAsia="仿宋" w:cs="仿宋"/>
          <w:b w:val="0"/>
          <w:bCs w:val="0"/>
          <w:sz w:val="28"/>
          <w:szCs w:val="28"/>
          <w:u w:val="none"/>
        </w:rPr>
        <w:t>2.债权申报登记表和债权计算依据记载的信息应当保持一致，不一致的，管理人将视债权申报登记表为债权人的申报意见。</w:t>
      </w:r>
    </w:p>
    <w:p>
      <w:pPr>
        <w:pStyle w:val="15"/>
        <w:spacing w:line="360" w:lineRule="auto"/>
        <w:ind w:firstLine="402"/>
        <w:rPr>
          <w:rFonts w:ascii="仿宋" w:hAnsi="仿宋" w:eastAsia="仿宋" w:cs="仿宋"/>
          <w:b w:val="0"/>
          <w:bCs w:val="0"/>
          <w:sz w:val="28"/>
          <w:szCs w:val="28"/>
          <w:u w:val="none"/>
        </w:rPr>
      </w:pPr>
      <w:r>
        <w:rPr>
          <w:rFonts w:hint="eastAsia" w:ascii="仿宋" w:hAnsi="仿宋" w:eastAsia="仿宋" w:cs="仿宋"/>
          <w:b w:val="0"/>
          <w:bCs w:val="0"/>
          <w:sz w:val="28"/>
          <w:szCs w:val="28"/>
          <w:u w:val="none"/>
        </w:rPr>
        <w:t>3.机构债权人应在债权申报登记表、债权计算依据上加盖债权人公章，个人债权人应在债权申报登记表、债权计算依据上由本人签字并捺手印。</w:t>
      </w:r>
    </w:p>
    <w:p>
      <w:pPr>
        <w:pStyle w:val="15"/>
        <w:spacing w:line="360" w:lineRule="auto"/>
        <w:ind w:firstLine="402"/>
        <w:rPr>
          <w:rFonts w:hint="eastAsia" w:ascii="仿宋" w:hAnsi="仿宋" w:eastAsia="仿宋" w:cs="仿宋"/>
          <w:b/>
          <w:bCs/>
          <w:sz w:val="28"/>
          <w:szCs w:val="28"/>
        </w:rPr>
      </w:pPr>
      <w:r>
        <w:rPr>
          <w:rFonts w:hint="eastAsia" w:ascii="仿宋" w:hAnsi="仿宋" w:eastAsia="仿宋" w:cs="仿宋"/>
          <w:b/>
          <w:bCs/>
          <w:sz w:val="28"/>
          <w:szCs w:val="28"/>
        </w:rPr>
        <w:t>（二）送达方式确认书</w:t>
      </w:r>
    </w:p>
    <w:p>
      <w:pPr>
        <w:pStyle w:val="15"/>
        <w:spacing w:line="360" w:lineRule="auto"/>
        <w:ind w:firstLine="402"/>
        <w:rPr>
          <w:rFonts w:hint="eastAsia" w:ascii="仿宋" w:hAnsi="仿宋" w:eastAsia="仿宋" w:cs="仿宋"/>
          <w:b/>
          <w:bCs/>
          <w:sz w:val="28"/>
          <w:szCs w:val="28"/>
        </w:rPr>
      </w:pPr>
      <w:r>
        <w:rPr>
          <w:rFonts w:hint="default" w:ascii="仿宋" w:hAnsi="仿宋" w:eastAsia="仿宋" w:cs="仿宋"/>
          <w:b/>
          <w:bCs/>
          <w:sz w:val="28"/>
          <w:szCs w:val="28"/>
        </w:rPr>
        <w:t>（</w:t>
      </w:r>
      <w:r>
        <w:rPr>
          <w:rFonts w:hint="eastAsia" w:ascii="仿宋" w:hAnsi="仿宋" w:eastAsia="仿宋" w:cs="仿宋"/>
          <w:b/>
          <w:bCs/>
          <w:sz w:val="28"/>
          <w:szCs w:val="28"/>
          <w:lang w:val="en-US" w:eastAsia="zh-Hans"/>
        </w:rPr>
        <w:t>三</w:t>
      </w:r>
      <w:r>
        <w:rPr>
          <w:rFonts w:hint="default" w:ascii="仿宋" w:hAnsi="仿宋" w:eastAsia="仿宋" w:cs="仿宋"/>
          <w:b/>
          <w:bCs/>
          <w:sz w:val="28"/>
          <w:szCs w:val="28"/>
          <w:lang w:eastAsia="zh-Hans"/>
        </w:rPr>
        <w:t>）</w:t>
      </w:r>
      <w:r>
        <w:rPr>
          <w:rFonts w:hint="eastAsia" w:ascii="仿宋" w:hAnsi="仿宋" w:eastAsia="仿宋" w:cs="仿宋"/>
          <w:b/>
          <w:bCs/>
          <w:sz w:val="28"/>
          <w:szCs w:val="28"/>
          <w:lang w:val="en-US" w:eastAsia="zh-Hans"/>
        </w:rPr>
        <w:t>银行账户确认书</w:t>
      </w:r>
    </w:p>
    <w:p>
      <w:pPr>
        <w:pStyle w:val="15"/>
        <w:spacing w:line="360" w:lineRule="auto"/>
        <w:ind w:firstLine="402"/>
        <w:rPr>
          <w:rFonts w:ascii="仿宋" w:hAnsi="仿宋" w:eastAsia="仿宋" w:cs="仿宋"/>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val="en-US" w:eastAsia="zh-Hans"/>
        </w:rPr>
        <w:t>四</w:t>
      </w:r>
      <w:r>
        <w:rPr>
          <w:rFonts w:hint="eastAsia" w:ascii="仿宋" w:hAnsi="仿宋" w:eastAsia="仿宋" w:cs="仿宋"/>
          <w:b/>
          <w:bCs/>
          <w:sz w:val="28"/>
          <w:szCs w:val="28"/>
        </w:rPr>
        <w:t>）债权申报人主体资格材料</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债权人为法人或其他组织的，请提供有效的企业法人营业执照、事业和社会团体法人登记证书等复印件（加盖单位公章）；法定代表人或负责人身份证明书（加盖单位公章）及其身份证复印件（加盖单位公章）。</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2.债权人为自然人的，请提供债权人身份证等个人有效证件原件</w:t>
      </w:r>
      <w:r>
        <w:rPr>
          <w:rFonts w:hint="eastAsia" w:ascii="仿宋" w:hAnsi="仿宋" w:eastAsia="仿宋" w:cs="仿宋"/>
          <w:b/>
          <w:sz w:val="28"/>
          <w:szCs w:val="28"/>
          <w:u w:val="single"/>
        </w:rPr>
        <w:t>（核对后退还）</w:t>
      </w:r>
      <w:r>
        <w:rPr>
          <w:rFonts w:hint="eastAsia" w:ascii="仿宋" w:hAnsi="仿宋" w:eastAsia="仿宋" w:cs="仿宋"/>
          <w:sz w:val="28"/>
          <w:szCs w:val="28"/>
        </w:rPr>
        <w:t>及复印件；</w:t>
      </w:r>
    </w:p>
    <w:p>
      <w:pPr>
        <w:pStyle w:val="15"/>
        <w:spacing w:line="360" w:lineRule="auto"/>
        <w:ind w:firstLine="400"/>
        <w:rPr>
          <w:rFonts w:ascii="仿宋" w:hAnsi="仿宋" w:eastAsia="仿宋" w:cs="仿宋"/>
          <w:sz w:val="28"/>
          <w:szCs w:val="28"/>
        </w:rPr>
      </w:pPr>
      <w:r>
        <w:rPr>
          <w:rFonts w:hint="eastAsia" w:ascii="仿宋" w:hAnsi="仿宋" w:eastAsia="仿宋" w:cs="仿宋"/>
          <w:sz w:val="28"/>
          <w:szCs w:val="28"/>
        </w:rPr>
        <w:t>3.委托代理申报须提交的材料：</w:t>
      </w:r>
    </w:p>
    <w:p>
      <w:pPr>
        <w:pStyle w:val="15"/>
        <w:spacing w:line="360" w:lineRule="auto"/>
        <w:ind w:firstLine="402"/>
        <w:rPr>
          <w:rFonts w:ascii="仿宋" w:hAnsi="仿宋" w:eastAsia="仿宋" w:cs="仿宋"/>
          <w:sz w:val="28"/>
          <w:szCs w:val="28"/>
        </w:rPr>
      </w:pPr>
      <w:r>
        <w:rPr>
          <w:rFonts w:hint="eastAsia" w:ascii="仿宋" w:hAnsi="仿宋" w:eastAsia="仿宋" w:cs="仿宋"/>
          <w:b/>
          <w:sz w:val="28"/>
          <w:szCs w:val="28"/>
        </w:rPr>
        <w:t>除提供上述材料外，还须提交如下材料：</w:t>
      </w:r>
      <w:r>
        <w:rPr>
          <w:rFonts w:hint="eastAsia" w:ascii="仿宋" w:hAnsi="仿宋" w:eastAsia="仿宋" w:cs="仿宋"/>
          <w:sz w:val="28"/>
          <w:szCs w:val="28"/>
        </w:rPr>
        <w:t>（1）债权人为法人或其他组织的：授权委托书（法</w:t>
      </w:r>
      <w:r>
        <w:rPr>
          <w:rFonts w:hint="eastAsia" w:ascii="仿宋" w:hAnsi="仿宋" w:eastAsia="仿宋" w:cs="仿宋"/>
          <w:b w:val="0"/>
          <w:bCs w:val="0"/>
          <w:sz w:val="28"/>
          <w:szCs w:val="28"/>
          <w:u w:val="none"/>
        </w:rPr>
        <w:t>定代表人签字并加盖单位公章）和代理人的身份证/律师证、所函等有效证件；（2）个人债权人：授权委托书原件和代理人的身份证</w:t>
      </w:r>
      <w:r>
        <w:rPr>
          <w:rFonts w:hint="eastAsia" w:ascii="仿宋" w:hAnsi="仿宋" w:eastAsia="仿宋" w:cs="仿宋"/>
          <w:sz w:val="28"/>
          <w:szCs w:val="28"/>
        </w:rPr>
        <w:t>/律师证、所函等有效证件。</w:t>
      </w:r>
    </w:p>
    <w:p>
      <w:pPr>
        <w:pStyle w:val="3"/>
        <w:spacing w:before="0" w:after="0" w:line="360" w:lineRule="auto"/>
        <w:ind w:firstLine="562" w:firstLineChars="200"/>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Hans"/>
        </w:rPr>
        <w:t>五</w:t>
      </w:r>
      <w:r>
        <w:rPr>
          <w:rFonts w:hint="eastAsia" w:ascii="仿宋" w:hAnsi="仿宋" w:eastAsia="仿宋" w:cs="仿宋"/>
          <w:sz w:val="28"/>
          <w:szCs w:val="28"/>
        </w:rPr>
        <w:t>）证据材料</w:t>
      </w:r>
    </w:p>
    <w:p>
      <w:pPr>
        <w:spacing w:line="360" w:lineRule="auto"/>
        <w:ind w:firstLine="562" w:firstLineChars="200"/>
        <w:rPr>
          <w:rFonts w:ascii="仿宋" w:hAnsi="仿宋" w:eastAsia="仿宋" w:cs="仿宋"/>
          <w:sz w:val="28"/>
          <w:szCs w:val="28"/>
        </w:rPr>
      </w:pPr>
      <w:r>
        <w:rPr>
          <w:rFonts w:hint="eastAsia" w:ascii="仿宋" w:hAnsi="仿宋" w:eastAsia="仿宋" w:cs="仿宋"/>
          <w:b/>
          <w:sz w:val="28"/>
          <w:szCs w:val="28"/>
        </w:rPr>
        <w:t>1.民间借贷或金融借款类债权：</w:t>
      </w:r>
      <w:r>
        <w:rPr>
          <w:rFonts w:hint="eastAsia" w:ascii="仿宋" w:hAnsi="仿宋" w:eastAsia="仿宋" w:cs="仿宋"/>
          <w:sz w:val="28"/>
          <w:szCs w:val="28"/>
        </w:rPr>
        <w:t>（1）借款合同、协议或借条等主债权材料；（2）借贷关系有担保人的，提供有关担保的证据材料；（3）债权人交付借款的凭证；（4）债务人应当支付利息的证明；无利息约定的，债权人要求债务人偿付逾期利息，或者不定期无息借款经催告不还，债权人要求偿付催告后利息的，应有到期不还或经催告不还的证据材料；（5）债务人已还本付息情况及相应凭证。（6）其他证据材料。</w:t>
      </w:r>
    </w:p>
    <w:p>
      <w:pPr>
        <w:spacing w:line="360" w:lineRule="auto"/>
        <w:ind w:firstLine="562" w:firstLineChars="200"/>
        <w:rPr>
          <w:rFonts w:ascii="仿宋" w:hAnsi="仿宋" w:eastAsia="仿宋" w:cs="仿宋"/>
          <w:sz w:val="28"/>
          <w:szCs w:val="28"/>
        </w:rPr>
      </w:pPr>
      <w:r>
        <w:rPr>
          <w:rFonts w:hint="eastAsia" w:ascii="仿宋" w:hAnsi="仿宋" w:eastAsia="仿宋" w:cs="仿宋"/>
          <w:b/>
          <w:sz w:val="28"/>
          <w:szCs w:val="28"/>
        </w:rPr>
        <w:t>2.买卖（购销）合同类债权：</w:t>
      </w:r>
      <w:r>
        <w:rPr>
          <w:rFonts w:hint="eastAsia" w:ascii="仿宋" w:hAnsi="仿宋" w:eastAsia="仿宋" w:cs="仿宋"/>
          <w:sz w:val="28"/>
          <w:szCs w:val="28"/>
        </w:rPr>
        <w:t>（1）主债权材料（买卖合同、订(定)货单、邀约、承诺、数据电文等）；（2）保证合同、抵押合同、质押合同、定金合同或者交付定金的凭证、保函等有关担保的证据材料；（3）交、收货凭证；（4）货款收支凭证；（5）拖欠货款的证据；（6）对货物质量异议的信函、检验报告、客户投诉、退货和索偿的证据；（7）约定向第三人履行或者由第三人履行的，提交第三人关于合同履行情况的证明以及相应凭证。</w:t>
      </w:r>
    </w:p>
    <w:p>
      <w:pPr>
        <w:spacing w:line="360" w:lineRule="auto"/>
        <w:ind w:firstLine="562" w:firstLineChars="200"/>
        <w:rPr>
          <w:rFonts w:hint="eastAsia" w:ascii="仿宋" w:hAnsi="仿宋" w:eastAsia="仿宋" w:cs="仿宋"/>
          <w:bCs/>
          <w:sz w:val="28"/>
          <w:szCs w:val="28"/>
        </w:rPr>
      </w:pPr>
      <w:r>
        <w:rPr>
          <w:rFonts w:hint="eastAsia" w:ascii="仿宋" w:hAnsi="仿宋" w:eastAsia="仿宋" w:cs="仿宋"/>
          <w:b/>
          <w:sz w:val="28"/>
          <w:szCs w:val="28"/>
          <w:lang w:val="en-US" w:eastAsia="zh-CN"/>
        </w:rPr>
        <w:t>3</w:t>
      </w:r>
      <w:r>
        <w:rPr>
          <w:rFonts w:hint="eastAsia" w:ascii="仿宋" w:hAnsi="仿宋" w:eastAsia="仿宋" w:cs="仿宋"/>
          <w:b/>
          <w:sz w:val="28"/>
          <w:szCs w:val="28"/>
        </w:rPr>
        <w:t>.</w:t>
      </w:r>
      <w:r>
        <w:rPr>
          <w:rFonts w:hint="eastAsia" w:ascii="仿宋" w:hAnsi="仿宋" w:eastAsia="仿宋" w:cs="仿宋"/>
          <w:b/>
          <w:sz w:val="28"/>
          <w:szCs w:val="28"/>
          <w:lang w:val="en-US" w:eastAsia="zh-CN"/>
        </w:rPr>
        <w:t>工程</w:t>
      </w:r>
      <w:r>
        <w:rPr>
          <w:rFonts w:hint="eastAsia" w:ascii="仿宋" w:hAnsi="仿宋" w:eastAsia="仿宋" w:cs="仿宋"/>
          <w:b/>
          <w:sz w:val="28"/>
          <w:szCs w:val="28"/>
        </w:rPr>
        <w:t>类债权：</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1</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工程承包合同；（2）建设项目的施工图纸；（3）工程进度表；（4）工程量发生变化的签证单和图纸；（5）工程款预结算审核文件；（6）施工许可证和规划许可证（如有）；（7）竣工验收报告；（8）如主张建设工程优先受偿权，还需提供主张的时间及方式；（9）其他证据材料。</w:t>
      </w:r>
    </w:p>
    <w:p>
      <w:pPr>
        <w:spacing w:line="360" w:lineRule="auto"/>
        <w:ind w:firstLine="560" w:firstLineChars="200"/>
        <w:rPr>
          <w:rFonts w:ascii="仿宋" w:hAnsi="仿宋" w:eastAsia="仿宋" w:cs="仿宋"/>
          <w:b w:val="0"/>
          <w:bCs/>
          <w:sz w:val="28"/>
          <w:szCs w:val="28"/>
          <w:u w:val="none"/>
        </w:rPr>
      </w:pPr>
      <w:r>
        <w:rPr>
          <w:rFonts w:hint="eastAsia" w:ascii="仿宋" w:hAnsi="仿宋" w:eastAsia="仿宋" w:cs="仿宋"/>
          <w:b w:val="0"/>
          <w:bCs/>
          <w:sz w:val="28"/>
          <w:szCs w:val="28"/>
          <w:u w:val="none"/>
          <w:lang w:val="en-US" w:eastAsia="zh-CN"/>
        </w:rPr>
        <w:t>4.</w:t>
      </w:r>
      <w:r>
        <w:rPr>
          <w:rFonts w:hint="eastAsia" w:ascii="仿宋" w:hAnsi="仿宋" w:eastAsia="仿宋" w:cs="仿宋"/>
          <w:b w:val="0"/>
          <w:bCs/>
          <w:sz w:val="28"/>
          <w:szCs w:val="28"/>
          <w:u w:val="none"/>
        </w:rPr>
        <w:t>其他债权类型的申报材料，请参考以上债权类型资料。</w:t>
      </w:r>
    </w:p>
    <w:p>
      <w:pPr>
        <w:spacing w:line="360" w:lineRule="auto"/>
        <w:ind w:firstLine="560" w:firstLineChars="200"/>
        <w:rPr>
          <w:rFonts w:ascii="仿宋" w:hAnsi="仿宋" w:eastAsia="仿宋" w:cs="仿宋"/>
          <w:b w:val="0"/>
          <w:bCs/>
          <w:sz w:val="28"/>
          <w:szCs w:val="28"/>
          <w:u w:val="none"/>
        </w:rPr>
      </w:pPr>
      <w:r>
        <w:rPr>
          <w:rFonts w:hint="eastAsia" w:ascii="仿宋" w:hAnsi="仿宋" w:eastAsia="仿宋" w:cs="仿宋"/>
          <w:b w:val="0"/>
          <w:bCs/>
          <w:sz w:val="28"/>
          <w:szCs w:val="28"/>
          <w:u w:val="none"/>
          <w:lang w:val="en-US" w:eastAsia="zh-CN"/>
        </w:rPr>
        <w:t>5</w:t>
      </w:r>
      <w:r>
        <w:rPr>
          <w:rFonts w:hint="eastAsia" w:ascii="仿宋" w:hAnsi="仿宋" w:eastAsia="仿宋" w:cs="仿宋"/>
          <w:b w:val="0"/>
          <w:bCs/>
          <w:sz w:val="28"/>
          <w:szCs w:val="28"/>
          <w:u w:val="none"/>
        </w:rPr>
        <w:t>.债权或相关权利已经得到生效法律文书确认的，应提交加盖生效章的相关法律文书，如经过两级法院审理，一、二审法院的法律文书皆须提供；仲裁机构出具的生效法律文书应附仲裁机构关于法律文书已经生效的函件或双方当事人已签收的送达回执等证明材料。如已申请人民法院强制执行的，还须提交人民法院执行立案通知书、执行裁定书等相关文件。</w:t>
      </w:r>
    </w:p>
    <w:p>
      <w:pPr>
        <w:pStyle w:val="15"/>
        <w:spacing w:line="360" w:lineRule="auto"/>
        <w:ind w:firstLine="402"/>
        <w:rPr>
          <w:rFonts w:ascii="仿宋" w:hAnsi="仿宋" w:eastAsia="仿宋" w:cs="仿宋"/>
          <w:b w:val="0"/>
          <w:bCs/>
          <w:sz w:val="28"/>
          <w:szCs w:val="28"/>
          <w:u w:val="none"/>
        </w:rPr>
      </w:pPr>
      <w:r>
        <w:rPr>
          <w:rFonts w:hint="eastAsia" w:ascii="仿宋" w:hAnsi="仿宋" w:eastAsia="仿宋" w:cs="仿宋"/>
          <w:b w:val="0"/>
          <w:bCs/>
          <w:sz w:val="28"/>
          <w:szCs w:val="28"/>
          <w:u w:val="none"/>
          <w:lang w:val="en-US" w:eastAsia="zh-CN"/>
        </w:rPr>
        <w:t>6</w:t>
      </w:r>
      <w:r>
        <w:rPr>
          <w:rFonts w:hint="eastAsia" w:ascii="仿宋" w:hAnsi="仿宋" w:eastAsia="仿宋" w:cs="仿宋"/>
          <w:b w:val="0"/>
          <w:bCs/>
          <w:sz w:val="28"/>
          <w:szCs w:val="28"/>
          <w:u w:val="none"/>
        </w:rPr>
        <w:t>.申报的债权涉及利息的，根据《中华人民共和国企业破产法》第四十六条第二款之规定，利息计算至重庆市第五中级人民法院裁定受理对</w:t>
      </w:r>
      <w:r>
        <w:rPr>
          <w:rFonts w:hint="eastAsia" w:ascii="仿宋" w:hAnsi="仿宋" w:eastAsia="仿宋" w:cs="仿宋"/>
          <w:b w:val="0"/>
          <w:bCs/>
          <w:sz w:val="28"/>
          <w:szCs w:val="28"/>
          <w:u w:val="none"/>
          <w:lang w:eastAsia="zh-CN"/>
        </w:rPr>
        <w:t>重庆拓望实业有限公司</w:t>
      </w:r>
      <w:r>
        <w:rPr>
          <w:rFonts w:hint="eastAsia" w:ascii="仿宋" w:hAnsi="仿宋" w:eastAsia="仿宋" w:cs="仿宋"/>
          <w:b w:val="0"/>
          <w:bCs/>
          <w:sz w:val="28"/>
          <w:szCs w:val="28"/>
          <w:u w:val="none"/>
        </w:rPr>
        <w:t>的破产清算申请之日，</w:t>
      </w:r>
      <w:r>
        <w:rPr>
          <w:rFonts w:hint="eastAsia" w:ascii="仿宋" w:hAnsi="仿宋" w:eastAsia="仿宋" w:cs="仿宋"/>
          <w:b w:val="0"/>
          <w:bCs/>
          <w:sz w:val="28"/>
          <w:szCs w:val="28"/>
          <w:highlight w:val="none"/>
          <w:u w:val="none"/>
        </w:rPr>
        <w:t>即2</w:t>
      </w:r>
      <w:r>
        <w:rPr>
          <w:rFonts w:hint="eastAsia" w:ascii="仿宋" w:hAnsi="仿宋" w:eastAsia="仿宋" w:cs="仿宋"/>
          <w:b w:val="0"/>
          <w:bCs/>
          <w:sz w:val="28"/>
          <w:szCs w:val="28"/>
          <w:highlight w:val="none"/>
          <w:u w:val="none"/>
          <w:lang w:val="en-US" w:eastAsia="zh-CN"/>
        </w:rPr>
        <w:t>022</w:t>
      </w:r>
      <w:r>
        <w:rPr>
          <w:rFonts w:hint="eastAsia" w:ascii="仿宋" w:hAnsi="仿宋" w:eastAsia="仿宋" w:cs="仿宋"/>
          <w:b w:val="0"/>
          <w:bCs/>
          <w:sz w:val="28"/>
          <w:szCs w:val="28"/>
          <w:highlight w:val="none"/>
          <w:u w:val="none"/>
        </w:rPr>
        <w:t>年1月</w:t>
      </w:r>
      <w:r>
        <w:rPr>
          <w:rFonts w:hint="eastAsia" w:ascii="仿宋" w:hAnsi="仿宋" w:eastAsia="仿宋" w:cs="仿宋"/>
          <w:b w:val="0"/>
          <w:bCs/>
          <w:sz w:val="28"/>
          <w:szCs w:val="28"/>
          <w:highlight w:val="none"/>
          <w:u w:val="none"/>
          <w:lang w:val="en-US" w:eastAsia="zh-CN"/>
        </w:rPr>
        <w:t>12</w:t>
      </w:r>
      <w:r>
        <w:rPr>
          <w:rFonts w:hint="eastAsia" w:ascii="仿宋" w:hAnsi="仿宋" w:eastAsia="仿宋" w:cs="仿宋"/>
          <w:b w:val="0"/>
          <w:bCs/>
          <w:sz w:val="28"/>
          <w:szCs w:val="28"/>
          <w:highlight w:val="none"/>
          <w:u w:val="none"/>
        </w:rPr>
        <w:t>日。</w:t>
      </w:r>
      <w:r>
        <w:rPr>
          <w:rFonts w:hint="eastAsia" w:ascii="仿宋" w:hAnsi="仿宋" w:eastAsia="仿宋" w:cs="仿宋"/>
          <w:b w:val="0"/>
          <w:bCs/>
          <w:sz w:val="28"/>
          <w:szCs w:val="28"/>
          <w:u w:val="none"/>
        </w:rPr>
        <w:t>申报人应提供利息计算表，说明利息的计算依据、计算公式和计算结果，同时将正常利息与罚息、滞纳金、迟延履行利息等分开计算；</w:t>
      </w:r>
    </w:p>
    <w:p>
      <w:pPr>
        <w:pStyle w:val="15"/>
        <w:spacing w:line="360" w:lineRule="auto"/>
        <w:ind w:firstLine="402"/>
        <w:outlineLvl w:val="0"/>
        <w:rPr>
          <w:rFonts w:ascii="仿宋" w:hAnsi="仿宋" w:eastAsia="仿宋" w:cs="仿宋"/>
          <w:b/>
          <w:bCs/>
          <w:sz w:val="28"/>
          <w:szCs w:val="28"/>
        </w:rPr>
      </w:pPr>
      <w:r>
        <w:rPr>
          <w:rFonts w:hint="eastAsia" w:ascii="仿宋" w:hAnsi="仿宋" w:eastAsia="仿宋" w:cs="仿宋"/>
          <w:b/>
          <w:bCs/>
          <w:sz w:val="28"/>
          <w:szCs w:val="28"/>
          <w:lang w:val="en-US" w:eastAsia="zh-Hans"/>
        </w:rPr>
        <w:t>四</w:t>
      </w:r>
      <w:r>
        <w:rPr>
          <w:rFonts w:hint="eastAsia" w:ascii="仿宋" w:hAnsi="仿宋" w:eastAsia="仿宋" w:cs="仿宋"/>
          <w:b/>
          <w:bCs/>
          <w:sz w:val="28"/>
          <w:szCs w:val="28"/>
        </w:rPr>
        <w:t>、债权人提交资料的要求</w:t>
      </w:r>
    </w:p>
    <w:p>
      <w:pPr>
        <w:pStyle w:val="15"/>
        <w:spacing w:line="360" w:lineRule="auto"/>
        <w:ind w:firstLine="400"/>
        <w:rPr>
          <w:rFonts w:ascii="仿宋" w:hAnsi="仿宋" w:eastAsia="仿宋" w:cs="仿宋"/>
          <w:b w:val="0"/>
          <w:bCs w:val="0"/>
          <w:sz w:val="28"/>
          <w:szCs w:val="28"/>
          <w:u w:val="none"/>
        </w:rPr>
      </w:pPr>
      <w:r>
        <w:rPr>
          <w:rFonts w:hint="eastAsia" w:ascii="仿宋" w:hAnsi="仿宋" w:eastAsia="仿宋" w:cs="仿宋"/>
          <w:b w:val="0"/>
          <w:bCs w:val="0"/>
          <w:sz w:val="28"/>
          <w:szCs w:val="28"/>
          <w:u w:val="none"/>
        </w:rPr>
        <w:t>1.债权人对债务人享有多笔债权的，应一并提交申报材料；</w:t>
      </w:r>
    </w:p>
    <w:p>
      <w:pPr>
        <w:pStyle w:val="15"/>
        <w:spacing w:line="360" w:lineRule="auto"/>
        <w:ind w:firstLine="400"/>
        <w:rPr>
          <w:rFonts w:ascii="仿宋" w:hAnsi="仿宋" w:eastAsia="仿宋" w:cs="仿宋"/>
          <w:b w:val="0"/>
          <w:bCs w:val="0"/>
          <w:sz w:val="28"/>
          <w:szCs w:val="28"/>
          <w:u w:val="none"/>
        </w:rPr>
      </w:pPr>
      <w:r>
        <w:rPr>
          <w:rFonts w:hint="eastAsia" w:ascii="仿宋" w:hAnsi="仿宋" w:eastAsia="仿宋" w:cs="仿宋"/>
          <w:b w:val="0"/>
          <w:bCs w:val="0"/>
          <w:sz w:val="28"/>
          <w:szCs w:val="28"/>
          <w:u w:val="none"/>
        </w:rPr>
        <w:t>2.债权申报登记表、债权计算依据、授权委托书、法定代表人（负责人）身份证明书、送达方式确认书及承诺书应提交原件，其他材料可以提交复印件（原件供核对）；</w:t>
      </w:r>
    </w:p>
    <w:p>
      <w:pPr>
        <w:pStyle w:val="15"/>
        <w:spacing w:line="360" w:lineRule="auto"/>
        <w:ind w:firstLine="402"/>
        <w:rPr>
          <w:rFonts w:ascii="仿宋" w:hAnsi="仿宋" w:eastAsia="仿宋" w:cs="仿宋"/>
          <w:b w:val="0"/>
          <w:bCs w:val="0"/>
          <w:sz w:val="28"/>
          <w:szCs w:val="28"/>
          <w:u w:val="none"/>
        </w:rPr>
      </w:pPr>
      <w:r>
        <w:rPr>
          <w:rFonts w:hint="eastAsia" w:ascii="仿宋" w:hAnsi="仿宋" w:eastAsia="仿宋" w:cs="仿宋"/>
          <w:b w:val="0"/>
          <w:bCs w:val="0"/>
          <w:sz w:val="28"/>
          <w:szCs w:val="28"/>
          <w:u w:val="none"/>
        </w:rPr>
        <w:t>3.对于债权人提交的资料为复印件的，债权人为机构的，须在材料上加盖单位公章；债权人为个人的，由债权人本人或代理人在材料上签字并捺手印。</w:t>
      </w:r>
    </w:p>
    <w:p>
      <w:pPr>
        <w:pStyle w:val="15"/>
        <w:spacing w:line="360" w:lineRule="auto"/>
        <w:ind w:firstLine="400"/>
        <w:rPr>
          <w:rFonts w:ascii="仿宋" w:hAnsi="仿宋" w:eastAsia="仿宋" w:cs="仿宋"/>
          <w:b w:val="0"/>
          <w:bCs w:val="0"/>
          <w:sz w:val="28"/>
          <w:szCs w:val="28"/>
        </w:rPr>
      </w:pPr>
      <w:r>
        <w:rPr>
          <w:rFonts w:hint="eastAsia" w:ascii="仿宋" w:hAnsi="仿宋" w:eastAsia="仿宋" w:cs="仿宋"/>
          <w:b w:val="0"/>
          <w:bCs w:val="0"/>
          <w:sz w:val="28"/>
          <w:szCs w:val="28"/>
        </w:rPr>
        <w:t>4.债权人提交的所有材料明细填入《债权申报材料清单》。</w:t>
      </w:r>
    </w:p>
    <w:p>
      <w:pPr>
        <w:pStyle w:val="3"/>
        <w:spacing w:before="0" w:after="0" w:line="360" w:lineRule="auto"/>
        <w:ind w:firstLine="562" w:firstLineChars="200"/>
        <w:rPr>
          <w:rFonts w:ascii="仿宋" w:hAnsi="仿宋" w:eastAsia="仿宋" w:cs="仿宋"/>
          <w:sz w:val="28"/>
          <w:szCs w:val="28"/>
        </w:rPr>
      </w:pPr>
      <w:r>
        <w:rPr>
          <w:rFonts w:hint="eastAsia" w:ascii="仿宋" w:hAnsi="仿宋" w:eastAsia="仿宋" w:cs="仿宋"/>
          <w:sz w:val="28"/>
          <w:szCs w:val="28"/>
          <w:lang w:val="en-US" w:eastAsia="zh-Hans"/>
        </w:rPr>
        <w:t>五</w:t>
      </w:r>
      <w:r>
        <w:rPr>
          <w:rFonts w:hint="eastAsia" w:ascii="仿宋" w:hAnsi="仿宋" w:eastAsia="仿宋" w:cs="仿宋"/>
          <w:sz w:val="28"/>
          <w:szCs w:val="28"/>
        </w:rPr>
        <w:t>、其他说明</w:t>
      </w:r>
    </w:p>
    <w:p>
      <w:pPr>
        <w:pStyle w:val="16"/>
        <w:spacing w:line="360" w:lineRule="auto"/>
        <w:ind w:firstLine="400"/>
        <w:rPr>
          <w:rFonts w:ascii="仿宋" w:hAnsi="仿宋" w:eastAsia="仿宋" w:cs="仿宋"/>
          <w:sz w:val="28"/>
          <w:szCs w:val="28"/>
        </w:rPr>
      </w:pPr>
      <w:r>
        <w:rPr>
          <w:rFonts w:hint="eastAsia" w:ascii="仿宋" w:hAnsi="仿宋" w:eastAsia="仿宋" w:cs="仿宋"/>
          <w:sz w:val="28"/>
          <w:szCs w:val="28"/>
        </w:rPr>
        <w:t>（一）本债权申报通知未列明事项，按照《中华人民共和国企业破产法》等法律法规和司法解释执行。</w:t>
      </w:r>
    </w:p>
    <w:p>
      <w:pPr>
        <w:pStyle w:val="15"/>
        <w:spacing w:line="360" w:lineRule="auto"/>
        <w:ind w:firstLine="400"/>
        <w:outlineLvl w:val="0"/>
        <w:rPr>
          <w:rFonts w:ascii="仿宋" w:hAnsi="仿宋" w:eastAsia="仿宋" w:cs="仿宋"/>
          <w:sz w:val="28"/>
          <w:szCs w:val="28"/>
        </w:rPr>
      </w:pPr>
      <w:r>
        <w:rPr>
          <w:rFonts w:hint="eastAsia" w:ascii="仿宋" w:hAnsi="仿宋" w:eastAsia="仿宋" w:cs="仿宋"/>
          <w:sz w:val="28"/>
          <w:szCs w:val="28"/>
        </w:rPr>
        <w:t>（二）取回权申请事宜参照本债权申报通知执行。</w:t>
      </w:r>
    </w:p>
    <w:p>
      <w:pPr>
        <w:pStyle w:val="15"/>
        <w:spacing w:line="360" w:lineRule="auto"/>
        <w:ind w:firstLine="400"/>
        <w:outlineLvl w:val="0"/>
        <w:rPr>
          <w:rFonts w:ascii="仿宋" w:hAnsi="仿宋" w:eastAsia="仿宋" w:cs="仿宋"/>
          <w:sz w:val="28"/>
          <w:szCs w:val="28"/>
        </w:rPr>
      </w:pPr>
      <w:r>
        <w:rPr>
          <w:rFonts w:hint="eastAsia" w:ascii="仿宋" w:hAnsi="仿宋" w:eastAsia="仿宋" w:cs="仿宋"/>
          <w:sz w:val="28"/>
          <w:szCs w:val="28"/>
        </w:rPr>
        <w:t>（三）债权申报通知书的送达不构成管理人对无效债权的重新确认，也不产生债权诉讼时效中止、中断或延长等法律后果。</w:t>
      </w:r>
    </w:p>
    <w:p>
      <w:pPr>
        <w:pStyle w:val="15"/>
        <w:spacing w:line="360" w:lineRule="auto"/>
        <w:ind w:firstLine="400"/>
        <w:outlineLvl w:val="0"/>
        <w:rPr>
          <w:rFonts w:hint="eastAsia" w:ascii="仿宋" w:hAnsi="仿宋" w:eastAsia="仿宋" w:cs="仿宋"/>
          <w:sz w:val="28"/>
          <w:szCs w:val="28"/>
        </w:rPr>
      </w:pPr>
      <w:r>
        <w:rPr>
          <w:rFonts w:hint="eastAsia" w:ascii="仿宋" w:hAnsi="仿宋" w:eastAsia="仿宋" w:cs="仿宋"/>
          <w:sz w:val="28"/>
          <w:szCs w:val="28"/>
        </w:rPr>
        <w:t>（四）债权人应向管理人</w:t>
      </w:r>
      <w:r>
        <w:rPr>
          <w:rFonts w:hint="eastAsia" w:ascii="仿宋" w:hAnsi="仿宋" w:eastAsia="仿宋" w:cs="仿宋"/>
          <w:b w:val="0"/>
          <w:bCs w:val="0"/>
          <w:sz w:val="28"/>
          <w:szCs w:val="28"/>
          <w:u w:val="none"/>
        </w:rPr>
        <w:t>提交债权申报资料一式一份</w:t>
      </w:r>
      <w:r>
        <w:rPr>
          <w:rFonts w:hint="eastAsia" w:ascii="仿宋" w:hAnsi="仿宋" w:eastAsia="仿宋" w:cs="仿宋"/>
          <w:sz w:val="28"/>
          <w:szCs w:val="28"/>
        </w:rPr>
        <w:t>。</w:t>
      </w:r>
    </w:p>
    <w:p>
      <w:pPr>
        <w:pStyle w:val="15"/>
        <w:spacing w:line="360" w:lineRule="auto"/>
        <w:ind w:firstLine="400"/>
        <w:outlineLvl w:val="0"/>
        <w:rPr>
          <w:rFonts w:hint="eastAsia" w:ascii="仿宋" w:hAnsi="仿宋" w:eastAsia="仿宋" w:cs="仿宋"/>
          <w:sz w:val="28"/>
          <w:szCs w:val="28"/>
        </w:rPr>
      </w:pPr>
      <w:bookmarkStart w:id="0" w:name="_GoBack"/>
      <w:bookmarkEnd w:id="0"/>
    </w:p>
    <w:p>
      <w:pPr>
        <w:pStyle w:val="15"/>
        <w:spacing w:line="360" w:lineRule="auto"/>
        <w:ind w:firstLine="402"/>
        <w:outlineLvl w:val="0"/>
        <w:rPr>
          <w:rFonts w:ascii="仿宋" w:hAnsi="仿宋" w:eastAsia="仿宋" w:cs="仿宋"/>
          <w:b/>
          <w:bCs/>
          <w:sz w:val="28"/>
          <w:szCs w:val="28"/>
        </w:rPr>
      </w:pPr>
      <w:r>
        <w:rPr>
          <w:rFonts w:hint="eastAsia" w:ascii="仿宋" w:hAnsi="仿宋" w:eastAsia="仿宋" w:cs="仿宋"/>
          <w:b/>
          <w:bCs/>
          <w:sz w:val="28"/>
          <w:szCs w:val="28"/>
        </w:rPr>
        <w:t>特别说明：</w:t>
      </w:r>
    </w:p>
    <w:p>
      <w:pPr>
        <w:pStyle w:val="15"/>
        <w:spacing w:line="360" w:lineRule="auto"/>
        <w:ind w:firstLine="400"/>
        <w:outlineLvl w:val="0"/>
        <w:rPr>
          <w:rFonts w:ascii="仿宋" w:hAnsi="仿宋" w:eastAsia="仿宋" w:cs="仿宋"/>
          <w:sz w:val="28"/>
          <w:szCs w:val="28"/>
          <w:highlight w:val="none"/>
        </w:rPr>
      </w:pPr>
      <w:r>
        <w:rPr>
          <w:rFonts w:hint="default"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val="en-US" w:eastAsia="zh-Hans"/>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债权申报截止</w:t>
      </w:r>
      <w:r>
        <w:rPr>
          <w:rFonts w:hint="eastAsia" w:ascii="仿宋" w:hAnsi="仿宋" w:eastAsia="仿宋" w:cs="仿宋"/>
          <w:color w:val="000000" w:themeColor="text1"/>
          <w:sz w:val="28"/>
          <w:szCs w:val="28"/>
          <w:highlight w:val="none"/>
          <w14:textFill>
            <w14:solidFill>
              <w14:schemeClr w14:val="tx1"/>
            </w14:solidFill>
          </w14:textFill>
        </w:rPr>
        <w:t>日为</w:t>
      </w:r>
      <w:r>
        <w:rPr>
          <w:rFonts w:hint="eastAsia" w:ascii="仿宋" w:hAnsi="仿宋" w:eastAsia="仿宋" w:cs="仿宋"/>
          <w:b/>
          <w:bCs/>
          <w:color w:val="000000" w:themeColor="text1"/>
          <w:sz w:val="28"/>
          <w:szCs w:val="28"/>
          <w:highlight w:val="none"/>
          <w14:textFill>
            <w14:solidFill>
              <w14:schemeClr w14:val="tx1"/>
            </w14:solidFill>
          </w14:textFill>
        </w:rPr>
        <w:t>202</w:t>
      </w:r>
      <w:r>
        <w:rPr>
          <w:rFonts w:hint="default" w:ascii="仿宋" w:hAnsi="仿宋" w:eastAsia="仿宋" w:cs="仿宋"/>
          <w:b/>
          <w:bCs/>
          <w:color w:val="000000" w:themeColor="text1"/>
          <w:sz w:val="28"/>
          <w:szCs w:val="28"/>
          <w:highlight w:val="none"/>
          <w14:textFill>
            <w14:solidFill>
              <w14:schemeClr w14:val="tx1"/>
            </w14:solidFill>
          </w14:textFill>
        </w:rPr>
        <w:t>2</w:t>
      </w:r>
      <w:r>
        <w:rPr>
          <w:rFonts w:hint="eastAsia" w:ascii="仿宋" w:hAnsi="仿宋" w:eastAsia="仿宋" w:cs="仿宋"/>
          <w:b/>
          <w:bCs/>
          <w:color w:val="000000" w:themeColor="text1"/>
          <w:sz w:val="28"/>
          <w:szCs w:val="28"/>
          <w:highlight w:val="none"/>
          <w14:textFill>
            <w14:solidFill>
              <w14:schemeClr w14:val="tx1"/>
            </w14:solidFill>
          </w14:textFill>
        </w:rPr>
        <w:t>年3月</w:t>
      </w:r>
      <w:r>
        <w:rPr>
          <w:rFonts w:hint="default" w:ascii="仿宋" w:hAnsi="仿宋" w:eastAsia="仿宋" w:cs="仿宋"/>
          <w:b/>
          <w:bCs/>
          <w:color w:val="000000" w:themeColor="text1"/>
          <w:sz w:val="28"/>
          <w:szCs w:val="28"/>
          <w:highlight w:val="none"/>
          <w14:textFill>
            <w14:solidFill>
              <w14:schemeClr w14:val="tx1"/>
            </w14:solidFill>
          </w14:textFill>
        </w:rPr>
        <w:t>11</w:t>
      </w:r>
      <w:r>
        <w:rPr>
          <w:rFonts w:hint="eastAsia" w:ascii="仿宋" w:hAnsi="仿宋" w:eastAsia="仿宋" w:cs="仿宋"/>
          <w:b/>
          <w:bCs/>
          <w:color w:val="000000" w:themeColor="text1"/>
          <w:sz w:val="28"/>
          <w:szCs w:val="28"/>
          <w:highlight w:val="none"/>
          <w14:textFill>
            <w14:solidFill>
              <w14:schemeClr w14:val="tx1"/>
            </w14:solidFill>
          </w14:textFill>
        </w:rPr>
        <w:t>日，</w:t>
      </w:r>
      <w:r>
        <w:rPr>
          <w:rFonts w:hint="eastAsia" w:ascii="仿宋" w:hAnsi="仿宋" w:eastAsia="仿宋" w:cs="仿宋"/>
          <w:b/>
          <w:bCs/>
          <w:sz w:val="28"/>
          <w:szCs w:val="28"/>
          <w:highlight w:val="none"/>
        </w:rPr>
        <w:t>请各债权人于收到债权申报通知后尽早向管理人提交申报资料。</w:t>
      </w:r>
      <w:r>
        <w:rPr>
          <w:rFonts w:hint="eastAsia" w:ascii="仿宋" w:hAnsi="仿宋" w:eastAsia="仿宋" w:cs="仿宋"/>
          <w:color w:val="000000" w:themeColor="text1"/>
          <w:sz w:val="28"/>
          <w:szCs w:val="28"/>
          <w:highlight w:val="none"/>
          <w14:textFill>
            <w14:solidFill>
              <w14:schemeClr w14:val="tx1"/>
            </w14:solidFill>
          </w14:textFill>
        </w:rPr>
        <w:t>逾期</w:t>
      </w:r>
      <w:r>
        <w:rPr>
          <w:rFonts w:hint="eastAsia" w:ascii="仿宋" w:hAnsi="仿宋" w:eastAsia="仿宋" w:cs="仿宋"/>
          <w:sz w:val="28"/>
          <w:szCs w:val="28"/>
          <w:highlight w:val="none"/>
        </w:rPr>
        <w:t>未申报的，可在管理人处按照人民法院裁定确认的破产财产分配方案实施最后分配前补充申报，但对此前已进行的分配无权要求补充分配，同时还要承担为审查和确认补充申报债权所产生的费用。为审查和确认补充申报债权产生的费用，由补充申报人承担。</w:t>
      </w:r>
    </w:p>
    <w:p>
      <w:pPr>
        <w:spacing w:line="360" w:lineRule="auto"/>
        <w:ind w:firstLine="560" w:firstLineChars="200"/>
        <w:rPr>
          <w:rFonts w:ascii="仿宋" w:hAnsi="仿宋" w:eastAsia="仿宋" w:cs="仿宋"/>
          <w:sz w:val="28"/>
          <w:szCs w:val="28"/>
        </w:rPr>
      </w:pPr>
      <w:r>
        <w:rPr>
          <w:rFonts w:hint="default" w:ascii="仿宋" w:hAnsi="仿宋" w:eastAsia="仿宋" w:cs="仿宋"/>
          <w:color w:val="000000" w:themeColor="text1"/>
          <w:sz w:val="28"/>
          <w:szCs w:val="28"/>
          <w:highlight w:val="none"/>
          <w14:textFill>
            <w14:solidFill>
              <w14:schemeClr w14:val="tx1"/>
            </w14:solidFill>
          </w14:textFill>
        </w:rPr>
        <w:t>2</w:t>
      </w:r>
      <w:r>
        <w:rPr>
          <w:rFonts w:hint="eastAsia" w:ascii="仿宋" w:hAnsi="仿宋" w:eastAsia="仿宋" w:cs="仿宋"/>
          <w:color w:val="000000" w:themeColor="text1"/>
          <w:sz w:val="28"/>
          <w:szCs w:val="28"/>
          <w:highlight w:val="none"/>
          <w:lang w:val="en-US" w:eastAsia="zh-Hans"/>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第一次债权人会议定于</w:t>
      </w:r>
      <w:r>
        <w:rPr>
          <w:rFonts w:hint="eastAsia" w:ascii="仿宋" w:hAnsi="仿宋" w:eastAsia="仿宋" w:cs="仿宋"/>
          <w:b/>
          <w:bCs/>
          <w:color w:val="000000" w:themeColor="text1"/>
          <w:sz w:val="28"/>
          <w:szCs w:val="28"/>
          <w:highlight w:val="none"/>
          <w14:textFill>
            <w14:solidFill>
              <w14:schemeClr w14:val="tx1"/>
            </w14:solidFill>
          </w14:textFill>
        </w:rPr>
        <w:t>202</w:t>
      </w:r>
      <w:r>
        <w:rPr>
          <w:rFonts w:hint="default" w:ascii="仿宋" w:hAnsi="仿宋" w:eastAsia="仿宋" w:cs="仿宋"/>
          <w:b/>
          <w:bCs/>
          <w:color w:val="000000" w:themeColor="text1"/>
          <w:sz w:val="28"/>
          <w:szCs w:val="28"/>
          <w:highlight w:val="none"/>
          <w14:textFill>
            <w14:solidFill>
              <w14:schemeClr w14:val="tx1"/>
            </w14:solidFill>
          </w14:textFill>
        </w:rPr>
        <w:t>2</w:t>
      </w:r>
      <w:r>
        <w:rPr>
          <w:rFonts w:hint="eastAsia" w:ascii="仿宋" w:hAnsi="仿宋" w:eastAsia="仿宋" w:cs="仿宋"/>
          <w:b/>
          <w:bCs/>
          <w:color w:val="000000" w:themeColor="text1"/>
          <w:sz w:val="28"/>
          <w:szCs w:val="28"/>
          <w:highlight w:val="none"/>
          <w14:textFill>
            <w14:solidFill>
              <w14:schemeClr w14:val="tx1"/>
            </w14:solidFill>
          </w14:textFill>
        </w:rPr>
        <w:t>年3月1</w:t>
      </w:r>
      <w:r>
        <w:rPr>
          <w:rFonts w:hint="default" w:ascii="仿宋" w:hAnsi="仿宋" w:eastAsia="仿宋" w:cs="仿宋"/>
          <w:b/>
          <w:bCs/>
          <w:color w:val="000000" w:themeColor="text1"/>
          <w:sz w:val="28"/>
          <w:szCs w:val="28"/>
          <w:highlight w:val="none"/>
          <w14:textFill>
            <w14:solidFill>
              <w14:schemeClr w14:val="tx1"/>
            </w14:solidFill>
          </w14:textFill>
        </w:rPr>
        <w:t>7</w:t>
      </w:r>
      <w:r>
        <w:rPr>
          <w:rFonts w:hint="eastAsia" w:ascii="仿宋" w:hAnsi="仿宋" w:eastAsia="仿宋" w:cs="仿宋"/>
          <w:b/>
          <w:bCs/>
          <w:color w:val="000000" w:themeColor="text1"/>
          <w:sz w:val="28"/>
          <w:szCs w:val="28"/>
          <w:highlight w:val="none"/>
          <w14:textFill>
            <w14:solidFill>
              <w14:schemeClr w14:val="tx1"/>
            </w14:solidFill>
          </w14:textFill>
        </w:rPr>
        <w:t>日上午9时30分</w:t>
      </w:r>
      <w:r>
        <w:rPr>
          <w:rFonts w:hint="eastAsia" w:ascii="仿宋" w:hAnsi="仿宋" w:eastAsia="仿宋" w:cs="仿宋"/>
          <w:color w:val="000000" w:themeColor="text1"/>
          <w:sz w:val="28"/>
          <w:szCs w:val="28"/>
          <w:highlight w:val="none"/>
          <w14:textFill>
            <w14:solidFill>
              <w14:schemeClr w14:val="tx1"/>
            </w14:solidFill>
          </w14:textFill>
        </w:rPr>
        <w:t>在重庆破产法庭</w:t>
      </w:r>
      <w:r>
        <w:rPr>
          <w:rFonts w:hint="eastAsia" w:ascii="仿宋" w:hAnsi="仿宋" w:eastAsia="仿宋" w:cs="仿宋"/>
          <w:color w:val="000000" w:themeColor="text1"/>
          <w:sz w:val="28"/>
          <w:szCs w:val="28"/>
          <w:highlight w:val="none"/>
          <w:lang w:eastAsia="zh-Hans"/>
          <w14:textFill>
            <w14:solidFill>
              <w14:schemeClr w14:val="tx1"/>
            </w14:solidFill>
          </w14:textFill>
        </w:rPr>
        <w:t>第</w:t>
      </w:r>
      <w:r>
        <w:rPr>
          <w:rFonts w:hint="eastAsia" w:ascii="仿宋" w:hAnsi="仿宋" w:eastAsia="仿宋" w:cs="仿宋"/>
          <w:color w:val="000000" w:themeColor="text1"/>
          <w:sz w:val="28"/>
          <w:szCs w:val="28"/>
          <w:highlight w:val="none"/>
          <w:lang w:val="en-US" w:eastAsia="zh-Hans"/>
          <w14:textFill>
            <w14:solidFill>
              <w14:schemeClr w14:val="tx1"/>
            </w14:solidFill>
          </w14:textFill>
        </w:rPr>
        <w:t>三</w:t>
      </w:r>
      <w:r>
        <w:rPr>
          <w:rFonts w:hint="eastAsia" w:ascii="仿宋" w:hAnsi="仿宋" w:eastAsia="仿宋" w:cs="仿宋"/>
          <w:color w:val="000000" w:themeColor="text1"/>
          <w:sz w:val="28"/>
          <w:szCs w:val="28"/>
          <w:highlight w:val="none"/>
          <w:lang w:eastAsia="zh-Hans"/>
          <w14:textFill>
            <w14:solidFill>
              <w14:schemeClr w14:val="tx1"/>
            </w14:solidFill>
          </w14:textFill>
        </w:rPr>
        <w:t>法庭</w:t>
      </w:r>
      <w:r>
        <w:rPr>
          <w:rFonts w:hint="eastAsia" w:ascii="仿宋" w:hAnsi="仿宋" w:eastAsia="仿宋" w:cs="仿宋"/>
          <w:color w:val="000000" w:themeColor="text1"/>
          <w:sz w:val="28"/>
          <w:szCs w:val="28"/>
          <w:highlight w:val="none"/>
          <w:lang w:val="en-US" w:eastAsia="zh-Hans"/>
          <w14:textFill>
            <w14:solidFill>
              <w14:schemeClr w14:val="tx1"/>
            </w14:solidFill>
          </w14:textFill>
        </w:rPr>
        <w:t>召</w:t>
      </w:r>
      <w:r>
        <w:rPr>
          <w:rFonts w:hint="eastAsia" w:ascii="仿宋" w:hAnsi="仿宋" w:eastAsia="仿宋" w:cs="仿宋"/>
          <w:color w:val="000000" w:themeColor="text1"/>
          <w:sz w:val="28"/>
          <w:szCs w:val="28"/>
          <w:lang w:val="en-US" w:eastAsia="zh-Hans"/>
          <w14:textFill>
            <w14:solidFill>
              <w14:schemeClr w14:val="tx1"/>
            </w14:solidFill>
          </w14:textFill>
        </w:rPr>
        <w:t>开</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本次会议同时以网络会议方式召开</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。依</w:t>
      </w:r>
      <w:r>
        <w:rPr>
          <w:rFonts w:hint="eastAsia" w:ascii="仿宋" w:hAnsi="仿宋" w:eastAsia="仿宋" w:cs="仿宋"/>
          <w:sz w:val="28"/>
          <w:szCs w:val="28"/>
        </w:rPr>
        <w:t>法申报债权的债权人，有权参加本次债权人会议。参加会议前，请根据管理人会前所发会议相关资料做好参会准备。</w:t>
      </w:r>
    </w:p>
    <w:p>
      <w:pPr>
        <w:spacing w:line="360" w:lineRule="auto"/>
        <w:ind w:firstLine="562" w:firstLineChars="200"/>
        <w:rPr>
          <w:rFonts w:hint="eastAsia" w:ascii="仿宋" w:hAnsi="仿宋" w:eastAsia="仿宋" w:cs="仿宋"/>
          <w:b/>
          <w:color w:val="000000"/>
          <w:sz w:val="28"/>
          <w:szCs w:val="28"/>
        </w:rPr>
      </w:pPr>
      <w:r>
        <w:rPr>
          <w:rFonts w:hint="eastAsia" w:ascii="仿宋" w:hAnsi="仿宋" w:eastAsia="仿宋" w:cs="仿宋"/>
          <w:b/>
          <w:color w:val="000000"/>
          <w:sz w:val="28"/>
          <w:szCs w:val="28"/>
        </w:rPr>
        <w:t>特此通知</w:t>
      </w:r>
    </w:p>
    <w:p>
      <w:pPr>
        <w:spacing w:line="360" w:lineRule="auto"/>
        <w:ind w:firstLine="562" w:firstLineChars="200"/>
        <w:rPr>
          <w:rFonts w:hint="eastAsia" w:ascii="仿宋" w:hAnsi="仿宋" w:eastAsia="仿宋" w:cs="仿宋"/>
          <w:b/>
          <w:color w:val="000000"/>
          <w:sz w:val="28"/>
          <w:szCs w:val="28"/>
        </w:rPr>
      </w:pPr>
    </w:p>
    <w:p>
      <w:pPr>
        <w:spacing w:line="360" w:lineRule="auto"/>
        <w:ind w:firstLine="562" w:firstLineChars="200"/>
        <w:rPr>
          <w:rFonts w:hint="eastAsia" w:ascii="仿宋" w:hAnsi="仿宋" w:eastAsia="仿宋" w:cs="仿宋"/>
          <w:b/>
          <w:color w:val="000000"/>
          <w:sz w:val="28"/>
          <w:szCs w:val="28"/>
        </w:rPr>
      </w:pPr>
    </w:p>
    <w:p>
      <w:pPr>
        <w:spacing w:line="360" w:lineRule="auto"/>
        <w:ind w:firstLine="560" w:firstLineChars="200"/>
        <w:jc w:val="right"/>
        <w:rPr>
          <w:rFonts w:ascii="仿宋" w:hAnsi="仿宋" w:eastAsia="仿宋" w:cs="仿宋"/>
          <w:color w:val="000000"/>
          <w:sz w:val="28"/>
          <w:szCs w:val="28"/>
        </w:rPr>
      </w:pPr>
      <w:r>
        <w:rPr>
          <w:rFonts w:hint="eastAsia" w:ascii="仿宋" w:hAnsi="仿宋" w:eastAsia="仿宋" w:cs="仿宋"/>
          <w:color w:val="000000"/>
          <w:sz w:val="28"/>
          <w:szCs w:val="28"/>
          <w:lang w:eastAsia="zh-CN"/>
        </w:rPr>
        <w:t>重庆拓望实业有限公司</w:t>
      </w:r>
      <w:r>
        <w:rPr>
          <w:rFonts w:hint="eastAsia" w:ascii="仿宋" w:hAnsi="仿宋" w:eastAsia="仿宋" w:cs="仿宋"/>
          <w:color w:val="000000"/>
          <w:sz w:val="28"/>
          <w:szCs w:val="28"/>
        </w:rPr>
        <w:t>管理人</w:t>
      </w:r>
    </w:p>
    <w:p>
      <w:pPr>
        <w:spacing w:line="360" w:lineRule="auto"/>
        <w:ind w:firstLine="560" w:firstLineChars="200"/>
        <w:jc w:val="right"/>
        <w:rPr>
          <w:rFonts w:ascii="仿宋" w:hAnsi="仿宋" w:eastAsia="仿宋" w:cs="仿宋"/>
          <w:color w:val="000000"/>
          <w:sz w:val="28"/>
          <w:szCs w:val="28"/>
        </w:rPr>
      </w:pPr>
      <w:r>
        <w:rPr>
          <w:rFonts w:hint="eastAsia" w:ascii="仿宋" w:hAnsi="仿宋" w:eastAsia="仿宋" w:cs="仿宋"/>
          <w:color w:val="000000"/>
          <w:sz w:val="28"/>
          <w:szCs w:val="28"/>
        </w:rPr>
        <w:t>二〇二</w:t>
      </w:r>
      <w:r>
        <w:rPr>
          <w:rFonts w:hint="eastAsia" w:ascii="仿宋" w:hAnsi="仿宋" w:eastAsia="仿宋" w:cs="仿宋"/>
          <w:color w:val="000000"/>
          <w:sz w:val="28"/>
          <w:szCs w:val="28"/>
          <w:lang w:val="en-US" w:eastAsia="zh-CN"/>
        </w:rPr>
        <w:t>二</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二</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Hans"/>
        </w:rPr>
        <w:t>十</w:t>
      </w:r>
      <w:r>
        <w:rPr>
          <w:rFonts w:hint="eastAsia" w:ascii="仿宋" w:hAnsi="仿宋" w:eastAsia="仿宋" w:cs="仿宋"/>
          <w:color w:val="000000"/>
          <w:sz w:val="28"/>
          <w:szCs w:val="28"/>
        </w:rPr>
        <w:t>日</w:t>
      </w:r>
    </w:p>
    <w:p>
      <w:pPr>
        <w:pStyle w:val="15"/>
        <w:spacing w:line="360" w:lineRule="auto"/>
        <w:ind w:firstLine="400"/>
        <w:outlineLvl w:val="0"/>
        <w:rPr>
          <w:rFonts w:hint="eastAsia" w:ascii="仿宋" w:hAnsi="仿宋" w:eastAsia="仿宋" w:cs="仿宋"/>
          <w:b/>
          <w:bCs/>
          <w:sz w:val="28"/>
          <w:szCs w:val="28"/>
          <w:highlight w:val="yellow"/>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A0204"/>
    <w:charset w:val="00"/>
    <w:family w:val="roman"/>
    <w:pitch w:val="default"/>
    <w:sig w:usb0="E00002FF" w:usb1="4000045F" w:usb2="00000000" w:usb3="00000000" w:csb0="2000019F" w:csb1="00000000"/>
  </w:font>
  <w:font w:name="Calibri">
    <w:panose1 w:val="020F07020304040A0204"/>
    <w:charset w:val="00"/>
    <w:family w:val="swiss"/>
    <w:pitch w:val="default"/>
    <w:sig w:usb0="E10002FF" w:usb1="4000ACFF" w:usb2="00000009" w:usb3="00000000" w:csb0="2000019F" w:csb1="00000000"/>
  </w:font>
  <w:font w:name="苹方-简">
    <w:panose1 w:val="020B0400000000000000"/>
    <w:charset w:val="86"/>
    <w:family w:val="auto"/>
    <w:pitch w:val="default"/>
    <w:sig w:usb0="A00002FF" w:usb1="7ACFFDFB" w:usb2="00000017"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Light">
    <w:panose1 w:val="020F07020304040A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Kingsoft Sign">
    <w:panose1 w:val="05050102010706020507"/>
    <w:charset w:val="00"/>
    <w:family w:val="auto"/>
    <w:pitch w:val="default"/>
    <w:sig w:usb0="00000000" w:usb1="10000000" w:usb2="00000000" w:usb3="00000000" w:csb0="00000001" w:csb1="00000000"/>
  </w:font>
  <w:font w:name="Arial">
    <w:panose1 w:val="020B0604020202090204"/>
    <w:charset w:val="00"/>
    <w:family w:val="auto"/>
    <w:pitch w:val="default"/>
    <w:sig w:usb0="E0000AFF" w:usb1="00007843" w:usb2="00000001" w:usb3="00000000" w:csb0="400001BF" w:csb1="DFF7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4</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Bz+GTZ&#10;DwIAAAcEAAAOAAAAAAAAAAEAIAAAADUBAABkcnMvZTJvRG9jLnhtbFBLBQYAAAAABgAGAFkBAAC2&#10;BQAAAAA=&#10;">
              <v:fill on="f" focussize="0,0"/>
              <v:stroke on="f" weight="0.5pt"/>
              <v:imagedata o:title=""/>
              <o:lock v:ext="edit" aspectratio="f"/>
              <v:textbox inset="0mm,0mm,0mm,0mm" style="mso-fit-shape-to-text:t;">
                <w:txbxContent>
                  <w:p>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4</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377"/>
      </w:tabs>
      <w:snapToGrid w:val="0"/>
      <w:rPr>
        <w:rFonts w:ascii="Times New Roman" w:hAnsi="Times New Roman"/>
        <w:sz w:val="15"/>
        <w:szCs w:val="15"/>
      </w:rPr>
    </w:pPr>
    <w:r>
      <w:drawing>
        <wp:inline distT="0" distB="0" distL="0" distR="0">
          <wp:extent cx="577850" cy="450850"/>
          <wp:effectExtent l="0" t="0" r="12700" b="6350"/>
          <wp:docPr id="1" name="图片 9" descr="经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经纬"/>
                  <pic:cNvPicPr>
                    <a:picLocks noChangeAspect="1" noChangeArrowheads="1"/>
                  </pic:cNvPicPr>
                </pic:nvPicPr>
                <pic:blipFill>
                  <a:blip r:embed="rId1"/>
                  <a:srcRect/>
                  <a:stretch>
                    <a:fillRect/>
                  </a:stretch>
                </pic:blipFill>
                <pic:spPr>
                  <a:xfrm>
                    <a:off x="0" y="0"/>
                    <a:ext cx="577850" cy="450850"/>
                  </a:xfrm>
                  <a:prstGeom prst="rect">
                    <a:avLst/>
                  </a:prstGeom>
                  <a:noFill/>
                  <a:ln w="9525">
                    <a:noFill/>
                    <a:miter lim="800000"/>
                    <a:headEnd/>
                    <a:tailEnd/>
                  </a:ln>
                </pic:spPr>
              </pic:pic>
            </a:graphicData>
          </a:graphic>
        </wp:inline>
      </w:drawing>
    </w:r>
    <w:r>
      <w:rPr>
        <w:rFonts w:hint="eastAsia" w:ascii="宋体" w:hAnsi="宋体"/>
        <w:sz w:val="15"/>
        <w:szCs w:val="15"/>
      </w:rPr>
      <w:t xml:space="preserve">重庆经纬资产清算有限公司                 </w:t>
    </w:r>
  </w:p>
  <w:p>
    <w:pPr>
      <w:pBdr>
        <w:bottom w:val="single" w:color="auto" w:sz="4" w:space="0"/>
      </w:pBdr>
      <w:tabs>
        <w:tab w:val="left" w:pos="377"/>
      </w:tabs>
      <w:snapToGrid w:val="0"/>
      <w:rPr>
        <w:sz w:val="18"/>
        <w:szCs w:val="20"/>
      </w:rPr>
    </w:pPr>
    <w:r>
      <w:rPr>
        <w:rFonts w:ascii="Times New Roman" w:hAnsi="Times New Roman"/>
        <w:sz w:val="18"/>
        <w:szCs w:val="20"/>
      </w:rPr>
      <w:t xml:space="preserve">Chongqing Jingwei Assets Liquidation Co. LTD </w:t>
    </w:r>
    <w:r>
      <w:rPr>
        <w:rFonts w:hint="eastAsia" w:ascii="Times New Roman" w:hAnsi="Times New Roman"/>
        <w:sz w:val="18"/>
        <w:szCs w:val="20"/>
      </w:rPr>
      <w:t xml:space="preserve"> </w:t>
    </w:r>
    <w:r>
      <w:rPr>
        <w:rFonts w:hint="eastAsia" w:ascii="Times New Roman" w:hAnsi="Times New Roman"/>
        <w:sz w:val="18"/>
        <w:szCs w:val="20"/>
        <w:lang w:val="en-US" w:eastAsia="zh-CN"/>
      </w:rPr>
      <w:t xml:space="preserve">        </w:t>
    </w:r>
    <w:r>
      <w:rPr>
        <w:rFonts w:hint="eastAsia" w:ascii="Times New Roman" w:hAnsi="Times New Roman"/>
        <w:sz w:val="18"/>
        <w:szCs w:val="20"/>
      </w:rPr>
      <w:t xml:space="preserve"> </w:t>
    </w:r>
    <w:r>
      <w:rPr>
        <w:rFonts w:ascii="Times New Roman" w:hAnsi="Times New Roman"/>
        <w:sz w:val="18"/>
        <w:szCs w:val="20"/>
      </w:rPr>
      <w:t>地址：重庆市渝北区</w:t>
    </w:r>
    <w:r>
      <w:rPr>
        <w:rFonts w:hint="eastAsia" w:ascii="Times New Roman" w:hAnsi="Times New Roman"/>
        <w:sz w:val="18"/>
        <w:szCs w:val="20"/>
        <w:lang w:eastAsia="zh-Hans"/>
      </w:rPr>
      <w:t>高科涉外商务区</w:t>
    </w:r>
    <w:r>
      <w:rPr>
        <w:rFonts w:ascii="Times New Roman" w:hAnsi="Times New Roman"/>
        <w:sz w:val="18"/>
        <w:szCs w:val="20"/>
        <w:lang w:eastAsia="zh-Hans"/>
      </w:rPr>
      <w:t>B3</w:t>
    </w:r>
    <w:r>
      <w:rPr>
        <w:rFonts w:hint="eastAsia" w:ascii="Times New Roman" w:hAnsi="Times New Roman"/>
        <w:sz w:val="18"/>
        <w:szCs w:val="20"/>
        <w:lang w:eastAsia="zh-Hans"/>
      </w:rPr>
      <w:t>栋</w:t>
    </w:r>
    <w:r>
      <w:rPr>
        <w:rFonts w:ascii="Times New Roman" w:hAnsi="Times New Roman"/>
        <w:sz w:val="18"/>
        <w:szCs w:val="20"/>
        <w:lang w:eastAsia="zh-Hans"/>
      </w:rPr>
      <w:t>22F</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0681FC"/>
    <w:multiLevelType w:val="singleLevel"/>
    <w:tmpl w:val="620681F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EC9"/>
    <w:rsid w:val="000116E5"/>
    <w:rsid w:val="000C11F7"/>
    <w:rsid w:val="001D199D"/>
    <w:rsid w:val="002164D6"/>
    <w:rsid w:val="002508BB"/>
    <w:rsid w:val="0027526D"/>
    <w:rsid w:val="00300BFB"/>
    <w:rsid w:val="00307862"/>
    <w:rsid w:val="00310AFE"/>
    <w:rsid w:val="00323523"/>
    <w:rsid w:val="00341634"/>
    <w:rsid w:val="00387F11"/>
    <w:rsid w:val="00403EA4"/>
    <w:rsid w:val="00424052"/>
    <w:rsid w:val="00456627"/>
    <w:rsid w:val="00497A8C"/>
    <w:rsid w:val="004F15DD"/>
    <w:rsid w:val="005C0EC9"/>
    <w:rsid w:val="005E175B"/>
    <w:rsid w:val="00635A1A"/>
    <w:rsid w:val="006433DA"/>
    <w:rsid w:val="00680EE2"/>
    <w:rsid w:val="006A110C"/>
    <w:rsid w:val="006B4823"/>
    <w:rsid w:val="006B509C"/>
    <w:rsid w:val="006F51E5"/>
    <w:rsid w:val="006F70A0"/>
    <w:rsid w:val="00741CAF"/>
    <w:rsid w:val="00794DBE"/>
    <w:rsid w:val="00846CD0"/>
    <w:rsid w:val="008E7EB4"/>
    <w:rsid w:val="009313A0"/>
    <w:rsid w:val="009C739B"/>
    <w:rsid w:val="009D3D33"/>
    <w:rsid w:val="00A10B2A"/>
    <w:rsid w:val="00A222A5"/>
    <w:rsid w:val="00A22EAB"/>
    <w:rsid w:val="00A257B2"/>
    <w:rsid w:val="00AD21AD"/>
    <w:rsid w:val="00BB351D"/>
    <w:rsid w:val="00C25866"/>
    <w:rsid w:val="00CD1A81"/>
    <w:rsid w:val="00D0343D"/>
    <w:rsid w:val="00F044D6"/>
    <w:rsid w:val="00F12E6D"/>
    <w:rsid w:val="00F4446E"/>
    <w:rsid w:val="00F45A49"/>
    <w:rsid w:val="00F5077F"/>
    <w:rsid w:val="00F70138"/>
    <w:rsid w:val="00FE3390"/>
    <w:rsid w:val="018414D7"/>
    <w:rsid w:val="018E53BB"/>
    <w:rsid w:val="02805771"/>
    <w:rsid w:val="02D215FC"/>
    <w:rsid w:val="031B324A"/>
    <w:rsid w:val="03C03826"/>
    <w:rsid w:val="0598790E"/>
    <w:rsid w:val="05CF1AFF"/>
    <w:rsid w:val="06CB62A7"/>
    <w:rsid w:val="06DA21C1"/>
    <w:rsid w:val="07C64E5E"/>
    <w:rsid w:val="08485B98"/>
    <w:rsid w:val="08CB0A3E"/>
    <w:rsid w:val="0CD215E6"/>
    <w:rsid w:val="0CE32199"/>
    <w:rsid w:val="0CE54716"/>
    <w:rsid w:val="0D7B644E"/>
    <w:rsid w:val="0DA74F44"/>
    <w:rsid w:val="0E3EBCAD"/>
    <w:rsid w:val="0F38264C"/>
    <w:rsid w:val="0FD44A96"/>
    <w:rsid w:val="10D60AF3"/>
    <w:rsid w:val="11B96FE8"/>
    <w:rsid w:val="1219369B"/>
    <w:rsid w:val="1243513B"/>
    <w:rsid w:val="13A20453"/>
    <w:rsid w:val="14387F6E"/>
    <w:rsid w:val="147D3A4B"/>
    <w:rsid w:val="157520E1"/>
    <w:rsid w:val="15B56E03"/>
    <w:rsid w:val="16CD3E38"/>
    <w:rsid w:val="17C90802"/>
    <w:rsid w:val="19B43767"/>
    <w:rsid w:val="19BA15C4"/>
    <w:rsid w:val="1A554AB0"/>
    <w:rsid w:val="1AA7394A"/>
    <w:rsid w:val="1AC334CB"/>
    <w:rsid w:val="1B1B4C6F"/>
    <w:rsid w:val="1B293607"/>
    <w:rsid w:val="1B717200"/>
    <w:rsid w:val="1C202C5C"/>
    <w:rsid w:val="1C6032F3"/>
    <w:rsid w:val="1C706857"/>
    <w:rsid w:val="1D413E69"/>
    <w:rsid w:val="1DE9328C"/>
    <w:rsid w:val="1DF223D6"/>
    <w:rsid w:val="1E0602BD"/>
    <w:rsid w:val="1E5B7F7C"/>
    <w:rsid w:val="1F625D3B"/>
    <w:rsid w:val="1F75307D"/>
    <w:rsid w:val="1F833CB1"/>
    <w:rsid w:val="1F9C4CF0"/>
    <w:rsid w:val="1FA75EAE"/>
    <w:rsid w:val="1FF83EC9"/>
    <w:rsid w:val="202076CF"/>
    <w:rsid w:val="211A31B5"/>
    <w:rsid w:val="211E6A03"/>
    <w:rsid w:val="213C20C3"/>
    <w:rsid w:val="230B6414"/>
    <w:rsid w:val="238E494F"/>
    <w:rsid w:val="23FF5D96"/>
    <w:rsid w:val="240B7C59"/>
    <w:rsid w:val="243D6461"/>
    <w:rsid w:val="24496DE1"/>
    <w:rsid w:val="24583C4E"/>
    <w:rsid w:val="250E7024"/>
    <w:rsid w:val="251F3FBB"/>
    <w:rsid w:val="26A70782"/>
    <w:rsid w:val="27B961B7"/>
    <w:rsid w:val="288422FF"/>
    <w:rsid w:val="29E5066F"/>
    <w:rsid w:val="2A2D6128"/>
    <w:rsid w:val="2A5135EE"/>
    <w:rsid w:val="2AD27F9B"/>
    <w:rsid w:val="2B763F70"/>
    <w:rsid w:val="2C6D49AA"/>
    <w:rsid w:val="2D0D6015"/>
    <w:rsid w:val="2D156E3B"/>
    <w:rsid w:val="2D1609EC"/>
    <w:rsid w:val="2DDF2E6D"/>
    <w:rsid w:val="2E380030"/>
    <w:rsid w:val="2E993699"/>
    <w:rsid w:val="2F0403B3"/>
    <w:rsid w:val="2F05640D"/>
    <w:rsid w:val="2F791A67"/>
    <w:rsid w:val="30B06A06"/>
    <w:rsid w:val="33D847A5"/>
    <w:rsid w:val="340D0442"/>
    <w:rsid w:val="34787D1F"/>
    <w:rsid w:val="34906CA8"/>
    <w:rsid w:val="35DB7AFC"/>
    <w:rsid w:val="366E3EC9"/>
    <w:rsid w:val="36B67F08"/>
    <w:rsid w:val="36DD65D8"/>
    <w:rsid w:val="3701395E"/>
    <w:rsid w:val="393D2C48"/>
    <w:rsid w:val="39B20F40"/>
    <w:rsid w:val="39C54BC5"/>
    <w:rsid w:val="3A5C29CC"/>
    <w:rsid w:val="3AB244A7"/>
    <w:rsid w:val="3AE37444"/>
    <w:rsid w:val="3B945C73"/>
    <w:rsid w:val="3B950D63"/>
    <w:rsid w:val="3BCBA114"/>
    <w:rsid w:val="3C4542ED"/>
    <w:rsid w:val="3C674EF4"/>
    <w:rsid w:val="3CD725A7"/>
    <w:rsid w:val="3DCBF69E"/>
    <w:rsid w:val="3DFC55DB"/>
    <w:rsid w:val="3E4C7499"/>
    <w:rsid w:val="3EBF0C6E"/>
    <w:rsid w:val="407F0DCC"/>
    <w:rsid w:val="41527538"/>
    <w:rsid w:val="41E13F13"/>
    <w:rsid w:val="420A19EF"/>
    <w:rsid w:val="428B0EBC"/>
    <w:rsid w:val="4298570E"/>
    <w:rsid w:val="42D02A43"/>
    <w:rsid w:val="431542ED"/>
    <w:rsid w:val="43727992"/>
    <w:rsid w:val="440521D7"/>
    <w:rsid w:val="44321A88"/>
    <w:rsid w:val="455B64DD"/>
    <w:rsid w:val="479243B4"/>
    <w:rsid w:val="4869234C"/>
    <w:rsid w:val="493322A0"/>
    <w:rsid w:val="49A5461D"/>
    <w:rsid w:val="4AC1464B"/>
    <w:rsid w:val="4B383D35"/>
    <w:rsid w:val="4B9C280A"/>
    <w:rsid w:val="4BEFFD32"/>
    <w:rsid w:val="4BF90C50"/>
    <w:rsid w:val="4C500D50"/>
    <w:rsid w:val="4C8D3EBA"/>
    <w:rsid w:val="4CB035F4"/>
    <w:rsid w:val="4CD80233"/>
    <w:rsid w:val="4DD6710F"/>
    <w:rsid w:val="4E472E6F"/>
    <w:rsid w:val="4E580865"/>
    <w:rsid w:val="4EB05EBE"/>
    <w:rsid w:val="4F6EBB53"/>
    <w:rsid w:val="4FF07F77"/>
    <w:rsid w:val="4FFF1FBB"/>
    <w:rsid w:val="50000027"/>
    <w:rsid w:val="507B4245"/>
    <w:rsid w:val="50E53551"/>
    <w:rsid w:val="523D1961"/>
    <w:rsid w:val="5252005B"/>
    <w:rsid w:val="527C6137"/>
    <w:rsid w:val="52AC56BB"/>
    <w:rsid w:val="548C5868"/>
    <w:rsid w:val="548D78B0"/>
    <w:rsid w:val="54F770F6"/>
    <w:rsid w:val="55413DE2"/>
    <w:rsid w:val="555551A6"/>
    <w:rsid w:val="567BB0B5"/>
    <w:rsid w:val="573C40E7"/>
    <w:rsid w:val="57F70020"/>
    <w:rsid w:val="58003366"/>
    <w:rsid w:val="58750FD5"/>
    <w:rsid w:val="591566A5"/>
    <w:rsid w:val="596844DD"/>
    <w:rsid w:val="59787078"/>
    <w:rsid w:val="59AD7C03"/>
    <w:rsid w:val="59B742A4"/>
    <w:rsid w:val="59E2128B"/>
    <w:rsid w:val="59E3547F"/>
    <w:rsid w:val="5A7A7400"/>
    <w:rsid w:val="5B2F01EA"/>
    <w:rsid w:val="5C1C55F4"/>
    <w:rsid w:val="5C226A2D"/>
    <w:rsid w:val="5D7D3BB2"/>
    <w:rsid w:val="5D936F7D"/>
    <w:rsid w:val="5E441472"/>
    <w:rsid w:val="5FB8EFB3"/>
    <w:rsid w:val="5FDB0BAF"/>
    <w:rsid w:val="5FE0765B"/>
    <w:rsid w:val="5FEA14E8"/>
    <w:rsid w:val="600E1CA3"/>
    <w:rsid w:val="607E5112"/>
    <w:rsid w:val="60C647A1"/>
    <w:rsid w:val="60D333F3"/>
    <w:rsid w:val="61271F6E"/>
    <w:rsid w:val="61896A48"/>
    <w:rsid w:val="61AE6FBF"/>
    <w:rsid w:val="61E9278A"/>
    <w:rsid w:val="61F2129F"/>
    <w:rsid w:val="620408C3"/>
    <w:rsid w:val="642F7588"/>
    <w:rsid w:val="648203B1"/>
    <w:rsid w:val="648B3B21"/>
    <w:rsid w:val="64BD6B28"/>
    <w:rsid w:val="64E9467A"/>
    <w:rsid w:val="6569434D"/>
    <w:rsid w:val="65715546"/>
    <w:rsid w:val="659F3D6D"/>
    <w:rsid w:val="65D025CA"/>
    <w:rsid w:val="666D2936"/>
    <w:rsid w:val="66BF1AA2"/>
    <w:rsid w:val="67C6711D"/>
    <w:rsid w:val="67DF1080"/>
    <w:rsid w:val="687B044F"/>
    <w:rsid w:val="687D5E4B"/>
    <w:rsid w:val="689B080E"/>
    <w:rsid w:val="6A7F636D"/>
    <w:rsid w:val="6AA1425A"/>
    <w:rsid w:val="6B455E3F"/>
    <w:rsid w:val="6C405140"/>
    <w:rsid w:val="6CE472B1"/>
    <w:rsid w:val="6CEB6C6F"/>
    <w:rsid w:val="6CED1F5B"/>
    <w:rsid w:val="6DBF2A4E"/>
    <w:rsid w:val="70D50832"/>
    <w:rsid w:val="7148395C"/>
    <w:rsid w:val="71E2161B"/>
    <w:rsid w:val="7292437E"/>
    <w:rsid w:val="72C56807"/>
    <w:rsid w:val="72D35E7B"/>
    <w:rsid w:val="73016EF9"/>
    <w:rsid w:val="73EF8124"/>
    <w:rsid w:val="745C1BE1"/>
    <w:rsid w:val="74775A3D"/>
    <w:rsid w:val="74F55C20"/>
    <w:rsid w:val="75D928DB"/>
    <w:rsid w:val="76903DDC"/>
    <w:rsid w:val="76F858B7"/>
    <w:rsid w:val="775375E0"/>
    <w:rsid w:val="78A349AC"/>
    <w:rsid w:val="78D979BA"/>
    <w:rsid w:val="79257796"/>
    <w:rsid w:val="79806FF6"/>
    <w:rsid w:val="7A1D79CD"/>
    <w:rsid w:val="7A20342A"/>
    <w:rsid w:val="7AFF69ED"/>
    <w:rsid w:val="7BB1713A"/>
    <w:rsid w:val="7BEFFC79"/>
    <w:rsid w:val="7BF74EC3"/>
    <w:rsid w:val="7BFB54A1"/>
    <w:rsid w:val="7CBC0D5A"/>
    <w:rsid w:val="7DAF4504"/>
    <w:rsid w:val="7E08687A"/>
    <w:rsid w:val="7E906943"/>
    <w:rsid w:val="7F885AF6"/>
    <w:rsid w:val="7FA6322B"/>
    <w:rsid w:val="7FAD9C92"/>
    <w:rsid w:val="7FB977D3"/>
    <w:rsid w:val="7FFF4509"/>
    <w:rsid w:val="97DF013A"/>
    <w:rsid w:val="AFC751C2"/>
    <w:rsid w:val="B3BF10B8"/>
    <w:rsid w:val="BAFF84B1"/>
    <w:rsid w:val="BE7B883A"/>
    <w:rsid w:val="CDEFAB59"/>
    <w:rsid w:val="D9F67795"/>
    <w:rsid w:val="DB7AE788"/>
    <w:rsid w:val="DC4F9189"/>
    <w:rsid w:val="E7CC09D6"/>
    <w:rsid w:val="EBFF6213"/>
    <w:rsid w:val="F6D5464A"/>
    <w:rsid w:val="F76B7F46"/>
    <w:rsid w:val="F7D63953"/>
    <w:rsid w:val="F7FD0C8B"/>
    <w:rsid w:val="F7FD2A98"/>
    <w:rsid w:val="FAFD255F"/>
    <w:rsid w:val="FBDE99BE"/>
    <w:rsid w:val="FEDF37A0"/>
    <w:rsid w:val="FF5FBE51"/>
    <w:rsid w:val="FF7C9EE7"/>
    <w:rsid w:val="FF87A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0"/>
    <w:pPr>
      <w:keepNext/>
      <w:keepLines/>
      <w:spacing w:line="480" w:lineRule="exact"/>
      <w:outlineLvl w:val="0"/>
    </w:pPr>
    <w:rPr>
      <w:b/>
      <w:bCs/>
      <w:kern w:val="44"/>
      <w:sz w:val="32"/>
      <w:szCs w:val="44"/>
    </w:rPr>
  </w:style>
  <w:style w:type="paragraph" w:styleId="3">
    <w:name w:val="heading 4"/>
    <w:basedOn w:val="1"/>
    <w:next w:val="1"/>
    <w:link w:val="1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8">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alloon Text"/>
    <w:basedOn w:val="1"/>
    <w:link w:val="13"/>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1 字符"/>
    <w:basedOn w:val="8"/>
    <w:link w:val="2"/>
    <w:qFormat/>
    <w:uiPriority w:val="0"/>
    <w:rPr>
      <w:b/>
      <w:bCs/>
      <w:kern w:val="44"/>
      <w:sz w:val="32"/>
      <w:szCs w:val="44"/>
    </w:rPr>
  </w:style>
  <w:style w:type="character" w:customStyle="1" w:styleId="11">
    <w:name w:val="页眉 字符"/>
    <w:basedOn w:val="8"/>
    <w:link w:val="7"/>
    <w:qFormat/>
    <w:uiPriority w:val="99"/>
    <w:rPr>
      <w:sz w:val="18"/>
      <w:szCs w:val="18"/>
    </w:rPr>
  </w:style>
  <w:style w:type="character" w:customStyle="1" w:styleId="12">
    <w:name w:val="页脚 字符"/>
    <w:basedOn w:val="8"/>
    <w:link w:val="6"/>
    <w:qFormat/>
    <w:uiPriority w:val="99"/>
    <w:rPr>
      <w:sz w:val="18"/>
      <w:szCs w:val="18"/>
    </w:rPr>
  </w:style>
  <w:style w:type="character" w:customStyle="1" w:styleId="13">
    <w:name w:val="批注框文本 字符"/>
    <w:basedOn w:val="8"/>
    <w:link w:val="5"/>
    <w:semiHidden/>
    <w:qFormat/>
    <w:uiPriority w:val="99"/>
    <w:rPr>
      <w:sz w:val="18"/>
      <w:szCs w:val="18"/>
    </w:rPr>
  </w:style>
  <w:style w:type="character" w:customStyle="1" w:styleId="14">
    <w:name w:val="标题 4 字符"/>
    <w:basedOn w:val="8"/>
    <w:link w:val="3"/>
    <w:semiHidden/>
    <w:qFormat/>
    <w:uiPriority w:val="9"/>
    <w:rPr>
      <w:rFonts w:asciiTheme="majorHAnsi" w:hAnsiTheme="majorHAnsi" w:eastAsiaTheme="majorEastAsia" w:cstheme="majorBidi"/>
      <w:b/>
      <w:bCs/>
      <w:kern w:val="2"/>
      <w:sz w:val="28"/>
      <w:szCs w:val="28"/>
    </w:rPr>
  </w:style>
  <w:style w:type="paragraph" w:customStyle="1" w:styleId="15">
    <w:name w:val="列表段落1"/>
    <w:basedOn w:val="1"/>
    <w:qFormat/>
    <w:uiPriority w:val="0"/>
    <w:pPr>
      <w:ind w:firstLine="420" w:firstLineChars="200"/>
    </w:pPr>
  </w:style>
  <w:style w:type="paragraph" w:customStyle="1" w:styleId="16">
    <w:name w:val="彩色列表 - 强调文字颜色 11"/>
    <w:basedOn w:val="1"/>
    <w:qFormat/>
    <w:uiPriority w:val="34"/>
    <w:pPr>
      <w:ind w:firstLine="420" w:firstLineChars="2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374</Words>
  <Characters>2135</Characters>
  <Lines>17</Lines>
  <Paragraphs>5</Paragraphs>
  <ScaleCrop>false</ScaleCrop>
  <LinksUpToDate>false</LinksUpToDate>
  <CharactersWithSpaces>2504</CharactersWithSpaces>
  <Application>WPS Office_3.9.1.6204_F1E327BC-269C-435d-A152-05C5408002CA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2020-06-09T07:39:00Z</dcterms:created>
  <dc:creator>SXF-Lawyer</dc:creator>
  <cp:lastModifiedBy>戴晓月</cp:lastModifiedBy>
  <dcterms:modified xsi:type="dcterms:W3CDTF">2022-02-11T16:30:32Z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y fmtid="{D5CDD505-2E9C-101B-9397-08002B2CF9AE}" pid="3" name="ICV">
    <vt:lpwstr>629A4785C0A04FC7A1885F0501F90095</vt:lpwstr>
  </property>
</Properties>
</file>