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0" w:firstLineChars="0"/>
        <w:jc w:val="center"/>
        <w:textAlignment w:val="auto"/>
        <w:rPr>
          <w:b/>
          <w:color w:val="FF0000"/>
          <w:sz w:val="44"/>
          <w:szCs w:val="44"/>
        </w:rPr>
      </w:pPr>
      <w:bookmarkStart w:id="0" w:name="_Toc48146982"/>
      <w:bookmarkStart w:id="1" w:name="_Toc48146515"/>
      <w:bookmarkStart w:id="2" w:name="_Hlk47970744"/>
      <w:bookmarkStart w:id="3" w:name="_Toc54794785"/>
      <w:bookmarkStart w:id="4" w:name="_Toc48065702"/>
      <w:r>
        <w:rPr>
          <w:rFonts w:hint="eastAsia"/>
          <w:b/>
          <w:color w:val="FF0000"/>
          <w:sz w:val="44"/>
          <w:szCs w:val="44"/>
        </w:rPr>
        <w:t>湖南康程护理</w:t>
      </w:r>
      <w:r>
        <w:rPr>
          <w:rFonts w:hint="eastAsia"/>
          <w:b/>
          <w:color w:val="FF0000"/>
          <w:sz w:val="44"/>
          <w:szCs w:val="44"/>
          <w:lang w:val="en-US" w:eastAsia="zh-CN"/>
        </w:rPr>
        <w:t>用品</w:t>
      </w:r>
      <w:r>
        <w:rPr>
          <w:rFonts w:hint="eastAsia"/>
          <w:b/>
          <w:color w:val="FF0000"/>
          <w:sz w:val="44"/>
          <w:szCs w:val="44"/>
        </w:rPr>
        <w:t>有限公司破产清算案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0" w:firstLineChars="0"/>
        <w:jc w:val="center"/>
        <w:textAlignment w:val="auto"/>
        <w:rPr>
          <w:b/>
          <w:color w:val="FF0000"/>
          <w:sz w:val="2"/>
          <w:szCs w:val="44"/>
        </w:rPr>
      </w:pPr>
      <w:r>
        <w:rPr>
          <w:rFonts w:hint="eastAsia"/>
          <w:b/>
          <w:color w:val="FF0000"/>
          <w:sz w:val="44"/>
          <w:szCs w:val="44"/>
        </w:rPr>
        <w:t>管理人文件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3"/>
        <w:jc w:val="righ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（2021）康程破管字第</w:t>
      </w:r>
      <w:r>
        <w:rPr>
          <w:rFonts w:hint="eastAsia"/>
          <w:b/>
          <w:sz w:val="32"/>
          <w:szCs w:val="32"/>
          <w:lang w:val="en-US" w:eastAsia="zh-CN"/>
        </w:rPr>
        <w:t>157</w:t>
      </w:r>
      <w:r>
        <w:rPr>
          <w:rFonts w:hint="eastAsia"/>
          <w:b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"/>
        <w:jc w:val="center"/>
        <w:textAlignment w:val="auto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68580</wp:posOffset>
                </wp:positionV>
                <wp:extent cx="5939790" cy="0"/>
                <wp:effectExtent l="0" t="19050" r="3810" b="2667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2pt;margin-top:5.4pt;height:0pt;width:467.7pt;z-index:251660288;mso-width-relative:page;mso-height-relative:page;" filled="f" stroked="t" coordsize="21600,21600" o:gfxdata="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+5cyZ2QAAAAkBAAAPAAAAAAAAAAEAIAAAACIAAABkcnMvZG93bnJl&#10;di54bWxQSwECFAAUAAAACACHTuJAXhBcQvwBAAD3AwAADgAAAAAAAAABACAAAAAo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湖南康程护理用品有限公司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职工债权补充公示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</w:rPr>
        <w:t>湖南康程护理用品有限公司（下称“康程公司”）不能清偿到期债务且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明显缺乏清偿能力</w:t>
      </w:r>
      <w:r>
        <w:rPr>
          <w:rFonts w:hint="eastAsia" w:ascii="仿宋" w:hAnsi="仿宋" w:eastAsia="仿宋" w:cs="仿宋"/>
          <w:sz w:val="28"/>
          <w:szCs w:val="28"/>
        </w:rPr>
        <w:t>，长沙市中级人民法院于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日作出（20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）湘01破申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</w:t>
      </w:r>
      <w:r>
        <w:rPr>
          <w:rFonts w:hint="eastAsia" w:ascii="仿宋" w:hAnsi="仿宋" w:eastAsia="仿宋" w:cs="仿宋"/>
          <w:sz w:val="28"/>
          <w:szCs w:val="28"/>
        </w:rPr>
        <w:t>号民事裁定书，裁定受理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湖南省宁乡县博源纸业有限公司对</w:t>
      </w:r>
      <w:r>
        <w:rPr>
          <w:rFonts w:hint="eastAsia" w:ascii="仿宋" w:hAnsi="仿宋" w:eastAsia="仿宋" w:cs="仿宋"/>
          <w:sz w:val="28"/>
          <w:szCs w:val="28"/>
        </w:rPr>
        <w:t>康程公司的破产清算申请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并于202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日作出（20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）湘01破2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-1号决定书，指定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湖南潇湘破产</w:t>
      </w:r>
      <w:r>
        <w:rPr>
          <w:rFonts w:hint="eastAsia" w:ascii="仿宋" w:hAnsi="仿宋" w:eastAsia="仿宋" w:cs="仿宋"/>
          <w:sz w:val="28"/>
          <w:szCs w:val="28"/>
        </w:rPr>
        <w:t>清算有限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责任</w:t>
      </w:r>
      <w:r>
        <w:rPr>
          <w:rFonts w:hint="eastAsia" w:ascii="仿宋" w:hAnsi="仿宋" w:eastAsia="仿宋" w:cs="仿宋"/>
          <w:sz w:val="28"/>
          <w:szCs w:val="28"/>
        </w:rPr>
        <w:t>公司担任康程公司管理人。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管理人接管康程公司后，根据《中华人民共和国企业破产法》的规定，就康程公司的职工债权情况进行调查。现结合公司职工的工资表、劳动合同、情况说明以及与康程公司原人事、财务等人员核实，补充确认两位职工债权人的职工债权。根据《中华人民共和国企业破产法》第四十八条之规定，现将补充确认结果进行公示（详见附件）。公示期间从2022年3月30日起至2022年4月13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default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如对本次的公示结果有异议，可在公示之日起15日内向管理人提出书面异议，并附相关证据材料。管理人将在收到异议后再次复核、答复，如不服，也可向长沙市中级人民法院提起诉讼。逾期未提出书面异议，则视为对本次公示的职工债权补充确认表等载明内容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联系地址：湖南省长沙市开福区华创国际广场A座6303室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default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联系人：苑律师（18373115272）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560" w:firstLineChars="200"/>
        <w:jc w:val="right"/>
        <w:textAlignment w:val="auto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湖南康程护理用品有限公司管理人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560" w:firstLineChars="200"/>
        <w:jc w:val="right"/>
        <w:textAlignment w:val="auto"/>
        <w:rPr>
          <w:rFonts w:hint="default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 xml:space="preserve">二〇二二年三月三十日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Times New Roman"/>
          <w:b/>
          <w:bCs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Times New Roman"/>
          <w:b/>
          <w:bCs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Cs w:val="28"/>
          <w:lang w:val="en-US" w:eastAsia="zh-CN"/>
        </w:rPr>
        <w:t>附件：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《湖南康程护理用品有限公司职工债权补充确认表》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18"/>
        <w:gridCol w:w="1421"/>
        <w:gridCol w:w="2144"/>
        <w:gridCol w:w="1421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湖南康程护理用品有限公司职工债权补充确认表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补偿金基数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计算工龄（个月）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经济补偿金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职工债权总额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覃叙杰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8,888.77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97,776.47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97,776.47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97,776.47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97,776.47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</w:pPr>
      <w:bookmarkStart w:id="5" w:name="_GoBack"/>
      <w:bookmarkEnd w:id="5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6AF9"/>
    <w:rsid w:val="08E458BA"/>
    <w:rsid w:val="29FB6AF9"/>
    <w:rsid w:val="47C87A2F"/>
    <w:rsid w:val="5EC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="仿宋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777</Characters>
  <Lines>0</Lines>
  <Paragraphs>0</Paragraphs>
  <TotalTime>2</TotalTime>
  <ScaleCrop>false</ScaleCrop>
  <LinksUpToDate>false</LinksUpToDate>
  <CharactersWithSpaces>794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2022-02-28T02:07:00Z</dcterms:created>
  <dc:creator>想等你笑</dc:creator>
  <cp:lastModifiedBy>想等你笑</cp:lastModifiedBy>
  <cp:lastPrinted>2022-02-28T05:27:00Z</cp:lastPrinted>
  <dcterms:modified xsi:type="dcterms:W3CDTF">2022-03-30T03:54:23Z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9956E48116AA4952896F79560A31CA9A</vt:lpwstr>
  </property>
</Properties>
</file>