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D67ECE" w14:textId="77777777" w:rsidR="009C5D64" w:rsidRPr="009D3120" w:rsidRDefault="00E419B0" w:rsidP="00A62E05">
      <w:pPr>
        <w:adjustRightInd w:val="0"/>
        <w:snapToGrid w:val="0"/>
        <w:spacing w:line="360" w:lineRule="auto"/>
        <w:jc w:val="center"/>
        <w:rPr>
          <w:rFonts w:ascii="宋体" w:eastAsia="宋体" w:hAnsi="宋体"/>
          <w:b/>
          <w:sz w:val="40"/>
          <w:szCs w:val="40"/>
        </w:rPr>
      </w:pPr>
      <w:r w:rsidRPr="009D3120">
        <w:rPr>
          <w:rFonts w:ascii="宋体" w:eastAsia="宋体" w:hAnsi="宋体" w:hint="eastAsia"/>
          <w:b/>
          <w:sz w:val="40"/>
          <w:szCs w:val="40"/>
        </w:rPr>
        <w:t>重庆华龙盈科实业有限公司</w:t>
      </w:r>
      <w:r w:rsidR="007D0BD5" w:rsidRPr="009D3120">
        <w:rPr>
          <w:rFonts w:ascii="宋体" w:eastAsia="宋体" w:hAnsi="宋体" w:hint="eastAsia"/>
          <w:b/>
          <w:sz w:val="40"/>
          <w:szCs w:val="40"/>
        </w:rPr>
        <w:t>清算案</w:t>
      </w:r>
    </w:p>
    <w:p w14:paraId="0FCB6281" w14:textId="77777777" w:rsidR="00E419B0" w:rsidRPr="009D3120" w:rsidRDefault="007D0BD5" w:rsidP="00A62E05">
      <w:pPr>
        <w:adjustRightInd w:val="0"/>
        <w:snapToGrid w:val="0"/>
        <w:spacing w:line="360" w:lineRule="auto"/>
        <w:jc w:val="center"/>
        <w:rPr>
          <w:rFonts w:ascii="宋体" w:eastAsia="宋体" w:hAnsi="宋体"/>
          <w:b/>
          <w:sz w:val="40"/>
          <w:szCs w:val="40"/>
        </w:rPr>
      </w:pPr>
      <w:r w:rsidRPr="009D3120">
        <w:rPr>
          <w:rFonts w:ascii="宋体" w:eastAsia="宋体" w:hAnsi="宋体" w:hint="eastAsia"/>
          <w:b/>
          <w:sz w:val="40"/>
          <w:szCs w:val="40"/>
        </w:rPr>
        <w:t>公告</w:t>
      </w:r>
    </w:p>
    <w:p w14:paraId="3CBA9023" w14:textId="223FFC03" w:rsidR="00B97E9E" w:rsidRDefault="009C5D64" w:rsidP="009D3120">
      <w:pPr>
        <w:adjustRightInd w:val="0"/>
        <w:snapToGrid w:val="0"/>
        <w:spacing w:line="360" w:lineRule="auto"/>
        <w:jc w:val="right"/>
        <w:rPr>
          <w:rFonts w:ascii="宋体" w:eastAsia="宋体" w:hAnsi="宋体"/>
          <w:sz w:val="28"/>
          <w:szCs w:val="28"/>
        </w:rPr>
      </w:pPr>
      <w:r w:rsidRPr="00BC690E">
        <w:rPr>
          <w:rFonts w:ascii="宋体" w:eastAsia="宋体" w:hAnsi="宋体" w:hint="eastAsia"/>
          <w:sz w:val="28"/>
          <w:szCs w:val="28"/>
        </w:rPr>
        <w:t>（2</w:t>
      </w:r>
      <w:r w:rsidRPr="00BC690E">
        <w:rPr>
          <w:rFonts w:ascii="宋体" w:eastAsia="宋体" w:hAnsi="宋体"/>
          <w:sz w:val="28"/>
          <w:szCs w:val="28"/>
        </w:rPr>
        <w:t>018</w:t>
      </w:r>
      <w:r w:rsidRPr="00BC690E">
        <w:rPr>
          <w:rFonts w:ascii="宋体" w:eastAsia="宋体" w:hAnsi="宋体" w:hint="eastAsia"/>
          <w:sz w:val="28"/>
          <w:szCs w:val="28"/>
        </w:rPr>
        <w:t>）</w:t>
      </w:r>
      <w:proofErr w:type="gramStart"/>
      <w:r w:rsidRPr="00BC690E">
        <w:rPr>
          <w:rFonts w:ascii="宋体" w:eastAsia="宋体" w:hAnsi="宋体" w:hint="eastAsia"/>
          <w:sz w:val="28"/>
          <w:szCs w:val="28"/>
        </w:rPr>
        <w:t>华龙盈科</w:t>
      </w:r>
      <w:proofErr w:type="gramEnd"/>
      <w:r w:rsidRPr="00BC690E">
        <w:rPr>
          <w:rFonts w:ascii="宋体" w:eastAsia="宋体" w:hAnsi="宋体" w:hint="eastAsia"/>
          <w:sz w:val="28"/>
          <w:szCs w:val="28"/>
        </w:rPr>
        <w:t>破管发字第</w:t>
      </w:r>
      <w:r w:rsidR="00787828">
        <w:rPr>
          <w:rFonts w:ascii="宋体" w:eastAsia="宋体" w:hAnsi="宋体"/>
          <w:sz w:val="28"/>
          <w:szCs w:val="28"/>
        </w:rPr>
        <w:t>12</w:t>
      </w:r>
      <w:r w:rsidR="001150B6">
        <w:rPr>
          <w:rFonts w:ascii="宋体" w:eastAsia="宋体" w:hAnsi="宋体"/>
          <w:sz w:val="28"/>
          <w:szCs w:val="28"/>
        </w:rPr>
        <w:t>4</w:t>
      </w:r>
      <w:r w:rsidRPr="00BC690E">
        <w:rPr>
          <w:rFonts w:ascii="宋体" w:eastAsia="宋体" w:hAnsi="宋体" w:hint="eastAsia"/>
          <w:sz w:val="28"/>
          <w:szCs w:val="28"/>
        </w:rPr>
        <w:t>号</w:t>
      </w:r>
    </w:p>
    <w:p w14:paraId="65C834D1" w14:textId="11386D02" w:rsidR="00D24117" w:rsidRPr="00B97E9E" w:rsidRDefault="007D0BD5" w:rsidP="00B97E9E">
      <w:pPr>
        <w:adjustRightInd w:val="0"/>
        <w:snapToGrid w:val="0"/>
        <w:spacing w:line="360" w:lineRule="auto"/>
        <w:rPr>
          <w:rFonts w:ascii="宋体" w:eastAsia="宋体" w:hAnsi="宋体"/>
          <w:sz w:val="28"/>
          <w:szCs w:val="28"/>
        </w:rPr>
      </w:pPr>
      <w:r w:rsidRPr="00B97E9E">
        <w:rPr>
          <w:rFonts w:ascii="宋体" w:eastAsia="宋体" w:hAnsi="宋体" w:hint="eastAsia"/>
          <w:sz w:val="28"/>
          <w:szCs w:val="28"/>
        </w:rPr>
        <w:t>重庆华龙盈科实业有限公司</w:t>
      </w:r>
      <w:r w:rsidR="009C58A7" w:rsidRPr="00B97E9E">
        <w:rPr>
          <w:rFonts w:ascii="宋体" w:eastAsia="宋体" w:hAnsi="宋体" w:hint="eastAsia"/>
          <w:sz w:val="28"/>
          <w:szCs w:val="28"/>
        </w:rPr>
        <w:t>债权人</w:t>
      </w:r>
      <w:r w:rsidR="00D24117" w:rsidRPr="00B97E9E">
        <w:rPr>
          <w:rFonts w:ascii="宋体" w:eastAsia="宋体" w:hAnsi="宋体" w:hint="eastAsia"/>
          <w:sz w:val="28"/>
          <w:szCs w:val="28"/>
        </w:rPr>
        <w:t>：</w:t>
      </w:r>
    </w:p>
    <w:p w14:paraId="4C9F10BD" w14:textId="77777777" w:rsidR="000819C1" w:rsidRPr="00B97E9E" w:rsidRDefault="007D0BD5" w:rsidP="00B97E9E">
      <w:pPr>
        <w:adjustRightInd w:val="0"/>
        <w:snapToGrid w:val="0"/>
        <w:spacing w:line="360" w:lineRule="auto"/>
        <w:ind w:firstLine="560"/>
        <w:rPr>
          <w:rFonts w:ascii="宋体" w:eastAsia="宋体" w:hAnsi="宋体"/>
          <w:sz w:val="28"/>
          <w:szCs w:val="28"/>
        </w:rPr>
      </w:pPr>
      <w:r w:rsidRPr="00B97E9E">
        <w:rPr>
          <w:rFonts w:ascii="宋体" w:eastAsia="宋体" w:hAnsi="宋体" w:hint="eastAsia"/>
          <w:sz w:val="28"/>
          <w:szCs w:val="28"/>
        </w:rPr>
        <w:t>《重庆华龙盈科实业有限公司破产财产分配方案》于</w:t>
      </w:r>
      <w:r w:rsidRPr="00B97E9E">
        <w:rPr>
          <w:rFonts w:ascii="宋体" w:eastAsia="宋体" w:hAnsi="宋体"/>
          <w:sz w:val="28"/>
          <w:szCs w:val="28"/>
        </w:rPr>
        <w:t>2021</w:t>
      </w:r>
      <w:r w:rsidRPr="00B97E9E">
        <w:rPr>
          <w:rFonts w:ascii="宋体" w:eastAsia="宋体" w:hAnsi="宋体" w:hint="eastAsia"/>
          <w:sz w:val="28"/>
          <w:szCs w:val="28"/>
        </w:rPr>
        <w:t>年3月</w:t>
      </w:r>
      <w:r w:rsidR="000819C1" w:rsidRPr="00B97E9E">
        <w:rPr>
          <w:rFonts w:ascii="宋体" w:eastAsia="宋体" w:hAnsi="宋体" w:hint="eastAsia"/>
          <w:sz w:val="28"/>
          <w:szCs w:val="28"/>
        </w:rPr>
        <w:t>3</w:t>
      </w:r>
      <w:r w:rsidRPr="00B97E9E">
        <w:rPr>
          <w:rFonts w:ascii="宋体" w:eastAsia="宋体" w:hAnsi="宋体" w:hint="eastAsia"/>
          <w:sz w:val="28"/>
          <w:szCs w:val="28"/>
        </w:rPr>
        <w:t>日经重庆市铜梁区人民法院</w:t>
      </w:r>
      <w:proofErr w:type="gramStart"/>
      <w:r w:rsidRPr="00B97E9E">
        <w:rPr>
          <w:rFonts w:ascii="宋体" w:eastAsia="宋体" w:hAnsi="宋体" w:hint="eastAsia"/>
          <w:sz w:val="28"/>
          <w:szCs w:val="28"/>
        </w:rPr>
        <w:t>作出</w:t>
      </w:r>
      <w:proofErr w:type="gramEnd"/>
      <w:r w:rsidRPr="00B97E9E">
        <w:rPr>
          <w:rFonts w:ascii="宋体" w:eastAsia="宋体" w:hAnsi="宋体" w:hint="eastAsia"/>
          <w:sz w:val="28"/>
          <w:szCs w:val="28"/>
        </w:rPr>
        <w:t>的（201</w:t>
      </w:r>
      <w:r w:rsidRPr="00B97E9E">
        <w:rPr>
          <w:rFonts w:ascii="宋体" w:eastAsia="宋体" w:hAnsi="宋体"/>
          <w:sz w:val="28"/>
          <w:szCs w:val="28"/>
        </w:rPr>
        <w:t>8</w:t>
      </w:r>
      <w:r w:rsidRPr="00B97E9E">
        <w:rPr>
          <w:rFonts w:ascii="宋体" w:eastAsia="宋体" w:hAnsi="宋体" w:hint="eastAsia"/>
          <w:sz w:val="28"/>
          <w:szCs w:val="28"/>
        </w:rPr>
        <w:t>）</w:t>
      </w:r>
      <w:r w:rsidR="000819C1" w:rsidRPr="00B97E9E">
        <w:rPr>
          <w:rFonts w:ascii="宋体" w:eastAsia="宋体" w:hAnsi="宋体" w:hint="eastAsia"/>
          <w:sz w:val="28"/>
          <w:szCs w:val="28"/>
        </w:rPr>
        <w:t>渝0</w:t>
      </w:r>
      <w:r w:rsidR="000819C1" w:rsidRPr="00B97E9E">
        <w:rPr>
          <w:rFonts w:ascii="宋体" w:eastAsia="宋体" w:hAnsi="宋体"/>
          <w:sz w:val="28"/>
          <w:szCs w:val="28"/>
        </w:rPr>
        <w:t>151</w:t>
      </w:r>
      <w:r w:rsidR="000819C1" w:rsidRPr="00B97E9E">
        <w:rPr>
          <w:rFonts w:ascii="宋体" w:eastAsia="宋体" w:hAnsi="宋体" w:hint="eastAsia"/>
          <w:sz w:val="28"/>
          <w:szCs w:val="28"/>
        </w:rPr>
        <w:t>破4号之八</w:t>
      </w:r>
      <w:r w:rsidRPr="00B97E9E">
        <w:rPr>
          <w:rFonts w:ascii="宋体" w:eastAsia="宋体" w:hAnsi="宋体" w:hint="eastAsia"/>
          <w:sz w:val="28"/>
          <w:szCs w:val="28"/>
        </w:rPr>
        <w:t>《民事裁定书》裁定</w:t>
      </w:r>
      <w:r w:rsidR="000819C1" w:rsidRPr="00B97E9E">
        <w:rPr>
          <w:rFonts w:ascii="宋体" w:eastAsia="宋体" w:hAnsi="宋体" w:hint="eastAsia"/>
          <w:sz w:val="28"/>
          <w:szCs w:val="28"/>
        </w:rPr>
        <w:t>认可</w:t>
      </w:r>
      <w:r w:rsidRPr="00B97E9E">
        <w:rPr>
          <w:rFonts w:ascii="宋体" w:eastAsia="宋体" w:hAnsi="宋体" w:hint="eastAsia"/>
          <w:sz w:val="28"/>
          <w:szCs w:val="28"/>
        </w:rPr>
        <w:t>，现根据《中华人民共和国企业破产法》第一百一十六条之规定，由管理人执行。</w:t>
      </w:r>
    </w:p>
    <w:p w14:paraId="450A52FE" w14:textId="6110D04B" w:rsidR="00D33F74" w:rsidRPr="00B97E9E" w:rsidRDefault="007D0BD5" w:rsidP="00B97E9E">
      <w:pPr>
        <w:adjustRightInd w:val="0"/>
        <w:snapToGrid w:val="0"/>
        <w:spacing w:line="360" w:lineRule="auto"/>
        <w:ind w:firstLine="560"/>
        <w:rPr>
          <w:rFonts w:ascii="宋体" w:eastAsia="宋体" w:hAnsi="宋体"/>
          <w:sz w:val="28"/>
          <w:szCs w:val="28"/>
        </w:rPr>
      </w:pPr>
      <w:r w:rsidRPr="00B97E9E">
        <w:rPr>
          <w:rFonts w:ascii="宋体" w:eastAsia="宋体" w:hAnsi="宋体" w:hint="eastAsia"/>
          <w:sz w:val="28"/>
          <w:szCs w:val="28"/>
        </w:rPr>
        <w:t>本次分配为重庆华龙盈科实业有限公司破产财产第</w:t>
      </w:r>
      <w:r w:rsidR="00D33F74" w:rsidRPr="00B97E9E">
        <w:rPr>
          <w:rFonts w:ascii="宋体" w:eastAsia="宋体" w:hAnsi="宋体" w:hint="eastAsia"/>
          <w:sz w:val="28"/>
          <w:szCs w:val="28"/>
        </w:rPr>
        <w:t>二</w:t>
      </w:r>
      <w:r w:rsidRPr="00B97E9E">
        <w:rPr>
          <w:rFonts w:ascii="宋体" w:eastAsia="宋体" w:hAnsi="宋体" w:hint="eastAsia"/>
          <w:sz w:val="28"/>
          <w:szCs w:val="28"/>
        </w:rPr>
        <w:t>次分配</w:t>
      </w:r>
      <w:r w:rsidR="00D33F74" w:rsidRPr="00B97E9E">
        <w:rPr>
          <w:rFonts w:ascii="宋体" w:eastAsia="宋体" w:hAnsi="宋体" w:hint="eastAsia"/>
          <w:sz w:val="28"/>
          <w:szCs w:val="28"/>
        </w:rPr>
        <w:t>（最</w:t>
      </w:r>
      <w:r w:rsidR="009D3120">
        <w:rPr>
          <w:rFonts w:ascii="宋体" w:eastAsia="宋体" w:hAnsi="宋体" w:hint="eastAsia"/>
          <w:sz w:val="28"/>
          <w:szCs w:val="28"/>
        </w:rPr>
        <w:t>终</w:t>
      </w:r>
      <w:r w:rsidR="00D33F74" w:rsidRPr="00B97E9E">
        <w:rPr>
          <w:rFonts w:ascii="宋体" w:eastAsia="宋体" w:hAnsi="宋体" w:hint="eastAsia"/>
          <w:sz w:val="28"/>
          <w:szCs w:val="28"/>
        </w:rPr>
        <w:t>分配）</w:t>
      </w:r>
      <w:r w:rsidRPr="00B97E9E">
        <w:rPr>
          <w:rFonts w:ascii="宋体" w:eastAsia="宋体" w:hAnsi="宋体" w:hint="eastAsia"/>
          <w:sz w:val="28"/>
          <w:szCs w:val="28"/>
        </w:rPr>
        <w:t>，确定</w:t>
      </w:r>
      <w:r w:rsidR="00B97E9E">
        <w:rPr>
          <w:rFonts w:ascii="宋体" w:eastAsia="宋体" w:hAnsi="宋体" w:hint="eastAsia"/>
          <w:sz w:val="28"/>
          <w:szCs w:val="28"/>
        </w:rPr>
        <w:t>于</w:t>
      </w:r>
      <w:r w:rsidRPr="00B97E9E">
        <w:rPr>
          <w:rFonts w:ascii="宋体" w:eastAsia="宋体" w:hAnsi="宋体" w:hint="eastAsia"/>
          <w:sz w:val="28"/>
          <w:szCs w:val="28"/>
        </w:rPr>
        <w:t>202</w:t>
      </w:r>
      <w:r w:rsidR="00D33F74" w:rsidRPr="00B97E9E">
        <w:rPr>
          <w:rFonts w:ascii="宋体" w:eastAsia="宋体" w:hAnsi="宋体"/>
          <w:sz w:val="28"/>
          <w:szCs w:val="28"/>
        </w:rPr>
        <w:t>2</w:t>
      </w:r>
      <w:r w:rsidRPr="00B97E9E">
        <w:rPr>
          <w:rFonts w:ascii="宋体" w:eastAsia="宋体" w:hAnsi="宋体" w:hint="eastAsia"/>
          <w:sz w:val="28"/>
          <w:szCs w:val="28"/>
        </w:rPr>
        <w:t>年3月份实施，本次分配总额为</w:t>
      </w:r>
      <w:r w:rsidR="00D33F74" w:rsidRPr="00B97E9E">
        <w:rPr>
          <w:rFonts w:ascii="宋体" w:eastAsia="宋体" w:hAnsi="宋体" w:hint="eastAsia"/>
          <w:sz w:val="28"/>
          <w:szCs w:val="28"/>
        </w:rPr>
        <w:t>7,967,541.25</w:t>
      </w:r>
      <w:r w:rsidRPr="00B97E9E">
        <w:rPr>
          <w:rFonts w:ascii="宋体" w:eastAsia="宋体" w:hAnsi="宋体" w:hint="eastAsia"/>
          <w:sz w:val="28"/>
          <w:szCs w:val="28"/>
        </w:rPr>
        <w:t>元，其中：支付破产费用和共益债务</w:t>
      </w:r>
      <w:r w:rsidR="00D33F74" w:rsidRPr="00B97E9E">
        <w:rPr>
          <w:rFonts w:ascii="宋体" w:eastAsia="宋体" w:hAnsi="宋体" w:hint="eastAsia"/>
          <w:sz w:val="28"/>
          <w:szCs w:val="28"/>
        </w:rPr>
        <w:t>395,862.29元</w:t>
      </w:r>
      <w:r w:rsidRPr="00B97E9E">
        <w:rPr>
          <w:rFonts w:ascii="宋体" w:eastAsia="宋体" w:hAnsi="宋体" w:hint="eastAsia"/>
          <w:sz w:val="28"/>
          <w:szCs w:val="28"/>
        </w:rPr>
        <w:t>；</w:t>
      </w:r>
      <w:r w:rsidR="00D33F74" w:rsidRPr="00B97E9E">
        <w:rPr>
          <w:rFonts w:ascii="宋体" w:eastAsia="宋体" w:hAnsi="宋体" w:hint="eastAsia"/>
          <w:sz w:val="28"/>
          <w:szCs w:val="28"/>
        </w:rPr>
        <w:t>有财产担保债权、建设工程价款优先权、职工债权、税金债权已全额受偿，不再参与本次分配</w:t>
      </w:r>
      <w:r w:rsidRPr="00B97E9E">
        <w:rPr>
          <w:rFonts w:ascii="宋体" w:eastAsia="宋体" w:hAnsi="宋体" w:hint="eastAsia"/>
          <w:sz w:val="28"/>
          <w:szCs w:val="28"/>
        </w:rPr>
        <w:t>；</w:t>
      </w:r>
      <w:r w:rsidR="00D33F74" w:rsidRPr="00B97E9E">
        <w:rPr>
          <w:rFonts w:ascii="宋体" w:eastAsia="宋体" w:hAnsi="宋体" w:hint="eastAsia"/>
          <w:sz w:val="28"/>
          <w:szCs w:val="28"/>
        </w:rPr>
        <w:t>本次破产财产分配普通债权分配金额应为</w:t>
      </w:r>
      <w:r w:rsidR="00D33F74" w:rsidRPr="00B97E9E">
        <w:rPr>
          <w:rFonts w:ascii="宋体" w:eastAsia="宋体" w:hAnsi="宋体"/>
          <w:sz w:val="28"/>
          <w:szCs w:val="28"/>
        </w:rPr>
        <w:t>7,576,873.04元，分配比例为0.577%；实际分配金额为7,571,678.96元，差额为中国建设银行股份有限公司铜梁支行清偿金额中扣减申报垫付的评估费用第一次分配受偿款5,194.08元。</w:t>
      </w:r>
    </w:p>
    <w:p w14:paraId="26EBDD7A" w14:textId="1785B5AE" w:rsidR="00D33F74" w:rsidRPr="00B97E9E" w:rsidRDefault="00B97E9E" w:rsidP="00B97E9E">
      <w:pPr>
        <w:adjustRightInd w:val="0"/>
        <w:snapToGrid w:val="0"/>
        <w:spacing w:line="360" w:lineRule="auto"/>
        <w:ind w:firstLineChars="200" w:firstLine="560"/>
        <w:rPr>
          <w:rFonts w:ascii="宋体" w:eastAsia="宋体" w:hAnsi="宋体"/>
          <w:sz w:val="28"/>
          <w:szCs w:val="28"/>
        </w:rPr>
      </w:pPr>
      <w:r w:rsidRPr="00B97E9E">
        <w:rPr>
          <w:rFonts w:ascii="宋体" w:eastAsia="宋体" w:hAnsi="宋体" w:hint="eastAsia"/>
          <w:sz w:val="28"/>
          <w:szCs w:val="28"/>
        </w:rPr>
        <w:t>本次分配款项清偿条件为债权经人民法院裁定确认、债权人已确认银行账户信息以及已按照分配款项金额足额提供完善的发票手续进行</w:t>
      </w:r>
      <w:r w:rsidR="009D3120">
        <w:rPr>
          <w:rFonts w:ascii="宋体" w:eastAsia="宋体" w:hAnsi="宋体" w:hint="eastAsia"/>
          <w:sz w:val="28"/>
          <w:szCs w:val="28"/>
        </w:rPr>
        <w:t>分配，</w:t>
      </w:r>
      <w:r w:rsidR="00D33F74" w:rsidRPr="00B97E9E">
        <w:rPr>
          <w:rFonts w:ascii="宋体" w:eastAsia="宋体" w:hAnsi="宋体" w:hint="eastAsia"/>
          <w:bCs/>
          <w:sz w:val="28"/>
          <w:szCs w:val="28"/>
        </w:rPr>
        <w:t>本次分配为最终分配，不再预留破产费用。</w:t>
      </w:r>
    </w:p>
    <w:p w14:paraId="7305BD10" w14:textId="77777777" w:rsidR="007D0BD5" w:rsidRPr="00B97E9E" w:rsidRDefault="006440F9" w:rsidP="00B97E9E">
      <w:pPr>
        <w:adjustRightInd w:val="0"/>
        <w:snapToGrid w:val="0"/>
        <w:spacing w:line="360" w:lineRule="auto"/>
        <w:ind w:firstLine="560"/>
        <w:rPr>
          <w:rFonts w:ascii="宋体" w:eastAsia="宋体" w:hAnsi="宋体"/>
          <w:sz w:val="28"/>
          <w:szCs w:val="28"/>
        </w:rPr>
      </w:pPr>
      <w:r w:rsidRPr="00B97E9E">
        <w:rPr>
          <w:rFonts w:ascii="宋体" w:eastAsia="宋体" w:hAnsi="宋体" w:hint="eastAsia"/>
          <w:sz w:val="28"/>
          <w:szCs w:val="28"/>
        </w:rPr>
        <w:t>特此公告。</w:t>
      </w:r>
    </w:p>
    <w:p w14:paraId="4C66254D" w14:textId="77777777" w:rsidR="00B97E9E" w:rsidRPr="00B97E9E" w:rsidRDefault="00B97E9E" w:rsidP="009D3120">
      <w:pPr>
        <w:adjustRightInd w:val="0"/>
        <w:snapToGrid w:val="0"/>
        <w:spacing w:line="360" w:lineRule="auto"/>
        <w:ind w:right="80"/>
        <w:jc w:val="right"/>
        <w:rPr>
          <w:rFonts w:ascii="宋体" w:eastAsia="宋体" w:hAnsi="宋体"/>
          <w:sz w:val="28"/>
          <w:szCs w:val="28"/>
        </w:rPr>
      </w:pPr>
    </w:p>
    <w:p w14:paraId="3E32F983" w14:textId="5E4306BB" w:rsidR="00343A7D" w:rsidRPr="00B97E9E" w:rsidRDefault="00343A7D" w:rsidP="009D3120">
      <w:pPr>
        <w:adjustRightInd w:val="0"/>
        <w:snapToGrid w:val="0"/>
        <w:spacing w:line="360" w:lineRule="auto"/>
        <w:ind w:right="80"/>
        <w:jc w:val="right"/>
        <w:rPr>
          <w:rFonts w:ascii="宋体" w:eastAsia="宋体" w:hAnsi="宋体"/>
          <w:sz w:val="28"/>
          <w:szCs w:val="28"/>
        </w:rPr>
      </w:pPr>
      <w:r w:rsidRPr="00B97E9E">
        <w:rPr>
          <w:rFonts w:ascii="宋体" w:eastAsia="宋体" w:hAnsi="宋体" w:hint="eastAsia"/>
          <w:sz w:val="28"/>
          <w:szCs w:val="28"/>
        </w:rPr>
        <w:t>重庆华龙盈科实业有限公司管理人</w:t>
      </w:r>
    </w:p>
    <w:p w14:paraId="050C9466" w14:textId="05B1CDFF" w:rsidR="00534970" w:rsidRPr="00B97E9E" w:rsidRDefault="000875A7" w:rsidP="009D3120">
      <w:pPr>
        <w:pStyle w:val="doc-a"/>
        <w:adjustRightInd w:val="0"/>
        <w:snapToGrid w:val="0"/>
        <w:spacing w:before="0" w:beforeAutospacing="0" w:after="0" w:afterAutospacing="0" w:line="360" w:lineRule="auto"/>
        <w:ind w:right="640" w:firstLine="482"/>
        <w:jc w:val="right"/>
        <w:rPr>
          <w:rFonts w:cstheme="minorBidi"/>
          <w:kern w:val="2"/>
          <w:sz w:val="28"/>
          <w:szCs w:val="28"/>
        </w:rPr>
      </w:pPr>
      <w:r w:rsidRPr="00B97E9E">
        <w:rPr>
          <w:rFonts w:cstheme="minorBidi" w:hint="eastAsia"/>
          <w:kern w:val="2"/>
          <w:sz w:val="28"/>
          <w:szCs w:val="28"/>
        </w:rPr>
        <w:t>二〇二</w:t>
      </w:r>
      <w:r w:rsidR="00B97E9E" w:rsidRPr="00B97E9E">
        <w:rPr>
          <w:rFonts w:cstheme="minorBidi" w:hint="eastAsia"/>
          <w:kern w:val="2"/>
          <w:sz w:val="28"/>
          <w:szCs w:val="28"/>
        </w:rPr>
        <w:t>二</w:t>
      </w:r>
      <w:r w:rsidRPr="00B97E9E">
        <w:rPr>
          <w:rFonts w:cstheme="minorBidi" w:hint="eastAsia"/>
          <w:kern w:val="2"/>
          <w:sz w:val="28"/>
          <w:szCs w:val="28"/>
        </w:rPr>
        <w:t>年</w:t>
      </w:r>
      <w:r w:rsidR="00BC5C77" w:rsidRPr="00B97E9E">
        <w:rPr>
          <w:rFonts w:cstheme="minorBidi" w:hint="eastAsia"/>
          <w:kern w:val="2"/>
          <w:sz w:val="28"/>
          <w:szCs w:val="28"/>
        </w:rPr>
        <w:t>三</w:t>
      </w:r>
      <w:r w:rsidR="00343A7D" w:rsidRPr="00B97E9E">
        <w:rPr>
          <w:rFonts w:cstheme="minorBidi" w:hint="eastAsia"/>
          <w:kern w:val="2"/>
          <w:sz w:val="28"/>
          <w:szCs w:val="28"/>
        </w:rPr>
        <w:t>月</w:t>
      </w:r>
      <w:r w:rsidR="00B97E9E" w:rsidRPr="00B97E9E">
        <w:rPr>
          <w:rFonts w:cstheme="minorBidi" w:hint="eastAsia"/>
          <w:kern w:val="2"/>
          <w:sz w:val="28"/>
          <w:szCs w:val="28"/>
        </w:rPr>
        <w:t>一</w:t>
      </w:r>
      <w:r w:rsidR="00343A7D" w:rsidRPr="00B97E9E">
        <w:rPr>
          <w:rFonts w:cstheme="minorBidi" w:hint="eastAsia"/>
          <w:kern w:val="2"/>
          <w:sz w:val="28"/>
          <w:szCs w:val="28"/>
        </w:rPr>
        <w:t>日</w:t>
      </w:r>
    </w:p>
    <w:sectPr w:rsidR="00534970" w:rsidRPr="00B97E9E" w:rsidSect="007B730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3AC06A" w14:textId="77777777" w:rsidR="007E3F63" w:rsidRDefault="007E3F63" w:rsidP="008E3F04">
      <w:r>
        <w:separator/>
      </w:r>
    </w:p>
  </w:endnote>
  <w:endnote w:type="continuationSeparator" w:id="0">
    <w:p w14:paraId="126A0776" w14:textId="77777777" w:rsidR="007E3F63" w:rsidRDefault="007E3F63" w:rsidP="008E3F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A08DCF" w14:textId="77777777" w:rsidR="007E3F63" w:rsidRDefault="007E3F63" w:rsidP="008E3F04">
      <w:r>
        <w:separator/>
      </w:r>
    </w:p>
  </w:footnote>
  <w:footnote w:type="continuationSeparator" w:id="0">
    <w:p w14:paraId="60D4D49D" w14:textId="77777777" w:rsidR="007E3F63" w:rsidRDefault="007E3F63" w:rsidP="008E3F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84BF110"/>
    <w:multiLevelType w:val="singleLevel"/>
    <w:tmpl w:val="E84BF110"/>
    <w:lvl w:ilvl="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0318"/>
    <w:rsid w:val="00024E44"/>
    <w:rsid w:val="000819C1"/>
    <w:rsid w:val="000875A7"/>
    <w:rsid w:val="00095159"/>
    <w:rsid w:val="000E0F8D"/>
    <w:rsid w:val="00102F68"/>
    <w:rsid w:val="00104D1A"/>
    <w:rsid w:val="00107D4F"/>
    <w:rsid w:val="001150B6"/>
    <w:rsid w:val="0012181A"/>
    <w:rsid w:val="001430C2"/>
    <w:rsid w:val="00174B77"/>
    <w:rsid w:val="00191815"/>
    <w:rsid w:val="001A3030"/>
    <w:rsid w:val="001E489D"/>
    <w:rsid w:val="001F3B1B"/>
    <w:rsid w:val="001F42AA"/>
    <w:rsid w:val="00206A9F"/>
    <w:rsid w:val="00221AEC"/>
    <w:rsid w:val="00256BAF"/>
    <w:rsid w:val="002870E5"/>
    <w:rsid w:val="002919FF"/>
    <w:rsid w:val="00294907"/>
    <w:rsid w:val="002C42F7"/>
    <w:rsid w:val="002E05DC"/>
    <w:rsid w:val="002F111F"/>
    <w:rsid w:val="00321799"/>
    <w:rsid w:val="003217B4"/>
    <w:rsid w:val="00343A7D"/>
    <w:rsid w:val="003A5F8C"/>
    <w:rsid w:val="00404AEC"/>
    <w:rsid w:val="0043110B"/>
    <w:rsid w:val="00472F31"/>
    <w:rsid w:val="004773DA"/>
    <w:rsid w:val="00477D4F"/>
    <w:rsid w:val="004C629B"/>
    <w:rsid w:val="004D6F8A"/>
    <w:rsid w:val="004E0DEB"/>
    <w:rsid w:val="004F0C22"/>
    <w:rsid w:val="00534970"/>
    <w:rsid w:val="00557DDA"/>
    <w:rsid w:val="005E24F7"/>
    <w:rsid w:val="005E6B02"/>
    <w:rsid w:val="006440F9"/>
    <w:rsid w:val="00657121"/>
    <w:rsid w:val="00675066"/>
    <w:rsid w:val="006A72F7"/>
    <w:rsid w:val="006E01C8"/>
    <w:rsid w:val="007445EA"/>
    <w:rsid w:val="00754F35"/>
    <w:rsid w:val="00764C29"/>
    <w:rsid w:val="00767440"/>
    <w:rsid w:val="00787828"/>
    <w:rsid w:val="00791EFD"/>
    <w:rsid w:val="007A496C"/>
    <w:rsid w:val="007B6EE4"/>
    <w:rsid w:val="007B7305"/>
    <w:rsid w:val="007D0BD5"/>
    <w:rsid w:val="007D1D58"/>
    <w:rsid w:val="007D3667"/>
    <w:rsid w:val="007E3F63"/>
    <w:rsid w:val="00802E4E"/>
    <w:rsid w:val="00862E0D"/>
    <w:rsid w:val="008666E6"/>
    <w:rsid w:val="008D2488"/>
    <w:rsid w:val="008E3F04"/>
    <w:rsid w:val="0091491E"/>
    <w:rsid w:val="00922113"/>
    <w:rsid w:val="0092601C"/>
    <w:rsid w:val="00982E2E"/>
    <w:rsid w:val="00983B80"/>
    <w:rsid w:val="00986FEF"/>
    <w:rsid w:val="009C58A7"/>
    <w:rsid w:val="009C5D64"/>
    <w:rsid w:val="009D3120"/>
    <w:rsid w:val="009E3DBC"/>
    <w:rsid w:val="009E4A8D"/>
    <w:rsid w:val="00A129E8"/>
    <w:rsid w:val="00A36253"/>
    <w:rsid w:val="00A47D4E"/>
    <w:rsid w:val="00A62E05"/>
    <w:rsid w:val="00A90B94"/>
    <w:rsid w:val="00A94D4A"/>
    <w:rsid w:val="00A97141"/>
    <w:rsid w:val="00B64FAE"/>
    <w:rsid w:val="00B97E9E"/>
    <w:rsid w:val="00BA04C0"/>
    <w:rsid w:val="00BC3AB7"/>
    <w:rsid w:val="00BC5C77"/>
    <w:rsid w:val="00BC620F"/>
    <w:rsid w:val="00BC690E"/>
    <w:rsid w:val="00BD3686"/>
    <w:rsid w:val="00BD56F3"/>
    <w:rsid w:val="00BF444B"/>
    <w:rsid w:val="00CA1941"/>
    <w:rsid w:val="00CA533D"/>
    <w:rsid w:val="00CB1E88"/>
    <w:rsid w:val="00CD14D3"/>
    <w:rsid w:val="00D23C04"/>
    <w:rsid w:val="00D24117"/>
    <w:rsid w:val="00D33F74"/>
    <w:rsid w:val="00D71C01"/>
    <w:rsid w:val="00D85D16"/>
    <w:rsid w:val="00D862CD"/>
    <w:rsid w:val="00DF43A1"/>
    <w:rsid w:val="00E3653C"/>
    <w:rsid w:val="00E41950"/>
    <w:rsid w:val="00E419B0"/>
    <w:rsid w:val="00E45A42"/>
    <w:rsid w:val="00E5389A"/>
    <w:rsid w:val="00F53180"/>
    <w:rsid w:val="00FD2A2B"/>
    <w:rsid w:val="00FD73B7"/>
    <w:rsid w:val="00FE1F88"/>
    <w:rsid w:val="00FF03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751499"/>
  <w15:docId w15:val="{ED4FDDDC-8AE1-8C48-A0FA-3A06904AB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B730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E3F0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E3F04"/>
    <w:rPr>
      <w:sz w:val="18"/>
      <w:szCs w:val="18"/>
    </w:rPr>
  </w:style>
  <w:style w:type="paragraph" w:styleId="a5">
    <w:name w:val="footer"/>
    <w:basedOn w:val="a"/>
    <w:link w:val="a6"/>
    <w:uiPriority w:val="99"/>
    <w:unhideWhenUsed/>
    <w:rsid w:val="008E3F04"/>
    <w:pPr>
      <w:tabs>
        <w:tab w:val="center" w:pos="4153"/>
        <w:tab w:val="right" w:pos="8306"/>
      </w:tabs>
      <w:snapToGrid w:val="0"/>
      <w:jc w:val="left"/>
    </w:pPr>
    <w:rPr>
      <w:sz w:val="18"/>
      <w:szCs w:val="18"/>
    </w:rPr>
  </w:style>
  <w:style w:type="character" w:customStyle="1" w:styleId="a6">
    <w:name w:val="页脚 字符"/>
    <w:basedOn w:val="a0"/>
    <w:link w:val="a5"/>
    <w:uiPriority w:val="99"/>
    <w:rsid w:val="008E3F04"/>
    <w:rPr>
      <w:sz w:val="18"/>
      <w:szCs w:val="18"/>
    </w:rPr>
  </w:style>
  <w:style w:type="paragraph" w:customStyle="1" w:styleId="doc-a">
    <w:name w:val="doc-a"/>
    <w:basedOn w:val="a"/>
    <w:qFormat/>
    <w:rsid w:val="00343A7D"/>
    <w:pPr>
      <w:widowControl/>
      <w:spacing w:before="100" w:beforeAutospacing="1" w:after="100" w:afterAutospacing="1"/>
      <w:jc w:val="left"/>
    </w:pPr>
    <w:rPr>
      <w:rFonts w:ascii="宋体" w:eastAsia="宋体" w:hAnsi="宋体" w:cs="宋体"/>
      <w:kern w:val="0"/>
      <w:sz w:val="24"/>
      <w:szCs w:val="24"/>
    </w:rPr>
  </w:style>
  <w:style w:type="paragraph" w:styleId="a7">
    <w:name w:val="Salutation"/>
    <w:basedOn w:val="a"/>
    <w:next w:val="a"/>
    <w:link w:val="a8"/>
    <w:uiPriority w:val="99"/>
    <w:unhideWhenUsed/>
    <w:rsid w:val="00D23C04"/>
    <w:rPr>
      <w:rFonts w:ascii="宋体" w:eastAsia="宋体" w:hAnsi="宋体"/>
      <w:sz w:val="32"/>
      <w:szCs w:val="32"/>
    </w:rPr>
  </w:style>
  <w:style w:type="character" w:customStyle="1" w:styleId="a8">
    <w:name w:val="称呼 字符"/>
    <w:basedOn w:val="a0"/>
    <w:link w:val="a7"/>
    <w:uiPriority w:val="99"/>
    <w:rsid w:val="00D23C04"/>
    <w:rPr>
      <w:rFonts w:ascii="宋体" w:eastAsia="宋体" w:hAnsi="宋体"/>
      <w:sz w:val="32"/>
      <w:szCs w:val="32"/>
    </w:rPr>
  </w:style>
  <w:style w:type="paragraph" w:styleId="a9">
    <w:name w:val="Closing"/>
    <w:basedOn w:val="a"/>
    <w:link w:val="aa"/>
    <w:uiPriority w:val="99"/>
    <w:unhideWhenUsed/>
    <w:rsid w:val="00D23C04"/>
    <w:pPr>
      <w:ind w:leftChars="2100" w:left="100"/>
    </w:pPr>
    <w:rPr>
      <w:rFonts w:ascii="宋体" w:eastAsia="宋体" w:hAnsi="宋体"/>
      <w:sz w:val="32"/>
      <w:szCs w:val="32"/>
    </w:rPr>
  </w:style>
  <w:style w:type="character" w:customStyle="1" w:styleId="aa">
    <w:name w:val="结束语 字符"/>
    <w:basedOn w:val="a0"/>
    <w:link w:val="a9"/>
    <w:uiPriority w:val="99"/>
    <w:rsid w:val="00D23C04"/>
    <w:rPr>
      <w:rFonts w:ascii="宋体" w:eastAsia="宋体" w:hAnsi="宋体"/>
      <w:sz w:val="32"/>
      <w:szCs w:val="32"/>
    </w:rPr>
  </w:style>
  <w:style w:type="paragraph" w:styleId="ab">
    <w:name w:val="Date"/>
    <w:basedOn w:val="a"/>
    <w:next w:val="a"/>
    <w:link w:val="ac"/>
    <w:uiPriority w:val="99"/>
    <w:semiHidden/>
    <w:unhideWhenUsed/>
    <w:rsid w:val="00534970"/>
    <w:pPr>
      <w:ind w:leftChars="2500" w:left="100"/>
    </w:pPr>
  </w:style>
  <w:style w:type="character" w:customStyle="1" w:styleId="ac">
    <w:name w:val="日期 字符"/>
    <w:basedOn w:val="a0"/>
    <w:link w:val="ab"/>
    <w:uiPriority w:val="99"/>
    <w:semiHidden/>
    <w:rsid w:val="00534970"/>
  </w:style>
  <w:style w:type="paragraph" w:styleId="ad">
    <w:name w:val="List Paragraph"/>
    <w:basedOn w:val="a"/>
    <w:uiPriority w:val="34"/>
    <w:qFormat/>
    <w:rsid w:val="00B97E9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Pages>
  <Words>80</Words>
  <Characters>456</Characters>
  <Application>Microsoft Office Word</Application>
  <DocSecurity>0</DocSecurity>
  <Lines>3</Lines>
  <Paragraphs>1</Paragraphs>
  <ScaleCrop>false</ScaleCrop>
  <Company/>
  <LinksUpToDate>false</LinksUpToDate>
  <CharactersWithSpaces>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珊 珊</dc:creator>
  <cp:keywords/>
  <dc:description/>
  <cp:lastModifiedBy>珊 珊</cp:lastModifiedBy>
  <cp:revision>8</cp:revision>
  <cp:lastPrinted>2021-03-08T06:43:00Z</cp:lastPrinted>
  <dcterms:created xsi:type="dcterms:W3CDTF">2021-02-24T02:40:00Z</dcterms:created>
  <dcterms:modified xsi:type="dcterms:W3CDTF">2022-03-01T10:13:00Z</dcterms:modified>
</cp:coreProperties>
</file>