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pacing w:val="45"/>
          <w:w w:val="60"/>
          <w:sz w:val="84"/>
          <w:szCs w:val="84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pacing w:val="45"/>
          <w:w w:val="60"/>
          <w:kern w:val="10"/>
          <w:sz w:val="84"/>
          <w:szCs w:val="84"/>
        </w:rPr>
        <w:t>云南大朝房地产开发经营有限公司管理人</w:t>
      </w:r>
    </w:p>
    <w:p>
      <w:pPr>
        <w:ind w:firstLine="930" w:firstLineChars="100"/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  <w:r>
        <w:rPr>
          <w:rFonts w:hint="eastAsia" w:ascii="仿宋_GB2312" w:hAnsi="仿宋_GB2312" w:eastAsia="仿宋_GB2312" w:cs="仿宋_GB2312"/>
          <w:spacing w:val="45"/>
          <w:sz w:val="8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1905</wp:posOffset>
                </wp:positionV>
                <wp:extent cx="9651365" cy="31750"/>
                <wp:effectExtent l="0" t="9525" r="6985" b="158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51365" cy="317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pt;margin-top:0.15pt;height:2.5pt;width:759.95pt;z-index:251659264;mso-width-relative:page;mso-height-relative:page;" filled="f" stroked="t" coordsize="21600,21600" o:gfxdata="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uDJGq0QAA&#10;AAQBAAAPAAAAAAAAAAEAIAAAACIAAABkcnMvZG93bnJldi54bWxQSwECFAAUAAAACACHTuJAR+2a&#10;B+wBAAC2AwAADgAAAAAAAAABACAAAAAgAQAAZHJzL2Uyb0RvYy54bWxQSwUGAAAAAAYABgBZAQAA&#10;fgUAAAAA&#10;">
                <v:fill on="f" focussize="0,0"/>
                <v:stroke weight="1.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ind w:firstLine="482" w:firstLineChars="100"/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云南大朝房地产开发经营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</w:rPr>
        <w:t>有限公司破产案职工债权公示</w:t>
      </w:r>
    </w:p>
    <w:p>
      <w:pPr>
        <w:ind w:firstLine="482" w:firstLineChars="100"/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Cs w:val="30"/>
        </w:rPr>
        <w:t>各位职工债权人：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昆明市五华区</w:t>
      </w:r>
      <w:r>
        <w:rPr>
          <w:rFonts w:hint="eastAsia" w:ascii="仿宋_GB2312" w:hAnsi="仿宋_GB2312" w:eastAsia="仿宋_GB2312" w:cs="仿宋_GB2312"/>
          <w:szCs w:val="30"/>
        </w:rPr>
        <w:t>人民法院于2021年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Cs w:val="30"/>
        </w:rPr>
        <w:t>月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Cs w:val="30"/>
        </w:rPr>
        <w:t>日裁定受理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云南大朝房地产开发经营有限公司</w:t>
      </w:r>
      <w:r>
        <w:rPr>
          <w:rFonts w:hint="eastAsia" w:ascii="仿宋_GB2312" w:hAnsi="仿宋_GB2312" w:eastAsia="仿宋_GB2312" w:cs="仿宋_GB2312"/>
          <w:szCs w:val="30"/>
        </w:rPr>
        <w:t>（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以下简称“债务人”</w:t>
      </w:r>
      <w:r>
        <w:rPr>
          <w:rFonts w:hint="eastAsia" w:ascii="仿宋_GB2312" w:hAnsi="仿宋_GB2312" w:eastAsia="仿宋_GB2312" w:cs="仿宋_GB2312"/>
          <w:szCs w:val="30"/>
        </w:rPr>
        <w:t>）破产清算一案，并于同日指定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云南大朝房地产开发经营有限公司</w:t>
      </w:r>
      <w:r>
        <w:rPr>
          <w:rFonts w:hint="eastAsia" w:ascii="仿宋_GB2312" w:hAnsi="仿宋_GB2312" w:eastAsia="仿宋_GB2312" w:cs="仿宋_GB2312"/>
          <w:szCs w:val="30"/>
        </w:rPr>
        <w:t>清算组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担任</w:t>
      </w:r>
      <w:r>
        <w:rPr>
          <w:rFonts w:hint="eastAsia" w:ascii="仿宋_GB2312" w:hAnsi="仿宋_GB2312" w:eastAsia="仿宋_GB2312" w:cs="仿宋_GB2312"/>
          <w:szCs w:val="30"/>
        </w:rPr>
        <w:t>管理人。根据《中华人民共和国企业破产法》第四十八条之规定，职工债权不必申报，由管理人调查核实后列出清单予以公示。根据管理人审核的进展情况，管理人将职工的工资、补偿金与社保欠缴认定情况进行公示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szCs w:val="30"/>
        </w:rPr>
        <w:t>关于社</w:t>
      </w:r>
      <w:r>
        <w:rPr>
          <w:rFonts w:hint="eastAsia" w:ascii="仿宋_GB2312" w:hAnsi="仿宋_GB2312" w:cs="仿宋_GB2312"/>
          <w:szCs w:val="30"/>
          <w:lang w:val="en-US" w:eastAsia="zh-CN"/>
        </w:rPr>
        <w:t>会保险</w:t>
      </w:r>
      <w:r>
        <w:rPr>
          <w:rFonts w:hint="eastAsia" w:ascii="仿宋_GB2312" w:hAnsi="仿宋_GB2312" w:eastAsia="仿宋_GB2312" w:cs="仿宋_GB2312"/>
          <w:szCs w:val="30"/>
        </w:rPr>
        <w:t>公示的说明：</w:t>
      </w:r>
    </w:p>
    <w:p>
      <w:pPr>
        <w:spacing w:line="600" w:lineRule="exact"/>
        <w:ind w:firstLine="60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szCs w:val="30"/>
        </w:rPr>
        <w:t>1</w:t>
      </w:r>
      <w:r>
        <w:rPr>
          <w:rFonts w:hint="eastAsia" w:ascii="仿宋_GB2312" w:hAnsi="仿宋_GB2312" w:cs="仿宋_GB2312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Cs w:val="30"/>
        </w:rPr>
        <w:t>管理人认定的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社保</w:t>
      </w:r>
      <w:r>
        <w:rPr>
          <w:rFonts w:hint="eastAsia" w:ascii="仿宋_GB2312" w:hAnsi="仿宋_GB2312" w:eastAsia="仿宋_GB2312" w:cs="仿宋_GB2312"/>
          <w:szCs w:val="30"/>
        </w:rPr>
        <w:t>个人应缴部分金额、单位应缴部分金额</w:t>
      </w:r>
      <w:r>
        <w:rPr>
          <w:rFonts w:hint="eastAsia" w:ascii="仿宋_GB2312" w:hAnsi="仿宋_GB2312" w:cs="仿宋_GB2312"/>
          <w:szCs w:val="30"/>
          <w:lang w:val="en-US" w:eastAsia="zh-CN"/>
        </w:rPr>
        <w:t>经作参考，</w:t>
      </w:r>
      <w:r>
        <w:rPr>
          <w:rFonts w:hint="eastAsia" w:ascii="仿宋_GB2312" w:hAnsi="仿宋_GB2312" w:eastAsia="仿宋_GB2312" w:cs="仿宋_GB2312"/>
          <w:szCs w:val="30"/>
          <w:u w:val="single"/>
        </w:rPr>
        <w:t>以最终社保部门核定的数据为准</w:t>
      </w:r>
      <w:r>
        <w:rPr>
          <w:rFonts w:hint="eastAsia" w:ascii="仿宋_GB2312" w:hAnsi="仿宋_GB2312" w:eastAsia="仿宋_GB2312" w:cs="仿宋_GB2312"/>
          <w:szCs w:val="30"/>
        </w:rPr>
        <w:t>。因补缴金额中既包括职工债权也包括社保债权</w:t>
      </w:r>
      <w:r>
        <w:rPr>
          <w:rFonts w:hint="eastAsia" w:ascii="仿宋_GB2312" w:hAnsi="仿宋_GB2312" w:cs="仿宋_GB2312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管理人在清偿时会按照</w:t>
      </w:r>
      <w:r>
        <w:rPr>
          <w:rFonts w:hint="eastAsia" w:ascii="仿宋_GB2312" w:hAnsi="仿宋_GB2312" w:eastAsia="仿宋_GB2312" w:cs="仿宋_GB2312"/>
          <w:b/>
          <w:bCs/>
          <w:color w:val="121212"/>
          <w:sz w:val="27"/>
          <w:szCs w:val="27"/>
          <w:shd w:val="clear" w:color="auto" w:fill="FFFFFF"/>
        </w:rPr>
        <w:t>《企业破产法》第一百一十三条第一款规定</w:t>
      </w:r>
      <w:r>
        <w:rPr>
          <w:rFonts w:hint="eastAsia" w:ascii="仿宋_GB2312" w:hAnsi="仿宋_GB2312" w:eastAsia="仿宋_GB2312" w:cs="仿宋_GB2312"/>
          <w:b/>
          <w:bCs/>
        </w:rPr>
        <w:t>的清偿顺序，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对职工欠缴社保进行补缴</w:t>
      </w:r>
      <w:r>
        <w:rPr>
          <w:rFonts w:hint="eastAsia" w:ascii="仿宋_GB2312" w:hAnsi="仿宋_GB2312" w:eastAsia="仿宋_GB2312" w:cs="仿宋_GB2312"/>
          <w:b/>
          <w:bCs/>
        </w:rPr>
        <w:t>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2</w:t>
      </w:r>
      <w:r>
        <w:rPr>
          <w:rFonts w:hint="eastAsia" w:ascii="仿宋_GB2312" w:hAnsi="仿宋_GB2312" w:cs="仿宋_GB2312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Cs w:val="30"/>
        </w:rPr>
        <w:t>职工个人已经自行补缴，管理人直接审核认定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Cs w:val="30"/>
        </w:rPr>
        <w:t>。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管理人将</w:t>
      </w:r>
      <w:r>
        <w:rPr>
          <w:rFonts w:hint="eastAsia" w:ascii="仿宋_GB2312" w:hAnsi="仿宋_GB2312" w:eastAsia="仿宋_GB2312" w:cs="仿宋_GB2312"/>
          <w:szCs w:val="30"/>
        </w:rPr>
        <w:t>在清偿时</w:t>
      </w:r>
      <w:r>
        <w:rPr>
          <w:rFonts w:hint="eastAsia" w:ascii="仿宋_GB2312" w:hAnsi="仿宋_GB2312" w:eastAsia="仿宋_GB2312" w:cs="仿宋_GB2312"/>
          <w:color w:val="121212"/>
          <w:sz w:val="27"/>
          <w:szCs w:val="27"/>
          <w:shd w:val="clear" w:color="auto" w:fill="FFFFFF"/>
        </w:rPr>
        <w:t>《企业破产法》第一百一十三条第一款规定</w:t>
      </w:r>
      <w:r>
        <w:rPr>
          <w:rFonts w:hint="eastAsia" w:ascii="仿宋_GB2312" w:hAnsi="仿宋_GB2312" w:eastAsia="仿宋_GB2312" w:cs="仿宋_GB2312"/>
        </w:rPr>
        <w:t>的清偿顺序，进行清偿。</w:t>
      </w:r>
    </w:p>
    <w:p>
      <w:pPr>
        <w:spacing w:line="600" w:lineRule="exact"/>
        <w:ind w:firstLine="602" w:firstLineChars="200"/>
        <w:rPr>
          <w:rFonts w:hint="eastAsia" w:ascii="仿宋_GB2312" w:hAnsi="仿宋_GB2312" w:eastAsia="仿宋_GB2312" w:cs="仿宋_GB2312"/>
          <w:b/>
          <w:bCs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Cs w:val="30"/>
        </w:rPr>
        <w:t>各位职工对《职工债权清单》记载的债权有异议的，请于202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年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日前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将异议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以书面形式向管理人提出，同时提交相关证明材料。管理人会对异议债权进行复核，并将复核结果书面通知职工。如职工仍然对管理人的复核结果有异议，可依法向安宁市人民法院提起诉讼。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Cs w:val="30"/>
        </w:rPr>
      </w:pPr>
      <w:r>
        <w:rPr>
          <w:rFonts w:hint="eastAsia" w:ascii="仿宋_GB2312" w:hAnsi="仿宋_GB2312" w:eastAsia="仿宋_GB2312" w:cs="仿宋_GB2312"/>
          <w:szCs w:val="30"/>
        </w:rPr>
        <w:t>管理人联系地址：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云南省昆明市东风西路123号三合商利写字楼26楼</w:t>
      </w:r>
      <w:r>
        <w:rPr>
          <w:rFonts w:hint="eastAsia" w:ascii="仿宋_GB2312" w:hAnsi="仿宋_GB2312" w:eastAsia="仿宋_GB2312" w:cs="仿宋_GB2312"/>
          <w:szCs w:val="30"/>
        </w:rPr>
        <w:t>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Cs w:val="30"/>
        </w:rPr>
        <w:t>管理人联系人：郑维维律师15925156160、</w:t>
      </w:r>
      <w:r>
        <w:rPr>
          <w:rFonts w:hint="eastAsia" w:ascii="仿宋_GB2312" w:hAnsi="仿宋_GB2312" w:eastAsia="仿宋_GB2312" w:cs="仿宋_GB2312"/>
          <w:szCs w:val="30"/>
          <w:lang w:val="en-US" w:eastAsia="zh-CN"/>
        </w:rPr>
        <w:t>代芳艳18288942668</w:t>
      </w:r>
    </w:p>
    <w:p>
      <w:pPr>
        <w:spacing w:line="600" w:lineRule="exact"/>
        <w:rPr>
          <w:rFonts w:hint="eastAsia" w:ascii="仿宋_GB2312" w:hAnsi="仿宋_GB2312" w:eastAsia="仿宋_GB2312" w:cs="仿宋_GB2312"/>
          <w:szCs w:val="30"/>
        </w:rPr>
      </w:pPr>
    </w:p>
    <w:p>
      <w:pPr>
        <w:spacing w:line="600" w:lineRule="exact"/>
        <w:jc w:val="right"/>
        <w:rPr>
          <w:rFonts w:hint="eastAsia" w:ascii="仿宋_GB2312" w:hAnsi="仿宋_GB2312" w:eastAsia="仿宋_GB2312" w:cs="仿宋_GB2312"/>
          <w:b/>
          <w:bCs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云南大朝房地产开发经营有限公司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管理人</w:t>
      </w:r>
    </w:p>
    <w:p>
      <w:pPr>
        <w:spacing w:line="600" w:lineRule="exact"/>
        <w:jc w:val="right"/>
        <w:rPr>
          <w:rFonts w:hint="eastAsia" w:ascii="仿宋_GB2312" w:hAnsi="仿宋_GB2312" w:eastAsia="仿宋_GB2312" w:cs="仿宋_GB2312"/>
          <w:b/>
          <w:bCs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Cs w:val="30"/>
        </w:rPr>
        <w:t>202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年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bCs/>
          <w:szCs w:val="30"/>
          <w:lang w:val="en-US" w:eastAsia="zh-CN"/>
        </w:rPr>
        <w:t>1</w:t>
      </w:r>
      <w:r>
        <w:rPr>
          <w:rFonts w:hint="eastAsia" w:ascii="仿宋_GB2312" w:hAnsi="仿宋_GB2312" w:cs="仿宋_GB2312"/>
          <w:b/>
          <w:bCs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Cs w:val="30"/>
        </w:rPr>
        <w:t>日</w:t>
      </w: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Cs w:val="30"/>
        </w:rPr>
        <w:br w:type="page"/>
      </w:r>
    </w:p>
    <w:tbl>
      <w:tblPr>
        <w:tblStyle w:val="10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1496"/>
        <w:gridCol w:w="2514"/>
        <w:gridCol w:w="2514"/>
        <w:gridCol w:w="2514"/>
        <w:gridCol w:w="2514"/>
        <w:gridCol w:w="25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云南大朝房地产开发经营有限公司职工债权表</w:t>
            </w: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4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8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工资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经济补偿金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工资</w:t>
            </w:r>
          </w:p>
        </w:tc>
        <w:tc>
          <w:tcPr>
            <w:tcW w:w="8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孙春蓉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349,789.29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152,058.00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501,847.29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1,577,687.85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2,079,535.14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孙雅馨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206,719.81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152,058.00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358,777.81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266,970.51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625,748.32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孙君霞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235,662.62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152,058.00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387,720.62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137,270.27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524,990.89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赵森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174,809.45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133,004.60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307,814.05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181,765.84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489,579.89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周燕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51,294.04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28,451.25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79,745.29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79,745.29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53,844.08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23,312.50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77,156.58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77,156.58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沐鹏飞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9,463.75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5,451.65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14,915.40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14,915.40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黄家琴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33,268.42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16,839.50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50,107.92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50,107.92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胡连朋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23,473.38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65,927.17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89,400.55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89,400.55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何传霞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63,939.16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27,704.72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91,643.88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91,643.88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何梅优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45,428.06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15,380.00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60,808.06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60,808.06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李庆兰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114,084.60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131,559.93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245,644.53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245,644.53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刘磊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117,672.27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115,416.00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233,088.27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233,088.27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钟玮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41,639.26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41,639.26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41,639.26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陈辉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109,967.67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109,967.67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109,967.67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侯改华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59,359.43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59,359.43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59,359.43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胡斌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440.60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440.60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237,319.57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237,760.17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蒋庆林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62,755.46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62,755.46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62,755.46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孔垂敏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50,156.41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50,156.41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50,156.41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赵江荷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19,667.52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19,667.52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19,667.52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杨华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7,500.00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7,500.00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7,500.00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艾亚欣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47,894.48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47,894.48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47,894.48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李丽萍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24,948.58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24,948.58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24,948.58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杨青林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42,723.50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42,723.50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190,958.56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233,682.06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杨涛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6,850.96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6,850.96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6,850.96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张宁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35,000.00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35,000.00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35,000.00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1,988,352.79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1,019,221.32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3,007,574.11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2,591,972.60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5,599,546.71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br w:type="page"/>
      </w:r>
    </w:p>
    <w:tbl>
      <w:tblPr>
        <w:tblStyle w:val="10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820"/>
        <w:gridCol w:w="3298"/>
        <w:gridCol w:w="3301"/>
        <w:gridCol w:w="2595"/>
        <w:gridCol w:w="2834"/>
      </w:tblGrid>
      <w:tr>
        <w:trPr>
          <w:trHeight w:val="51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社会保险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认定金额</w:t>
            </w: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仿宋_GB2312" w:hAnsi="仿宋_GB2312" w:cs="仿宋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养老保险-单位</w:t>
            </w: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应缴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养老保险-个人</w:t>
            </w:r>
            <w:r>
              <w:rPr>
                <w:rFonts w:hint="eastAsia" w:ascii="仿宋_GB2312" w:hAnsi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应缴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孙春蓉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12,704.68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6,157.76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18,862.44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孙雅馨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9,004.68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4,397.76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13,402.44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孙君霞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9,004.68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4,397.76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13,402.44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黄家琴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4,096.00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2,048.00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6,144.00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胡连朋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5,324.44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2,646.08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7,970.52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何梅优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4,838.28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2,408.64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7,246.92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李庆兰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6,784.68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3,341.76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10,126.44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刘磊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6,784.68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3,341.76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10,126.44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钟玮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5,324.44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2,646.08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7,970.52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侯改华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640.00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320.00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960.00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胡斌</w:t>
            </w:r>
          </w:p>
        </w:tc>
        <w:tc>
          <w:tcPr>
            <w:tcW w:w="21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15,022.44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15,022.44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个人零星补缴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杨青林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6,124.68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2,957.76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9,082.44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杨涛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640.00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320.00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960.00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86,293.68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34,983.36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121,277.04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890" w:right="890" w:bottom="890" w:left="89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6D5"/>
    <w:rsid w:val="00004191"/>
    <w:rsid w:val="0002486D"/>
    <w:rsid w:val="0009756C"/>
    <w:rsid w:val="000F4F4B"/>
    <w:rsid w:val="001070E4"/>
    <w:rsid w:val="00121D3B"/>
    <w:rsid w:val="00134BCA"/>
    <w:rsid w:val="001A2481"/>
    <w:rsid w:val="001B4021"/>
    <w:rsid w:val="001D611E"/>
    <w:rsid w:val="002B172E"/>
    <w:rsid w:val="002C2ECB"/>
    <w:rsid w:val="00390D41"/>
    <w:rsid w:val="003D26DB"/>
    <w:rsid w:val="00443DBD"/>
    <w:rsid w:val="00471A52"/>
    <w:rsid w:val="00482372"/>
    <w:rsid w:val="00487B30"/>
    <w:rsid w:val="004D28A4"/>
    <w:rsid w:val="004E099C"/>
    <w:rsid w:val="00506388"/>
    <w:rsid w:val="005726A1"/>
    <w:rsid w:val="005E6E70"/>
    <w:rsid w:val="006C6441"/>
    <w:rsid w:val="006E75C1"/>
    <w:rsid w:val="006F26F0"/>
    <w:rsid w:val="006F427F"/>
    <w:rsid w:val="00700E83"/>
    <w:rsid w:val="0073705B"/>
    <w:rsid w:val="007A5EA9"/>
    <w:rsid w:val="007B1A56"/>
    <w:rsid w:val="007F584E"/>
    <w:rsid w:val="008236D0"/>
    <w:rsid w:val="00840F70"/>
    <w:rsid w:val="008A192A"/>
    <w:rsid w:val="008A7206"/>
    <w:rsid w:val="008D36C6"/>
    <w:rsid w:val="0091012D"/>
    <w:rsid w:val="00985F6D"/>
    <w:rsid w:val="00A52907"/>
    <w:rsid w:val="00AB5B5C"/>
    <w:rsid w:val="00AF57BD"/>
    <w:rsid w:val="00B058A0"/>
    <w:rsid w:val="00B07A9B"/>
    <w:rsid w:val="00B21AFC"/>
    <w:rsid w:val="00B34B8C"/>
    <w:rsid w:val="00B50A7B"/>
    <w:rsid w:val="00B60722"/>
    <w:rsid w:val="00B75EF8"/>
    <w:rsid w:val="00B93C86"/>
    <w:rsid w:val="00C21F5F"/>
    <w:rsid w:val="00C54CF2"/>
    <w:rsid w:val="00C873C3"/>
    <w:rsid w:val="00C91092"/>
    <w:rsid w:val="00D816D5"/>
    <w:rsid w:val="00DA47BC"/>
    <w:rsid w:val="00E736E5"/>
    <w:rsid w:val="00EB29E1"/>
    <w:rsid w:val="00F15F3D"/>
    <w:rsid w:val="00F23A4A"/>
    <w:rsid w:val="00F36A0E"/>
    <w:rsid w:val="00F955DA"/>
    <w:rsid w:val="00FF3CC9"/>
    <w:rsid w:val="013551A6"/>
    <w:rsid w:val="03687157"/>
    <w:rsid w:val="102C7D55"/>
    <w:rsid w:val="111354DA"/>
    <w:rsid w:val="12323B84"/>
    <w:rsid w:val="1B587C10"/>
    <w:rsid w:val="291C71F2"/>
    <w:rsid w:val="2ECA0EDE"/>
    <w:rsid w:val="35F8365C"/>
    <w:rsid w:val="366F1FAF"/>
    <w:rsid w:val="3F00652A"/>
    <w:rsid w:val="4E2F3A4F"/>
    <w:rsid w:val="70AA6CF2"/>
    <w:rsid w:val="7F6E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</w:pPr>
    <w:rPr>
      <w:rFonts w:ascii="Tahoma" w:hAnsi="Tahoma" w:eastAsia="仿宋_GB2312" w:cstheme="minorBidi"/>
      <w:kern w:val="0"/>
      <w:sz w:val="30"/>
      <w:szCs w:val="22"/>
      <w:lang w:val="en-US" w:eastAsia="zh-CN" w:bidi="ar-SA"/>
    </w:rPr>
  </w:style>
  <w:style w:type="paragraph" w:styleId="2">
    <w:name w:val="heading 1"/>
    <w:basedOn w:val="3"/>
    <w:next w:val="3"/>
    <w:link w:val="14"/>
    <w:qFormat/>
    <w:uiPriority w:val="9"/>
    <w:pPr>
      <w:keepNext/>
      <w:keepLines/>
      <w:spacing w:before="0" w:after="200"/>
    </w:pPr>
    <w:rPr>
      <w:rFonts w:eastAsia="方正小标宋简体"/>
      <w:bCs w:val="0"/>
      <w:kern w:val="44"/>
      <w:sz w:val="36"/>
      <w:szCs w:val="44"/>
    </w:rPr>
  </w:style>
  <w:style w:type="paragraph" w:styleId="4">
    <w:name w:val="heading 2"/>
    <w:basedOn w:val="1"/>
    <w:next w:val="1"/>
    <w:link w:val="13"/>
    <w:unhideWhenUsed/>
    <w:qFormat/>
    <w:uiPriority w:val="9"/>
    <w:pPr>
      <w:keepNext/>
      <w:keepLines/>
      <w:spacing w:before="120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17"/>
    <w:qFormat/>
    <w:uiPriority w:val="11"/>
    <w:pPr>
      <w:spacing w:before="240" w:after="60" w:line="312" w:lineRule="auto"/>
      <w:jc w:val="right"/>
      <w:outlineLvl w:val="1"/>
    </w:pPr>
    <w:rPr>
      <w:rFonts w:eastAsia="仿宋"/>
      <w:bCs/>
      <w:kern w:val="28"/>
      <w:sz w:val="13"/>
      <w:szCs w:val="32"/>
    </w:r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标题 2 字符"/>
    <w:basedOn w:val="11"/>
    <w:link w:val="4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4">
    <w:name w:val="标题 1 字符"/>
    <w:basedOn w:val="11"/>
    <w:link w:val="2"/>
    <w:qFormat/>
    <w:uiPriority w:val="9"/>
    <w:rPr>
      <w:rFonts w:eastAsia="方正小标宋简体" w:asciiTheme="majorHAnsi" w:hAnsiTheme="majorHAnsi" w:cstheme="majorBidi"/>
      <w:b/>
      <w:kern w:val="44"/>
      <w:sz w:val="36"/>
      <w:szCs w:val="44"/>
    </w:rPr>
  </w:style>
  <w:style w:type="character" w:customStyle="1" w:styleId="15">
    <w:name w:val="标题 3 字符"/>
    <w:basedOn w:val="11"/>
    <w:link w:val="5"/>
    <w:qFormat/>
    <w:uiPriority w:val="9"/>
    <w:rPr>
      <w:rFonts w:eastAsia="仿宋_GB2312"/>
      <w:b/>
      <w:bCs/>
      <w:sz w:val="28"/>
      <w:szCs w:val="32"/>
    </w:rPr>
  </w:style>
  <w:style w:type="character" w:customStyle="1" w:styleId="16">
    <w:name w:val="标题 字符"/>
    <w:basedOn w:val="11"/>
    <w:link w:val="3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副标题 字符"/>
    <w:basedOn w:val="11"/>
    <w:link w:val="9"/>
    <w:qFormat/>
    <w:uiPriority w:val="11"/>
    <w:rPr>
      <w:rFonts w:eastAsia="仿宋"/>
      <w:bCs/>
      <w:kern w:val="28"/>
      <w:sz w:val="13"/>
      <w:szCs w:val="32"/>
    </w:rPr>
  </w:style>
  <w:style w:type="character" w:customStyle="1" w:styleId="18">
    <w:name w:val="页眉 字符"/>
    <w:basedOn w:val="11"/>
    <w:link w:val="8"/>
    <w:qFormat/>
    <w:uiPriority w:val="99"/>
    <w:rPr>
      <w:rFonts w:ascii="Tahoma" w:hAnsi="Tahoma" w:eastAsia="仿宋_GB2312"/>
      <w:kern w:val="0"/>
      <w:sz w:val="18"/>
      <w:szCs w:val="18"/>
    </w:rPr>
  </w:style>
  <w:style w:type="character" w:customStyle="1" w:styleId="19">
    <w:name w:val="页脚 字符"/>
    <w:basedOn w:val="11"/>
    <w:link w:val="7"/>
    <w:qFormat/>
    <w:uiPriority w:val="99"/>
    <w:rPr>
      <w:rFonts w:ascii="Tahoma" w:hAnsi="Tahoma" w:eastAsia="仿宋_GB2312"/>
      <w:kern w:val="0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日期 字符"/>
    <w:basedOn w:val="11"/>
    <w:link w:val="6"/>
    <w:semiHidden/>
    <w:qFormat/>
    <w:uiPriority w:val="99"/>
    <w:rPr>
      <w:rFonts w:ascii="Tahoma" w:hAnsi="Tahoma" w:eastAsia="仿宋_GB2312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635</Words>
  <Characters>3625</Characters>
  <Lines>30</Lines>
  <Paragraphs>8</Paragraphs>
  <TotalTime>5</TotalTime>
  <ScaleCrop>false</ScaleCrop>
  <LinksUpToDate>false</LinksUpToDate>
  <CharactersWithSpaces>4252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2021-09-24T07:00:00Z</dcterms:created>
  <dc:creator>王 新程</dc:creator>
  <cp:lastModifiedBy>lenovo</cp:lastModifiedBy>
  <dcterms:modified xsi:type="dcterms:W3CDTF">2022-03-19T07:42:32Z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