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jc w:val="center"/>
        <w:rPr>
          <w:rFonts w:hint="eastAsia" w:ascii="方正小标宋简体" w:eastAsia="方正小标宋简体"/>
          <w:b w:val="0"/>
          <w:bCs w:val="0"/>
          <w:sz w:val="32"/>
          <w:szCs w:val="32"/>
          <w:lang w:eastAsia="zh-CN"/>
        </w:rPr>
      </w:pPr>
      <w:r>
        <w:rPr>
          <w:rFonts w:hint="eastAsia" w:ascii="方正小标宋简体" w:eastAsia="方正小标宋简体"/>
          <w:b w:val="0"/>
          <w:bCs w:val="0"/>
          <w:sz w:val="32"/>
          <w:szCs w:val="32"/>
          <w:lang w:eastAsia="zh-CN"/>
        </w:rPr>
        <w:t>三明市万源再生资源</w:t>
      </w:r>
      <w:r>
        <w:rPr>
          <w:rFonts w:hint="eastAsia" w:ascii="方正小标宋简体" w:eastAsia="方正小标宋简体"/>
          <w:b w:val="0"/>
          <w:bCs w:val="0"/>
          <w:sz w:val="32"/>
          <w:szCs w:val="32"/>
        </w:rPr>
        <w:t>有限</w:t>
      </w:r>
      <w:bookmarkStart w:id="2" w:name="_GoBack"/>
      <w:bookmarkEnd w:id="2"/>
      <w:r>
        <w:rPr>
          <w:rFonts w:hint="eastAsia" w:ascii="方正小标宋简体" w:eastAsia="方正小标宋简体"/>
          <w:b w:val="0"/>
          <w:bCs w:val="0"/>
          <w:sz w:val="32"/>
          <w:szCs w:val="32"/>
        </w:rPr>
        <w:t>公司破产</w:t>
      </w:r>
      <w:r>
        <w:rPr>
          <w:rFonts w:hint="eastAsia" w:ascii="方正小标宋简体" w:eastAsia="方正小标宋简体"/>
          <w:b w:val="0"/>
          <w:bCs w:val="0"/>
          <w:sz w:val="32"/>
          <w:szCs w:val="32"/>
          <w:lang w:eastAsia="zh-CN"/>
        </w:rPr>
        <w:t>清算</w:t>
      </w:r>
    </w:p>
    <w:p>
      <w:pPr>
        <w:spacing w:line="600" w:lineRule="exact"/>
        <w:jc w:val="center"/>
        <w:rPr>
          <w:rFonts w:hint="eastAsia" w:ascii="方正小标宋简体" w:eastAsia="方正小标宋简体"/>
          <w:b/>
          <w:bCs/>
          <w:sz w:val="32"/>
          <w:szCs w:val="32"/>
          <w:lang w:eastAsia="zh-CN"/>
        </w:rPr>
      </w:pPr>
      <w:r>
        <w:rPr>
          <w:rFonts w:hint="eastAsia" w:ascii="方正小标宋简体" w:eastAsia="方正小标宋简体"/>
          <w:b w:val="0"/>
          <w:bCs w:val="0"/>
          <w:sz w:val="32"/>
          <w:szCs w:val="32"/>
        </w:rPr>
        <w:t>债权审核</w:t>
      </w:r>
      <w:r>
        <w:rPr>
          <w:rFonts w:hint="eastAsia" w:ascii="方正小标宋简体" w:eastAsia="方正小标宋简体"/>
          <w:b w:val="0"/>
          <w:bCs w:val="0"/>
          <w:sz w:val="32"/>
          <w:szCs w:val="32"/>
          <w:lang w:eastAsia="zh-CN"/>
        </w:rPr>
        <w:t>报告</w:t>
      </w:r>
    </w:p>
    <w:p>
      <w:pPr>
        <w:spacing w:line="480" w:lineRule="exact"/>
        <w:rPr>
          <w:rFonts w:hint="eastAsia" w:ascii="宋体" w:hAnsi="宋体" w:eastAsia="宋体" w:cs="宋体"/>
          <w:sz w:val="24"/>
          <w:szCs w:val="24"/>
        </w:rPr>
      </w:pPr>
      <w:r>
        <w:rPr>
          <w:rFonts w:hint="eastAsia" w:ascii="宋体" w:hAnsi="宋体" w:eastAsia="宋体" w:cs="宋体"/>
          <w:sz w:val="24"/>
          <w:szCs w:val="24"/>
        </w:rPr>
        <w:t>各债权人：</w:t>
      </w:r>
    </w:p>
    <w:p>
      <w:pPr>
        <w:spacing w:line="480" w:lineRule="exact"/>
        <w:rPr>
          <w:rFonts w:hint="eastAsia" w:ascii="宋体" w:hAnsi="宋体" w:eastAsia="宋体" w:cs="宋体"/>
          <w:sz w:val="24"/>
          <w:szCs w:val="24"/>
        </w:rPr>
      </w:pPr>
      <w:r>
        <w:rPr>
          <w:rFonts w:hint="eastAsia" w:ascii="宋体" w:hAnsi="宋体" w:eastAsia="宋体" w:cs="宋体"/>
          <w:sz w:val="24"/>
          <w:szCs w:val="24"/>
        </w:rPr>
        <w:t xml:space="preserve">     现根据《中华人民共和国企业破产法》第五十八条的规定，管理人对编制的</w:t>
      </w:r>
      <w:r>
        <w:rPr>
          <w:rFonts w:hint="eastAsia" w:ascii="宋体" w:hAnsi="宋体" w:eastAsia="宋体" w:cs="宋体"/>
          <w:sz w:val="24"/>
          <w:szCs w:val="24"/>
          <w:lang w:eastAsia="zh-CN"/>
        </w:rPr>
        <w:t>三明市万源再生资源</w:t>
      </w:r>
      <w:r>
        <w:rPr>
          <w:rFonts w:hint="eastAsia" w:ascii="宋体" w:hAnsi="宋体" w:eastAsia="宋体" w:cs="宋体"/>
          <w:sz w:val="24"/>
          <w:szCs w:val="24"/>
        </w:rPr>
        <w:t>有限公司债权表中的管理人审查债权金额作如下说明。</w:t>
      </w:r>
    </w:p>
    <w:p>
      <w:pPr>
        <w:spacing w:line="480" w:lineRule="exact"/>
        <w:ind w:firstLine="482" w:firstLineChars="200"/>
        <w:rPr>
          <w:rFonts w:hint="eastAsia" w:ascii="宋体" w:hAnsi="宋体" w:eastAsia="宋体" w:cs="宋体"/>
          <w:sz w:val="24"/>
          <w:szCs w:val="24"/>
        </w:rPr>
      </w:pPr>
      <w:r>
        <w:rPr>
          <w:rFonts w:hint="eastAsia" w:ascii="宋体" w:hAnsi="宋体" w:eastAsia="宋体" w:cs="宋体"/>
          <w:b/>
          <w:sz w:val="24"/>
          <w:szCs w:val="24"/>
        </w:rPr>
        <w:t>加倍支付迟延履行期间的债务利息的法律依据如下：</w:t>
      </w:r>
      <w:r>
        <w:rPr>
          <w:rFonts w:hint="eastAsia" w:ascii="宋体" w:hAnsi="宋体" w:eastAsia="宋体" w:cs="宋体"/>
          <w:sz w:val="24"/>
          <w:szCs w:val="24"/>
        </w:rPr>
        <w:t>《最高人民法院关于执行程序中计算迟延履行期间的债务利息适用法律若干问题的解释》第一条第三款规定，加倍部分债务利息的计算方法为：加倍部分债务利息＝债务人尚未清偿的生效法律文书确定的除一般债务利息之外的金钱债务×日万分之一点七五×迟延履行期间。</w:t>
      </w:r>
      <w:bookmarkStart w:id="0" w:name="2"/>
      <w:bookmarkEnd w:id="0"/>
      <w:r>
        <w:rPr>
          <w:rFonts w:hint="eastAsia" w:ascii="宋体" w:hAnsi="宋体" w:eastAsia="宋体" w:cs="宋体"/>
          <w:sz w:val="24"/>
          <w:szCs w:val="24"/>
        </w:rPr>
        <w:t>第二条规定，加倍部分债务利息自生效法律文书确定的履行期间届满之日起计算。</w:t>
      </w:r>
      <w:bookmarkStart w:id="1" w:name="3"/>
      <w:bookmarkEnd w:id="1"/>
      <w:r>
        <w:rPr>
          <w:rFonts w:hint="eastAsia" w:ascii="宋体" w:hAnsi="宋体" w:eastAsia="宋体" w:cs="宋体"/>
          <w:sz w:val="24"/>
          <w:szCs w:val="24"/>
        </w:rPr>
        <w:t>第三条规定，加倍部分债务利息计算至被执行人履行完毕之日。</w:t>
      </w:r>
    </w:p>
    <w:p>
      <w:pPr>
        <w:spacing w:line="480" w:lineRule="exact"/>
        <w:ind w:firstLine="360" w:firstLineChars="150"/>
        <w:rPr>
          <w:rFonts w:hint="eastAsia" w:ascii="宋体" w:hAnsi="宋体" w:eastAsia="宋体" w:cs="宋体"/>
          <w:sz w:val="24"/>
          <w:szCs w:val="24"/>
        </w:rPr>
      </w:pPr>
      <w:r>
        <w:rPr>
          <w:rFonts w:hint="eastAsia" w:ascii="宋体" w:hAnsi="宋体" w:eastAsia="宋体" w:cs="宋体"/>
          <w:sz w:val="24"/>
          <w:szCs w:val="24"/>
        </w:rPr>
        <w:t>各债权人的具体审查债权情况如下：</w:t>
      </w:r>
    </w:p>
    <w:p>
      <w:pPr>
        <w:spacing w:line="480" w:lineRule="exact"/>
        <w:ind w:firstLine="482"/>
        <w:rPr>
          <w:rFonts w:hint="eastAsia" w:ascii="宋体" w:hAnsi="宋体" w:cs="宋体"/>
          <w:b/>
          <w:sz w:val="28"/>
          <w:szCs w:val="28"/>
          <w:lang w:eastAsia="zh-CN"/>
        </w:rPr>
      </w:pPr>
      <w:r>
        <w:rPr>
          <w:rFonts w:hint="eastAsia" w:ascii="宋体" w:hAnsi="宋体" w:cs="宋体"/>
          <w:b/>
          <w:sz w:val="28"/>
          <w:szCs w:val="28"/>
          <w:lang w:eastAsia="zh-CN"/>
        </w:rPr>
        <w:t>一、福州兆鑫机电有限公司</w:t>
      </w:r>
    </w:p>
    <w:p>
      <w:pPr>
        <w:spacing w:line="480" w:lineRule="exact"/>
        <w:ind w:firstLine="482"/>
        <w:rPr>
          <w:rFonts w:hint="eastAsia" w:ascii="宋体" w:hAnsi="宋体" w:cs="宋体"/>
          <w:b w:val="0"/>
          <w:bCs/>
          <w:sz w:val="24"/>
          <w:szCs w:val="24"/>
          <w:lang w:val="en-US" w:eastAsia="zh-CN"/>
        </w:rPr>
      </w:pPr>
      <w:r>
        <w:rPr>
          <w:rFonts w:hint="eastAsia" w:ascii="宋体" w:hAnsi="宋体" w:cs="宋体"/>
          <w:b w:val="0"/>
          <w:bCs/>
          <w:sz w:val="24"/>
          <w:szCs w:val="24"/>
          <w:lang w:eastAsia="zh-CN"/>
        </w:rPr>
        <w:t>申报债权金额：</w:t>
      </w:r>
      <w:r>
        <w:rPr>
          <w:rFonts w:hint="eastAsia" w:ascii="宋体" w:hAnsi="宋体" w:cs="宋体"/>
          <w:b w:val="0"/>
          <w:bCs/>
          <w:sz w:val="24"/>
          <w:szCs w:val="24"/>
          <w:lang w:val="en-US" w:eastAsia="zh-CN"/>
        </w:rPr>
        <w:t>294516.38元，其中债权本金98831元、债权利息195685.38元。</w:t>
      </w:r>
    </w:p>
    <w:p>
      <w:pPr>
        <w:spacing w:line="480" w:lineRule="exact"/>
        <w:ind w:firstLine="482"/>
        <w:rPr>
          <w:rFonts w:hint="default" w:ascii="宋体" w:hAnsi="宋体" w:cs="宋体"/>
          <w:b w:val="0"/>
          <w:bCs/>
          <w:sz w:val="24"/>
          <w:szCs w:val="24"/>
          <w:lang w:val="en-US" w:eastAsia="zh-CN"/>
        </w:rPr>
      </w:pPr>
      <w:r>
        <w:rPr>
          <w:rFonts w:hint="eastAsia" w:ascii="宋体" w:hAnsi="宋体" w:cs="宋体"/>
          <w:b/>
          <w:bCs w:val="0"/>
          <w:sz w:val="24"/>
          <w:szCs w:val="24"/>
          <w:lang w:val="en-US" w:eastAsia="zh-CN"/>
        </w:rPr>
        <w:t>审核结论：确认债权本金98831元、债权利息74408.21元，合计173239.21元</w:t>
      </w:r>
      <w:r>
        <w:rPr>
          <w:rFonts w:hint="eastAsia" w:ascii="宋体" w:hAnsi="宋体" w:cs="宋体"/>
          <w:b w:val="0"/>
          <w:bCs/>
          <w:sz w:val="24"/>
          <w:szCs w:val="24"/>
          <w:lang w:val="en-US" w:eastAsia="zh-CN"/>
        </w:rPr>
        <w:t>。</w:t>
      </w:r>
    </w:p>
    <w:p>
      <w:pPr>
        <w:spacing w:line="480" w:lineRule="exact"/>
        <w:ind w:firstLine="482"/>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一）债权本金。《废旧家电拆解作业承揽协议》第三条明确约定拆解作业费按4.9元/台计算；第四条则约定月生产保底量为3.5万台，以及万源公司每月提供少于3.5万台的废旧电器时，按3.5万台结算拆解费。</w:t>
      </w:r>
      <w:r>
        <w:rPr>
          <w:rFonts w:hint="eastAsia" w:ascii="宋体" w:hAnsi="宋体" w:cs="宋体"/>
          <w:b/>
          <w:bCs w:val="0"/>
          <w:sz w:val="24"/>
          <w:szCs w:val="24"/>
          <w:lang w:val="en-US" w:eastAsia="zh-CN"/>
        </w:rPr>
        <w:t>结合万源公司于2018年3月6日发出的《询证函》以及财务账本</w:t>
      </w:r>
      <w:r>
        <w:rPr>
          <w:rFonts w:hint="eastAsia" w:ascii="宋体" w:hAnsi="宋体" w:cs="宋体"/>
          <w:b w:val="0"/>
          <w:bCs/>
          <w:sz w:val="24"/>
          <w:szCs w:val="24"/>
          <w:lang w:val="en-US" w:eastAsia="zh-CN"/>
        </w:rPr>
        <w:t>，可以认定万源公司尚欠福州兆鑫机电有限公司拆解费98831元。</w:t>
      </w:r>
    </w:p>
    <w:p>
      <w:pPr>
        <w:spacing w:line="480" w:lineRule="exact"/>
        <w:ind w:firstLine="482"/>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关于福州兆鑫机电有限公司申报的债权是否超过诉讼问题。根据万源公司于2018年3月6日出具的《询证函》以及福州兆鑫机电有限公司的法定代表人余广聪向万源公司股东主张拆解费的聊天记录，可以认定福州兆鑫机电有限公司申报的债权尚未超过诉讼时效。</w:t>
      </w:r>
    </w:p>
    <w:p>
      <w:pPr>
        <w:numPr>
          <w:ilvl w:val="0"/>
          <w:numId w:val="1"/>
        </w:numPr>
        <w:spacing w:line="480" w:lineRule="exact"/>
        <w:ind w:firstLine="482"/>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债权利息。《废旧家电拆解作业承揽协议》第三条明确约定拆解费分两次支付：第一次每月10日前支付上月拆解费4.6元／台；第二次申报的拆解基金补贴通过，并经环保部审核并公示后15日再支付0.3元／台。万源公司保证在200个工作日内完成申报、环保部审核并公示，否则按约定预付第二次拆解费。待审核结束后双方再按实结算。第七条约定，万源公司未按时支付拆解费等费用，每延期一天，按未支付费用总额的1</w:t>
      </w:r>
      <w:r>
        <w:rPr>
          <w:rFonts w:hint="default" w:ascii="Arial" w:hAnsi="Arial" w:cs="Arial"/>
          <w:b w:val="0"/>
          <w:bCs/>
          <w:sz w:val="24"/>
          <w:szCs w:val="24"/>
          <w:lang w:val="en-US" w:eastAsia="zh-CN"/>
        </w:rPr>
        <w:t>‰</w:t>
      </w:r>
      <w:r>
        <w:rPr>
          <w:rFonts w:hint="eastAsia" w:ascii="宋体" w:hAnsi="宋体" w:cs="宋体"/>
          <w:b w:val="0"/>
          <w:bCs/>
          <w:sz w:val="24"/>
          <w:szCs w:val="24"/>
          <w:lang w:val="en-US" w:eastAsia="zh-CN"/>
        </w:rPr>
        <w:t>支付违约金。</w:t>
      </w:r>
    </w:p>
    <w:p>
      <w:pPr>
        <w:numPr>
          <w:ilvl w:val="0"/>
          <w:numId w:val="0"/>
        </w:numPr>
        <w:spacing w:line="480" w:lineRule="exact"/>
        <w:ind w:firstLine="480"/>
        <w:rPr>
          <w:rFonts w:hint="eastAsia" w:ascii="Arial" w:hAnsi="Arial" w:cs="Arial"/>
          <w:b w:val="0"/>
          <w:bCs/>
          <w:sz w:val="24"/>
          <w:szCs w:val="24"/>
          <w:lang w:val="en-US" w:eastAsia="zh-CN"/>
        </w:rPr>
      </w:pPr>
      <w:r>
        <w:rPr>
          <w:rFonts w:hint="eastAsia" w:ascii="宋体" w:hAnsi="宋体" w:cs="宋体"/>
          <w:b w:val="0"/>
          <w:bCs/>
          <w:sz w:val="24"/>
          <w:szCs w:val="24"/>
          <w:lang w:val="en-US" w:eastAsia="zh-CN"/>
        </w:rPr>
        <w:t>关于违约金计算标准问题，协议约定每日1</w:t>
      </w:r>
      <w:r>
        <w:rPr>
          <w:rFonts w:hint="default" w:ascii="Arial" w:hAnsi="Arial" w:cs="Arial"/>
          <w:b w:val="0"/>
          <w:bCs/>
          <w:sz w:val="24"/>
          <w:szCs w:val="24"/>
          <w:lang w:val="en-US" w:eastAsia="zh-CN"/>
        </w:rPr>
        <w:t>‰</w:t>
      </w:r>
      <w:r>
        <w:rPr>
          <w:rFonts w:hint="eastAsia" w:ascii="Arial" w:hAnsi="Arial" w:cs="Arial"/>
          <w:b w:val="0"/>
          <w:bCs/>
          <w:sz w:val="24"/>
          <w:szCs w:val="24"/>
          <w:lang w:val="en-US" w:eastAsia="zh-CN"/>
        </w:rPr>
        <w:t>，标准约定过高，参考司法判例，参照民间借贷解释规定，出借人请求借款人按照合同约定利率支付利息的，人民法院应予支持，但是双方约定的利率超过合同成立时一年期贷款市场报价利率四倍的除外。前款所称“一年期贷款市场报价利率”，是指中国人民银行授权全国银行间同业拆借中心自2019年8月20日起每月发布的一年期贷款市场报价利率。2020年8月20日之后新受理的一审民间借贷案件，借贷合同成立于2020年8月20日之前，当事人请求适用当时的司法解释计算自合同成立到2020年8月19日的利息部分的，人民法院应予支持；对于自2020年8月20日到借款返还之日的利息部分，适用起诉时本规定的利率保护标准计算。</w:t>
      </w:r>
    </w:p>
    <w:p>
      <w:pPr>
        <w:numPr>
          <w:ilvl w:val="0"/>
          <w:numId w:val="0"/>
        </w:numPr>
        <w:spacing w:line="480" w:lineRule="exact"/>
        <w:ind w:firstLine="480"/>
        <w:rPr>
          <w:rFonts w:hint="eastAsia" w:ascii="Arial" w:hAnsi="Arial" w:cs="Arial"/>
          <w:b w:val="0"/>
          <w:bCs/>
          <w:sz w:val="24"/>
          <w:szCs w:val="24"/>
          <w:lang w:val="en-US" w:eastAsia="zh-CN"/>
        </w:rPr>
      </w:pPr>
      <w:r>
        <w:rPr>
          <w:rFonts w:hint="eastAsia" w:ascii="Arial" w:hAnsi="Arial" w:cs="Arial"/>
          <w:b w:val="0"/>
          <w:bCs/>
          <w:sz w:val="24"/>
          <w:szCs w:val="24"/>
          <w:lang w:val="en-US" w:eastAsia="zh-CN"/>
        </w:rPr>
        <w:t>因此，以本金98831元，从2018年3月8日起至2020年8月19日止的利息按月利率2%计算，则为58046.74元；从2020年8月20日起至2021年9月16日止的利息按一年期贷款市场报价利率四倍即年利率15.4%计算，则为  16361.47元，利息合计74408.21元。</w:t>
      </w:r>
    </w:p>
    <w:p>
      <w:pPr>
        <w:numPr>
          <w:ilvl w:val="0"/>
          <w:numId w:val="2"/>
        </w:numPr>
        <w:spacing w:line="480" w:lineRule="exact"/>
        <w:ind w:left="480" w:leftChars="0" w:firstLine="0" w:firstLineChars="0"/>
        <w:rPr>
          <w:rFonts w:hint="eastAsia" w:ascii="宋体" w:hAnsi="宋体" w:cs="宋体"/>
          <w:b w:val="0"/>
          <w:bCs/>
          <w:sz w:val="24"/>
          <w:szCs w:val="24"/>
          <w:lang w:val="en-US" w:eastAsia="zh-CN"/>
        </w:rPr>
      </w:pPr>
      <w:r>
        <w:rPr>
          <w:rFonts w:hint="eastAsia" w:ascii="宋体" w:hAnsi="宋体" w:cs="宋体"/>
          <w:b/>
          <w:bCs w:val="0"/>
          <w:sz w:val="24"/>
          <w:szCs w:val="24"/>
          <w:lang w:val="en-US" w:eastAsia="zh-CN"/>
        </w:rPr>
        <w:t>郭自强</w:t>
      </w:r>
      <w:r>
        <w:rPr>
          <w:rFonts w:hint="eastAsia" w:ascii="宋体" w:hAnsi="宋体" w:cs="宋体"/>
          <w:b w:val="0"/>
          <w:bCs/>
          <w:sz w:val="24"/>
          <w:szCs w:val="24"/>
          <w:lang w:val="en-US" w:eastAsia="zh-CN"/>
        </w:rPr>
        <w:t>（福州爱民再生资源回收有限公司股东）</w:t>
      </w:r>
    </w:p>
    <w:p>
      <w:pPr>
        <w:numPr>
          <w:ilvl w:val="0"/>
          <w:numId w:val="0"/>
        </w:numPr>
        <w:spacing w:line="480" w:lineRule="exact"/>
        <w:ind w:left="480" w:left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申报债权金额：13120元。</w:t>
      </w:r>
    </w:p>
    <w:p>
      <w:pPr>
        <w:numPr>
          <w:ilvl w:val="0"/>
          <w:numId w:val="0"/>
        </w:numPr>
        <w:spacing w:line="480" w:lineRule="exact"/>
        <w:ind w:left="480" w:leftChars="0"/>
        <w:rPr>
          <w:rFonts w:hint="eastAsia" w:ascii="宋体" w:hAnsi="宋体" w:cs="宋体"/>
          <w:b w:val="0"/>
          <w:bCs/>
          <w:sz w:val="24"/>
          <w:szCs w:val="24"/>
          <w:lang w:val="en-US" w:eastAsia="zh-CN"/>
        </w:rPr>
      </w:pPr>
      <w:r>
        <w:rPr>
          <w:rFonts w:hint="eastAsia" w:ascii="宋体" w:hAnsi="宋体" w:cs="宋体"/>
          <w:b/>
          <w:bCs w:val="0"/>
          <w:sz w:val="24"/>
          <w:szCs w:val="24"/>
          <w:lang w:val="en-US" w:eastAsia="zh-CN"/>
        </w:rPr>
        <w:t>审核结论：确认债权0元。</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审核理由：郭自强申报的是加工费，而未提供加工合同及加工费结算凭证，故不予认定。</w:t>
      </w:r>
    </w:p>
    <w:p>
      <w:pPr>
        <w:numPr>
          <w:ilvl w:val="0"/>
          <w:numId w:val="2"/>
        </w:numPr>
        <w:spacing w:line="480" w:lineRule="exact"/>
        <w:ind w:left="480" w:leftChars="0" w:firstLine="0" w:firstLineChars="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福建省宏源环境资源有限公司</w:t>
      </w:r>
    </w:p>
    <w:p>
      <w:pPr>
        <w:numPr>
          <w:ilvl w:val="0"/>
          <w:numId w:val="0"/>
        </w:numPr>
        <w:spacing w:line="480" w:lineRule="exact"/>
        <w:ind w:left="480" w:left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申报债权金额：7686000元。</w:t>
      </w:r>
    </w:p>
    <w:p>
      <w:pPr>
        <w:numPr>
          <w:ilvl w:val="0"/>
          <w:numId w:val="0"/>
        </w:numPr>
        <w:spacing w:line="480" w:lineRule="exact"/>
        <w:ind w:left="480" w:leftChars="0"/>
        <w:rPr>
          <w:rFonts w:hint="default" w:ascii="宋体" w:hAnsi="宋体" w:cs="宋体"/>
          <w:b/>
          <w:bCs w:val="0"/>
          <w:sz w:val="24"/>
          <w:szCs w:val="24"/>
          <w:lang w:val="en-US" w:eastAsia="zh-CN"/>
        </w:rPr>
      </w:pPr>
      <w:r>
        <w:rPr>
          <w:rFonts w:hint="eastAsia" w:ascii="宋体" w:hAnsi="宋体" w:cs="宋体"/>
          <w:b/>
          <w:bCs w:val="0"/>
          <w:sz w:val="24"/>
          <w:szCs w:val="24"/>
          <w:lang w:val="en-US" w:eastAsia="zh-CN"/>
        </w:rPr>
        <w:t>审核结论：确认债权5686416.29元。</w:t>
      </w:r>
    </w:p>
    <w:p>
      <w:pPr>
        <w:numPr>
          <w:ilvl w:val="0"/>
          <w:numId w:val="0"/>
        </w:numPr>
        <w:spacing w:line="480" w:lineRule="exact"/>
        <w:ind w:left="480" w:left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审核理由：2015年3月3日，福建省宏源废旧家电回收处理有限公司更名</w:t>
      </w:r>
    </w:p>
    <w:p>
      <w:pPr>
        <w:numPr>
          <w:ilvl w:val="0"/>
          <w:numId w:val="0"/>
        </w:numPr>
        <w:spacing w:line="480" w:lineRule="exac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为福建省宏源环境资源有限公司。</w:t>
      </w:r>
    </w:p>
    <w:p>
      <w:pPr>
        <w:numPr>
          <w:ilvl w:val="0"/>
          <w:numId w:val="0"/>
        </w:numPr>
        <w:spacing w:line="480" w:lineRule="exact"/>
        <w:ind w:left="480" w:left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万源公司向福建省宏源废旧家电回收处理有限公司11笔借款计7686000元：</w:t>
      </w:r>
    </w:p>
    <w:p>
      <w:pPr>
        <w:numPr>
          <w:ilvl w:val="0"/>
          <w:numId w:val="0"/>
        </w:numPr>
        <w:spacing w:line="480" w:lineRule="exact"/>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1）2013年10月9日借款30.6万元；（2）2013年12月18日借款50万元；（3）2014年1月27日借款80万元；（4）2014年4月22日借款185万元；（5）2014年8月1日借款3万元；（6）2014年8月14日借款80万元；（7）2014年8月28日借款17万元；（8）2014年8月29日借款50万元；（9）2014年9月10日借款50万元；（10）2014年12月4日借款3万元；（11）2014年12月17日借款220万元。</w:t>
      </w:r>
    </w:p>
    <w:p>
      <w:pPr>
        <w:numPr>
          <w:ilvl w:val="0"/>
          <w:numId w:val="0"/>
        </w:numPr>
        <w:spacing w:line="480" w:lineRule="exact"/>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 xml:space="preserve">     审计报告显示：2015年报告为宏源6223867.62万元；2016年报告为宏源6223867.62万元；2017年报告为宏源5484150.25元；2018年报告宏源为5484150.25元；2019年报告宏源为5532351.25元；截止2020年7月31日的专项审计报告显示，宏源</w:t>
      </w:r>
      <w:r>
        <w:rPr>
          <w:rFonts w:hint="eastAsia" w:ascii="宋体" w:hAnsi="宋体" w:cs="宋体"/>
          <w:b w:val="0"/>
          <w:bCs/>
          <w:sz w:val="24"/>
          <w:szCs w:val="24"/>
          <w:u w:val="single"/>
          <w:lang w:val="en-US" w:eastAsia="zh-CN"/>
        </w:rPr>
        <w:t>5670282.22</w:t>
      </w:r>
      <w:r>
        <w:rPr>
          <w:rFonts w:hint="eastAsia" w:ascii="宋体" w:hAnsi="宋体" w:cs="宋体"/>
          <w:b w:val="0"/>
          <w:bCs/>
          <w:sz w:val="24"/>
          <w:szCs w:val="24"/>
          <w:lang w:val="en-US" w:eastAsia="zh-CN"/>
        </w:rPr>
        <w:t>元</w:t>
      </w:r>
      <w:r>
        <w:rPr>
          <w:rFonts w:hint="eastAsia" w:ascii="宋体" w:hAnsi="宋体" w:cs="宋体"/>
          <w:b w:val="0"/>
          <w:bCs/>
          <w:sz w:val="24"/>
          <w:szCs w:val="24"/>
          <w:u w:val="single"/>
          <w:lang w:val="en-US" w:eastAsia="zh-CN"/>
        </w:rPr>
        <w:t>（其中借款为545.6万元及垫付款21.43万元）</w:t>
      </w:r>
      <w:r>
        <w:rPr>
          <w:rFonts w:hint="eastAsia" w:ascii="宋体" w:hAnsi="宋体" w:cs="宋体"/>
          <w:b w:val="0"/>
          <w:bCs/>
          <w:sz w:val="24"/>
          <w:szCs w:val="24"/>
          <w:lang w:val="en-US" w:eastAsia="zh-CN"/>
        </w:rPr>
        <w:t>；2020年度审计报告宏源公司</w:t>
      </w:r>
      <w:r>
        <w:rPr>
          <w:rFonts w:hint="eastAsia" w:ascii="宋体" w:hAnsi="宋体" w:cs="宋体"/>
          <w:b w:val="0"/>
          <w:bCs/>
          <w:sz w:val="24"/>
          <w:szCs w:val="24"/>
          <w:u w:val="single"/>
          <w:lang w:val="en-US" w:eastAsia="zh-CN"/>
        </w:rPr>
        <w:t>5686416.29元，比前一份审计报告多16134.07元。</w:t>
      </w:r>
    </w:p>
    <w:p>
      <w:pPr>
        <w:numPr>
          <w:ilvl w:val="0"/>
          <w:numId w:val="0"/>
        </w:numPr>
        <w:spacing w:line="480" w:lineRule="exact"/>
        <w:rPr>
          <w:rFonts w:hint="eastAsia" w:ascii="宋体" w:hAnsi="宋体" w:eastAsia="宋体" w:cs="宋体"/>
          <w:b w:val="0"/>
          <w:bCs/>
          <w:sz w:val="24"/>
          <w:szCs w:val="24"/>
          <w:lang w:val="en-US" w:eastAsia="zh-CN"/>
        </w:rPr>
      </w:pPr>
      <w:r>
        <w:rPr>
          <w:rFonts w:hint="eastAsia" w:ascii="宋体" w:hAnsi="宋体" w:cs="宋体"/>
          <w:b w:val="0"/>
          <w:bCs/>
          <w:sz w:val="24"/>
          <w:szCs w:val="24"/>
          <w:lang w:val="en-US" w:eastAsia="zh-CN"/>
        </w:rPr>
        <w:t xml:space="preserve">    管理人认为，宏源公司与万源公司的往来款较多，应以最后一份审计报告为准，即2020年度审计报告宏源公司5686416.29元，作为认定债权的依据。</w:t>
      </w:r>
    </w:p>
    <w:p>
      <w:pPr>
        <w:numPr>
          <w:ilvl w:val="0"/>
          <w:numId w:val="0"/>
        </w:numPr>
        <w:spacing w:line="480" w:lineRule="exact"/>
        <w:ind w:firstLine="48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四、集辰（福建）农林发展有限公司</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申报债权金额：13791424.79元，其中债权本金10712335.72元、债权利息3079089.08元。</w:t>
      </w:r>
    </w:p>
    <w:p>
      <w:pPr>
        <w:numPr>
          <w:ilvl w:val="0"/>
          <w:numId w:val="0"/>
        </w:numPr>
        <w:spacing w:line="480" w:lineRule="exact"/>
        <w:ind w:firstLine="480"/>
        <w:rPr>
          <w:rFonts w:hint="default" w:ascii="宋体" w:hAnsi="宋体" w:cs="宋体"/>
          <w:b w:val="0"/>
          <w:bCs/>
          <w:sz w:val="24"/>
          <w:szCs w:val="24"/>
          <w:lang w:val="en-US" w:eastAsia="zh-CN"/>
        </w:rPr>
      </w:pPr>
      <w:r>
        <w:rPr>
          <w:rFonts w:hint="eastAsia" w:ascii="宋体" w:hAnsi="宋体" w:cs="宋体"/>
          <w:b/>
          <w:bCs w:val="0"/>
          <w:sz w:val="24"/>
          <w:szCs w:val="24"/>
          <w:lang w:val="en-US" w:eastAsia="zh-CN"/>
        </w:rPr>
        <w:t>审核结论：债权本金4323550.32元，违约金1089025.33元,合计5412575.65元。</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（一）房租：1827894.49元。</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1、租金计算期限：2015年10月1日-2017年12月31日。</w:t>
      </w:r>
    </w:p>
    <w:p>
      <w:pPr>
        <w:numPr>
          <w:ilvl w:val="0"/>
          <w:numId w:val="0"/>
        </w:numPr>
        <w:spacing w:line="480" w:lineRule="exact"/>
        <w:ind w:firstLine="48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2012年6月28日，万源公司与集辰公司签订《厂房租赁合同》，约定租赁期限15年：2012年7月1日至2027年6月30日，租赁物占地面积20000平方米，钢构厂房建筑面积约10000平方米。合同第三条约定，仅收取钢构厂房租金，租金单价12元/月/平方米，租金单价每满5年作一次调整，在原来基础上递增5%。乙方须向甲方交付履约保证金12万元。租金按季度缴纳，在每季度第一个月的15日前凭甲方提供的租金发票支付。第七条，乙方应按时向甲方支付租金，每逾期一日，按月租金的百分之一向甲方支付违约金。</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2014年1月1日，万源公司与集辰公司签订《厂房租赁合同》，租赁期限三个月，租期从2014年1月1日到2014年3月31日，租赁面积：4号厂房10618.332平方米、5号厂房3671平方米，租金共20万元整。</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2014年4月1日，万源公司与集辰公司签订《厂房租赁合同》，租赁期限9个月，租期从2014年4月1日到2014年12月31日，租赁面积：4号厂房10618.332平方米、5号厂房3671平方米，租金共36万元整。</w:t>
      </w:r>
    </w:p>
    <w:p>
      <w:pPr>
        <w:numPr>
          <w:ilvl w:val="0"/>
          <w:numId w:val="0"/>
        </w:numPr>
        <w:spacing w:line="480" w:lineRule="exact"/>
        <w:ind w:firstLine="48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2015年1月1日，万源公司与集辰公司签订《厂房、办公室、宿舍租赁合同》，租赁期限12个月，租期从2015年1月1日到2015年12月31日，租赁面积14651.532平方米（4/5号厂房、宿舍、办公室），租金6元/平方米。水电等相关资费按自来水公司、电业局的收费标准收取，每季度第一个月的15日前凭甲方提供的发票支付租金。第七条，乙方应按时向甲方支付租金，每逾期一日，按月租金的百分之一向甲方支付违约金。</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2015年11月27日，万源公司支付2015年7-9月房租210982.00元。</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2017年11月19日，集辰公司所述的位于沙县金谷金属加工集中区U地块A、B、C、D地块1/2/3/4工业房地产及A/B/C/D土地使用权被沙县人民法院拍卖，由福建省沙县国有资产管理经营有限公司竞得。</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综上，2015年11月27日，万源公司支付2015年7-9月房租210982.00元，说明2015年9月30日之前的租金已经交纳。我们认为，2015年1月1日万源公司与集辰公司签订的《厂房、办公室、宿舍租赁合同》，可作为认定事实的依据，依据该份合同，租金是按季度交纳，所以2015年10月15日应交纳2015年10月1日至2015年12月31日前的租金，从而认定万源公司拖欠集辰公司2015年10月1日至2017年12月31日期间的租金。</w:t>
      </w:r>
    </w:p>
    <w:p>
      <w:pPr>
        <w:numPr>
          <w:ilvl w:val="0"/>
          <w:numId w:val="0"/>
        </w:numPr>
        <w:spacing w:line="480" w:lineRule="exact"/>
        <w:ind w:firstLine="720" w:firstLineChars="3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2、拖欠租金：</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 xml:space="preserve"> 以最后一次交纳租金的标准，即2015年11月27日万源公司支付2015年7-9月的房租210982.00元，租金每季度210982.00元。2015年10月1日至2017年12月31日期间的租金*9个季度=210982.00元*9个季度=1898838元。</w:t>
      </w:r>
    </w:p>
    <w:p>
      <w:pPr>
        <w:numPr>
          <w:ilvl w:val="0"/>
          <w:numId w:val="0"/>
        </w:numPr>
        <w:spacing w:line="480" w:lineRule="exact"/>
        <w:ind w:firstLine="480"/>
        <w:rPr>
          <w:rFonts w:hint="eastAsia" w:ascii="宋体" w:hAnsi="宋体" w:cs="宋体"/>
          <w:b w:val="0"/>
          <w:bCs/>
          <w:sz w:val="24"/>
          <w:szCs w:val="24"/>
          <w:lang w:val="en-US" w:eastAsia="zh-CN"/>
        </w:rPr>
      </w:pPr>
      <w:r>
        <w:rPr>
          <w:rFonts w:hint="default" w:ascii="宋体" w:hAnsi="宋体" w:cs="宋体"/>
          <w:b w:val="0"/>
          <w:bCs/>
          <w:sz w:val="24"/>
          <w:szCs w:val="24"/>
          <w:lang w:val="en-US" w:eastAsia="zh-CN"/>
        </w:rPr>
        <w:t>2017年1月16日</w:t>
      </w:r>
      <w:r>
        <w:rPr>
          <w:rFonts w:hint="eastAsia" w:ascii="宋体" w:hAnsi="宋体" w:cs="宋体"/>
          <w:b w:val="0"/>
          <w:bCs/>
          <w:sz w:val="24"/>
          <w:szCs w:val="24"/>
          <w:lang w:val="en-US" w:eastAsia="zh-CN"/>
        </w:rPr>
        <w:t>万源公司</w:t>
      </w:r>
      <w:r>
        <w:rPr>
          <w:rFonts w:hint="default" w:ascii="宋体" w:hAnsi="宋体" w:cs="宋体"/>
          <w:b w:val="0"/>
          <w:bCs/>
          <w:sz w:val="24"/>
          <w:szCs w:val="24"/>
          <w:lang w:val="en-US" w:eastAsia="zh-CN"/>
        </w:rPr>
        <w:t>支付2015年9月至2016年12月水电费229056.49元，付房租70943.51元，合计30万元</w:t>
      </w:r>
      <w:r>
        <w:rPr>
          <w:rFonts w:hint="eastAsia" w:ascii="宋体" w:hAnsi="宋体" w:cs="宋体"/>
          <w:b w:val="0"/>
          <w:bCs/>
          <w:sz w:val="24"/>
          <w:szCs w:val="24"/>
          <w:lang w:val="en-US" w:eastAsia="zh-CN"/>
        </w:rPr>
        <w:t>，故应扣除已经支付的房租</w:t>
      </w:r>
      <w:r>
        <w:rPr>
          <w:rFonts w:hint="default" w:ascii="宋体" w:hAnsi="宋体" w:cs="宋体"/>
          <w:b w:val="0"/>
          <w:bCs/>
          <w:sz w:val="24"/>
          <w:szCs w:val="24"/>
          <w:lang w:val="en-US" w:eastAsia="zh-CN"/>
        </w:rPr>
        <w:t>70943.51元</w:t>
      </w:r>
      <w:r>
        <w:rPr>
          <w:rFonts w:hint="eastAsia" w:ascii="宋体" w:hAnsi="宋体" w:cs="宋体"/>
          <w:b w:val="0"/>
          <w:bCs/>
          <w:sz w:val="24"/>
          <w:szCs w:val="24"/>
          <w:lang w:val="en-US" w:eastAsia="zh-CN"/>
        </w:rPr>
        <w:t>，剩余房租为1827894.49元。</w:t>
      </w:r>
    </w:p>
    <w:p>
      <w:pPr>
        <w:numPr>
          <w:ilvl w:val="0"/>
          <w:numId w:val="0"/>
        </w:numPr>
        <w:spacing w:line="480" w:lineRule="exact"/>
        <w:ind w:firstLine="48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（二）房租违约金：1089025.33元。</w:t>
      </w:r>
    </w:p>
    <w:p>
      <w:pPr>
        <w:numPr>
          <w:ilvl w:val="0"/>
          <w:numId w:val="0"/>
        </w:numPr>
        <w:spacing w:line="480" w:lineRule="exact"/>
        <w:ind w:firstLine="48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根据集辰公司提交的《万源房租违约金计算表》，集辰公司按月利率1%计算违约金，则计算出来的违约金为1089025.33元（具体详见集辰公司租金的违约金计算一览表）</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firstLine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三）水电费：第3.3条款约定，租金按季度缴纳，乙方在每季度第一个月的15日内前凭甲方提供的发票向甲方支付租金；水电费用按月缴纳，乙方在每月10日之前凭水电部门的收费发票及甲方提供的相关票据将上月水、电费用支付给甲方。</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200"/>
        <w:textAlignment w:val="auto"/>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其一、集辰公司未提供水电费发票，以证实水电费开支情况。</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eastAsia"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其二、2017年1月16日支付2015年9月至2016年12月水电费229056.49元，付房租70943.51元，</w:t>
      </w:r>
      <w:r>
        <w:rPr>
          <w:rFonts w:hint="eastAsia" w:ascii="宋体" w:hAnsi="宋体" w:cs="宋体"/>
          <w:b w:val="0"/>
          <w:bCs/>
          <w:color w:val="auto"/>
          <w:sz w:val="24"/>
          <w:szCs w:val="24"/>
          <w:u w:val="single"/>
          <w:lang w:val="en-US" w:eastAsia="zh-CN"/>
        </w:rPr>
        <w:t>合计30万元</w:t>
      </w:r>
      <w:r>
        <w:rPr>
          <w:rFonts w:hint="eastAsia" w:ascii="宋体" w:hAnsi="宋体" w:cs="宋体"/>
          <w:b w:val="0"/>
          <w:bCs/>
          <w:color w:val="auto"/>
          <w:sz w:val="24"/>
          <w:szCs w:val="24"/>
          <w:lang w:val="en-US" w:eastAsia="zh-CN"/>
        </w:rPr>
        <w:t>。说明2015年9月至2016年12月期间的水电费已经支付；</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leftChars="0" w:firstLine="480" w:firstLineChars="200"/>
        <w:textAlignment w:val="auto"/>
        <w:rPr>
          <w:rFonts w:hint="default"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其二、公司在2017年至2018年2月期间，处于生产期间，产生一定的水电费在所难免。故2017年和2018年的水电费，可酌情采信集辰公司的主张，即两年的水费14742元，电费108220.35元计122962.35元。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textAlignment w:val="auto"/>
        <w:rPr>
          <w:rFonts w:hint="eastAsia"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其三、万源公司已经于2018年2月停产，不可能在之后会产生如何巨大的水电费。但公司的保安室处于正常运转中，需要水电费；车间的监控室也要用电，维护监控设备的运转。故可考虑酌情确定。</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textAlignment w:val="auto"/>
        <w:rPr>
          <w:rFonts w:hint="eastAsia"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用水方面，只有保安室生活用水，以2019年1至9月的每季度平均水费26.6元计算较为合理，超过部分不予支持。故2019年1月至2021年7月，10个季度，每个季度为26.6元，合计266元；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textAlignment w:val="auto"/>
        <w:rPr>
          <w:rFonts w:hint="eastAsia"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用电方面，也只有保安室和车间监控室用电，以最少的2021年2月-3月用电量2266.28元/月计算，则1133.14元/月计算，31个月，每月1133.14元，合计35127.34元。</w:t>
      </w:r>
    </w:p>
    <w:p>
      <w:pPr>
        <w:keepNext w:val="0"/>
        <w:keepLines w:val="0"/>
        <w:pageBreakBefore w:val="0"/>
        <w:widowControl w:val="0"/>
        <w:numPr>
          <w:ilvl w:val="0"/>
          <w:numId w:val="0"/>
        </w:numPr>
        <w:kinsoku/>
        <w:wordWrap/>
        <w:overflowPunct/>
        <w:topLinePunct w:val="0"/>
        <w:autoSpaceDE/>
        <w:autoSpaceDN/>
        <w:bidi w:val="0"/>
        <w:adjustRightInd/>
        <w:snapToGrid/>
        <w:spacing w:line="480" w:lineRule="exact"/>
        <w:ind w:firstLine="480"/>
        <w:textAlignment w:val="auto"/>
        <w:rPr>
          <w:rFonts w:hint="default" w:ascii="宋体" w:hAnsi="宋体" w:cs="宋体"/>
          <w:b w:val="0"/>
          <w:bCs/>
          <w:color w:val="auto"/>
          <w:sz w:val="24"/>
          <w:szCs w:val="24"/>
          <w:lang w:val="en-US" w:eastAsia="zh-CN"/>
        </w:rPr>
      </w:pPr>
      <w:r>
        <w:rPr>
          <w:rFonts w:hint="eastAsia" w:ascii="宋体" w:hAnsi="宋体" w:cs="宋体"/>
          <w:b w:val="0"/>
          <w:bCs/>
          <w:color w:val="auto"/>
          <w:sz w:val="24"/>
          <w:szCs w:val="24"/>
          <w:lang w:val="en-US" w:eastAsia="zh-CN"/>
        </w:rPr>
        <w:t>故，水费确定为14742元+266元=15008元/月，电费108220.35元+35127.34元=143347.69元，水电费合计158355.69元。</w:t>
      </w:r>
    </w:p>
    <w:p>
      <w:pPr>
        <w:numPr>
          <w:ilvl w:val="0"/>
          <w:numId w:val="0"/>
        </w:numPr>
        <w:spacing w:line="480" w:lineRule="exact"/>
        <w:ind w:left="482" w:left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（四）领料：5300.14元。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万源公司会计可以证实，且2021年1月30日的企业询证函，万源公司已经盖章确认，故可予支持。</w:t>
      </w:r>
    </w:p>
    <w:p>
      <w:pPr>
        <w:numPr>
          <w:ilvl w:val="0"/>
          <w:numId w:val="0"/>
        </w:numPr>
        <w:spacing w:line="480" w:lineRule="exact"/>
        <w:ind w:left="482" w:leftChars="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（五）借款：233.20万元。</w:t>
      </w:r>
    </w:p>
    <w:p>
      <w:pPr>
        <w:numPr>
          <w:ilvl w:val="0"/>
          <w:numId w:val="3"/>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经查原始凭证共六笔，2013年1月17日58000元（投资款），2013年10月11日174000元；2014年5月16日500000元（追加投资款）；2014年9月26日借款100万元（投资款50万元，追加投资款50万元），2014年9月28日借款50万元（追加投资款），2014年11月5日借款10万元（追加投资款）。合计233.20万元。</w:t>
      </w:r>
    </w:p>
    <w:p>
      <w:pPr>
        <w:numPr>
          <w:ilvl w:val="0"/>
          <w:numId w:val="3"/>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结合审计报告，2015年报告为集辰2332000元；2016年报告为集辰2332000元；2017年报告为集辰5415439.51元；2018年报告集辰5415439.51元；2019年报告集辰6848689.37元；截止2020年7月31日的专项审计报告显示，集辰9078285元（借款233.2万元，房租水电费674.63万元）；2020年度审计报告集辰9665472.13元。可以认定借款233.2万元没有清偿：</w:t>
      </w:r>
    </w:p>
    <w:p>
      <w:pPr>
        <w:numPr>
          <w:ilvl w:val="0"/>
          <w:numId w:val="3"/>
        </w:numPr>
        <w:spacing w:line="480" w:lineRule="exact"/>
        <w:ind w:left="0" w:leftChars="0"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集辰公司将水电费和房租费等与借款混同，不妥，应予以区分。</w:t>
      </w:r>
    </w:p>
    <w:p>
      <w:pPr>
        <w:numPr>
          <w:ilvl w:val="0"/>
          <w:numId w:val="0"/>
        </w:numPr>
        <w:spacing w:line="480" w:lineRule="exact"/>
        <w:ind w:left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（六）借款利息：0元。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集辰公司未提供证据证明双方之间有约定借款利息，根据法律规定，应为无息借贷，故不予确认借款利息。</w:t>
      </w:r>
    </w:p>
    <w:p>
      <w:pPr>
        <w:numPr>
          <w:ilvl w:val="0"/>
          <w:numId w:val="0"/>
        </w:numPr>
        <w:spacing w:line="480" w:lineRule="exact"/>
        <w:ind w:firstLine="482" w:firstLineChars="20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五、福建省物资（集团）有限责任公司</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申报债权金额：23737347.59元，其中债权本金19173314.68元、债权利息4564032.91元。</w:t>
      </w:r>
    </w:p>
    <w:p>
      <w:pPr>
        <w:numPr>
          <w:ilvl w:val="0"/>
          <w:numId w:val="0"/>
        </w:numPr>
        <w:spacing w:line="480" w:lineRule="exact"/>
        <w:ind w:firstLine="482" w:firstLineChars="200"/>
        <w:rPr>
          <w:rFonts w:hint="default" w:ascii="宋体" w:hAnsi="宋体" w:cs="宋体"/>
          <w:b/>
          <w:bCs w:val="0"/>
          <w:sz w:val="24"/>
          <w:szCs w:val="24"/>
          <w:lang w:val="en-US" w:eastAsia="zh-CN"/>
        </w:rPr>
      </w:pPr>
      <w:r>
        <w:rPr>
          <w:rFonts w:hint="eastAsia" w:ascii="宋体" w:hAnsi="宋体" w:cs="宋体"/>
          <w:b/>
          <w:bCs w:val="0"/>
          <w:sz w:val="24"/>
          <w:szCs w:val="24"/>
          <w:lang w:val="en-US" w:eastAsia="zh-CN"/>
        </w:rPr>
        <w:t>审核结论：债权本金18593997.97元、债权利息4331888.40元。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1、（2018）闽0102民初8968号民事判决书：万源公司偿还借款本金20000000元及利息5234666.68元（暂计至2018年7月11日，之后至还清之日止的利息按月利率1%计算）；赔偿律师代理费损失8万元；公告费560元、财产保全费5000元；2、（2019）闽01民终7061号民事判决书：维持（2018）闽0102民初8968号民事判决第一、二、三、四项判决。</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（一）尚欠借款本息计算如下：</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1、2020年2月28日-2020年3月16日，共还款9500000元。根据生效判决，2018年7月12至2020年3月16日期间、按月利率1%计算的利息为4026666.67元。至2020年3月16日时，结欠借款利息9261333.35元，扣除已付9500000元，剩余238666.65元用于偿还借款本金，尚欠借款本金19761333.35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2、2020年7月6日还款1970910.49元。2020年3月17日-2020年7月6日期间、按月利率1%计算的利息为717995.11元，扣除已付1970910.49元，剩余1252915.38元用于偿还借款本金，尚欠借款本金18508417.97元。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3、2020年10月19日还款150000元。2020年7月7日-2020年10月19日期间、按月利率1%计算的利息为629286.21元，扣除已付150000元，尚欠借款利息479286.21元、借款本金18508417.97元。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4、2020年10月20日至2021年9月16日期间、按月利率1%计算的利息为2017417.56元。</w:t>
      </w:r>
    </w:p>
    <w:p>
      <w:pPr>
        <w:numPr>
          <w:ilvl w:val="0"/>
          <w:numId w:val="0"/>
        </w:numPr>
        <w:spacing w:line="480" w:lineRule="exact"/>
        <w:ind w:firstLine="480" w:firstLineChars="20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综上，可以确认万源公司尚欠物资集团借款借款本金18508417.9元，利息2497645.77元（479286.21元+2017417.56元=2496703.77元）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（二）予以确认律师费80000元、财产保全费5000元、公告费560元。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（三）迟延履行期间的债务利息。</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（2019）闽01民终7061号民事判决书的生效时间为2020年2月24日，履行期为生效后十日即2020年3月5日。</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1、2020年3月6日-2020年3月16日期间的迟延履行债务利息为34722.33元；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2、2020年3月17日-2020年7月6日期间的迟延履行债务利息为364777.68元；</w:t>
      </w:r>
    </w:p>
    <w:p>
      <w:pPr>
        <w:numPr>
          <w:ilvl w:val="0"/>
          <w:numId w:val="0"/>
        </w:numPr>
        <w:spacing w:line="480" w:lineRule="exact"/>
        <w:ind w:firstLine="480" w:firstLineChars="20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3、2020年7月7日-2021年9月16日期间的迟延履行债务利息为1435684.62元。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以上小计迟延履行期间的债务利息1835184.63元。</w:t>
      </w:r>
    </w:p>
    <w:p>
      <w:pPr>
        <w:numPr>
          <w:ilvl w:val="0"/>
          <w:numId w:val="0"/>
        </w:numPr>
        <w:spacing w:line="480" w:lineRule="exact"/>
        <w:ind w:firstLine="480" w:firstLineChars="20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认定本金为借款本金18508417.97元+律师费80000元+财产保全费5000元+公告费560元=18593977.97元，利息为借款利息2496703.77元+迟延履行期间的债务利息1835184.63元=4331888.40元。</w:t>
      </w:r>
    </w:p>
    <w:p>
      <w:pPr>
        <w:numPr>
          <w:ilvl w:val="0"/>
          <w:numId w:val="0"/>
        </w:numPr>
        <w:spacing w:line="480" w:lineRule="exact"/>
        <w:ind w:firstLine="482" w:firstLineChars="20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六、郑发金</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申报债权金额：2272943.61元，其中债权本金1000000元、债权利息1272943.61元。</w:t>
      </w:r>
    </w:p>
    <w:p>
      <w:pPr>
        <w:numPr>
          <w:ilvl w:val="0"/>
          <w:numId w:val="0"/>
        </w:numPr>
        <w:spacing w:line="480" w:lineRule="exact"/>
        <w:ind w:firstLine="482" w:firstLineChars="20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审核结论：1160000元。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审核理由：结合汇兑来账凭证（回单）以及万源公司的《会计凭证》，以及审计报告，可以确认万源公司尚欠郑发金借款本金1160000元。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对于借款利息，郑发金未提供证据证明有约定借款利息，根据相关法律规定，应视为无息借贷，故不予确认借款利息。</w:t>
      </w:r>
    </w:p>
    <w:p>
      <w:pPr>
        <w:numPr>
          <w:ilvl w:val="0"/>
          <w:numId w:val="0"/>
        </w:numPr>
        <w:spacing w:line="480" w:lineRule="exact"/>
        <w:ind w:firstLine="482" w:firstLineChars="20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七、黄春榕</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申报债权金额：368492.89元，其中债权本金160000元、债权利息208492.89元。</w:t>
      </w:r>
    </w:p>
    <w:p>
      <w:pPr>
        <w:numPr>
          <w:ilvl w:val="0"/>
          <w:numId w:val="0"/>
        </w:numPr>
        <w:spacing w:line="480" w:lineRule="exact"/>
        <w:ind w:firstLine="482" w:firstLineChars="200"/>
        <w:rPr>
          <w:rFonts w:hint="eastAsia" w:ascii="宋体" w:hAnsi="宋体" w:cs="宋体"/>
          <w:b/>
          <w:bCs w:val="0"/>
          <w:sz w:val="24"/>
          <w:szCs w:val="24"/>
          <w:lang w:val="en-US" w:eastAsia="zh-CN"/>
        </w:rPr>
      </w:pPr>
      <w:r>
        <w:rPr>
          <w:rFonts w:hint="eastAsia" w:ascii="宋体" w:hAnsi="宋体" w:cs="宋体"/>
          <w:b/>
          <w:bCs w:val="0"/>
          <w:sz w:val="24"/>
          <w:szCs w:val="24"/>
          <w:lang w:val="en-US" w:eastAsia="zh-CN"/>
        </w:rPr>
        <w:t>审核结论：不予确认。</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审核理由：根据万源公司的《会计凭证》所附郑发金出具的《委托书》，黄春榕于2013年7月9日转账至万源公司的款项系受郑发金委托，结合会计凭证载明的内容，不宜确认万源公司尚欠黄春榕借款本金40000元。</w:t>
      </w:r>
    </w:p>
    <w:p>
      <w:pPr>
        <w:numPr>
          <w:ilvl w:val="0"/>
          <w:numId w:val="0"/>
        </w:numPr>
        <w:spacing w:line="480" w:lineRule="exact"/>
        <w:ind w:firstLine="480" w:firstLineChars="200"/>
        <w:rPr>
          <w:rFonts w:hint="default" w:ascii="宋体" w:hAnsi="宋体" w:cs="宋体"/>
          <w:b w:val="0"/>
          <w:bCs/>
          <w:sz w:val="24"/>
          <w:szCs w:val="24"/>
          <w:lang w:val="en-US" w:eastAsia="zh-CN"/>
        </w:rPr>
      </w:pPr>
      <w:r>
        <w:rPr>
          <w:rFonts w:hint="eastAsia" w:ascii="宋体" w:hAnsi="宋体" w:cs="宋体"/>
          <w:b w:val="0"/>
          <w:bCs/>
          <w:sz w:val="24"/>
          <w:szCs w:val="24"/>
          <w:lang w:val="en-US" w:eastAsia="zh-CN"/>
        </w:rPr>
        <w:t>根据万源公司的会计凭证，除业务回单（收款）外，均体现是万源公司向股东郑发金借款，结合2013年7月8日郑发金出具的《委托书》，同样不宜确认万源公司尚欠黄春榕借款本金120000元。结合审计报告，建议其与郑发金合并申报债权。</w:t>
      </w:r>
    </w:p>
    <w:p>
      <w:pPr>
        <w:numPr>
          <w:ilvl w:val="0"/>
          <w:numId w:val="0"/>
        </w:numPr>
        <w:spacing w:line="480" w:lineRule="exact"/>
        <w:ind w:firstLine="480" w:firstLineChars="200"/>
        <w:rPr>
          <w:rFonts w:hint="eastAsia" w:ascii="宋体" w:hAnsi="宋体" w:cs="宋体"/>
          <w:b w:val="0"/>
          <w:bCs/>
          <w:sz w:val="24"/>
          <w:szCs w:val="24"/>
          <w:lang w:val="en-US" w:eastAsia="zh-CN"/>
        </w:rPr>
      </w:pPr>
      <w:r>
        <w:rPr>
          <w:rFonts w:hint="eastAsia" w:ascii="宋体" w:hAnsi="宋体" w:cs="宋体"/>
          <w:b w:val="0"/>
          <w:bCs/>
          <w:sz w:val="24"/>
          <w:szCs w:val="24"/>
          <w:lang w:val="en-US" w:eastAsia="zh-CN"/>
        </w:rPr>
        <w:t>对于借款利息，未提供证据证明有约定借款利息，根据相关法律规定，应视为无息借贷，故不予确认借款利息。</w:t>
      </w:r>
    </w:p>
    <w:p>
      <w:pPr>
        <w:spacing w:line="480" w:lineRule="exact"/>
        <w:ind w:firstLine="482"/>
        <w:rPr>
          <w:rFonts w:hint="eastAsia" w:ascii="宋体" w:hAnsi="宋体" w:eastAsia="宋体" w:cs="宋体"/>
          <w:b/>
          <w:sz w:val="24"/>
          <w:szCs w:val="24"/>
        </w:rPr>
      </w:pPr>
      <w:r>
        <w:rPr>
          <w:rFonts w:hint="eastAsia" w:ascii="宋体" w:hAnsi="宋体" w:eastAsia="宋体" w:cs="宋体"/>
          <w:b/>
          <w:sz w:val="24"/>
          <w:szCs w:val="24"/>
        </w:rPr>
        <w:t>特别提醒：管理人将编制的债权表提交第一次债权人会议核查，债务人、债权人对债权表记载的债权无异议的，由三明市中级人民法院裁定确认；债务人、债权人对债权表记载的债权有异议的，可以在第一次债权人会议召开次日起五日内向管理人提出书面异议及复核申请，管理人复核后债权人仍有异议的，可自收到管理人复核结果次日起十五日内向三明市中级人民法院提起诉讼。债权人也可不经向管理人申请复核，自本会议召开次日起十五日内，直接向三明市中级人民法院提起诉讼。债权人逾期既未向管理人提出异议及复核申请也未向三明市中级人民法院直接提起诉讼的，视为对债权表记载的债权无异议。</w:t>
      </w:r>
    </w:p>
    <w:p>
      <w:pPr>
        <w:spacing w:line="480" w:lineRule="exact"/>
        <w:ind w:firstLine="480" w:firstLineChars="200"/>
        <w:rPr>
          <w:rFonts w:hint="eastAsia" w:ascii="宋体" w:hAnsi="宋体" w:eastAsia="宋体" w:cs="宋体"/>
          <w:sz w:val="24"/>
          <w:szCs w:val="24"/>
        </w:rPr>
      </w:pPr>
      <w:r>
        <w:rPr>
          <w:rFonts w:hint="eastAsia" w:ascii="宋体" w:hAnsi="宋体" w:eastAsia="宋体" w:cs="宋体"/>
          <w:sz w:val="24"/>
          <w:szCs w:val="24"/>
        </w:rPr>
        <w:t>特此说明。</w:t>
      </w:r>
    </w:p>
    <w:p>
      <w:pPr>
        <w:spacing w:line="480" w:lineRule="exact"/>
        <w:ind w:firstLine="480" w:firstLineChars="200"/>
        <w:jc w:val="right"/>
        <w:rPr>
          <w:rFonts w:hint="eastAsia" w:ascii="宋体" w:hAnsi="宋体" w:eastAsia="宋体" w:cs="宋体"/>
          <w:sz w:val="24"/>
          <w:szCs w:val="24"/>
        </w:rPr>
      </w:pPr>
      <w:r>
        <w:rPr>
          <w:rFonts w:hint="eastAsia" w:ascii="宋体" w:hAnsi="宋体" w:eastAsia="宋体" w:cs="宋体"/>
          <w:sz w:val="24"/>
          <w:szCs w:val="24"/>
          <w:lang w:eastAsia="zh-CN"/>
        </w:rPr>
        <w:t>三明市万源再生资源</w:t>
      </w:r>
      <w:r>
        <w:rPr>
          <w:rFonts w:hint="eastAsia" w:ascii="宋体" w:hAnsi="宋体" w:eastAsia="宋体" w:cs="宋体"/>
          <w:sz w:val="24"/>
          <w:szCs w:val="24"/>
        </w:rPr>
        <w:t>有限公司破产管理人</w:t>
      </w:r>
    </w:p>
    <w:p>
      <w:pPr>
        <w:spacing w:line="480" w:lineRule="exact"/>
        <w:ind w:firstLine="480" w:firstLineChars="200"/>
        <w:jc w:val="right"/>
        <w:rPr>
          <w:rFonts w:hint="eastAsia" w:ascii="宋体" w:hAnsi="宋体" w:eastAsia="宋体" w:cs="宋体"/>
          <w:sz w:val="24"/>
          <w:szCs w:val="24"/>
        </w:rPr>
      </w:pPr>
      <w:r>
        <w:rPr>
          <w:rFonts w:hint="eastAsia" w:ascii="宋体" w:hAnsi="宋体" w:eastAsia="宋体" w:cs="宋体"/>
          <w:sz w:val="24"/>
          <w:szCs w:val="24"/>
        </w:rPr>
        <w:t>20</w:t>
      </w:r>
      <w:r>
        <w:rPr>
          <w:rFonts w:hint="eastAsia" w:ascii="宋体" w:hAnsi="宋体" w:eastAsia="宋体" w:cs="宋体"/>
          <w:sz w:val="24"/>
          <w:szCs w:val="24"/>
          <w:lang w:val="en-US" w:eastAsia="zh-CN"/>
        </w:rPr>
        <w:t>21</w:t>
      </w:r>
      <w:r>
        <w:rPr>
          <w:rFonts w:hint="eastAsia" w:ascii="宋体" w:hAnsi="宋体" w:eastAsia="宋体" w:cs="宋体"/>
          <w:sz w:val="24"/>
          <w:szCs w:val="24"/>
        </w:rPr>
        <w:t>年</w:t>
      </w:r>
      <w:r>
        <w:rPr>
          <w:rFonts w:hint="eastAsia" w:ascii="宋体" w:hAnsi="宋体" w:cs="宋体"/>
          <w:sz w:val="24"/>
          <w:szCs w:val="24"/>
          <w:lang w:val="en-US" w:eastAsia="zh-CN"/>
        </w:rPr>
        <w:t>12</w:t>
      </w:r>
      <w:r>
        <w:rPr>
          <w:rFonts w:hint="eastAsia" w:ascii="宋体" w:hAnsi="宋体" w:eastAsia="宋体" w:cs="宋体"/>
          <w:sz w:val="24"/>
          <w:szCs w:val="24"/>
        </w:rPr>
        <w:t>月</w:t>
      </w:r>
      <w:r>
        <w:rPr>
          <w:rFonts w:hint="eastAsia" w:ascii="宋体" w:hAnsi="宋体" w:cs="宋体"/>
          <w:sz w:val="24"/>
          <w:szCs w:val="24"/>
          <w:lang w:val="en-US" w:eastAsia="zh-CN"/>
        </w:rPr>
        <w:t>6</w:t>
      </w:r>
      <w:r>
        <w:rPr>
          <w:rFonts w:hint="eastAsia" w:ascii="宋体" w:hAnsi="宋体" w:eastAsia="宋体" w:cs="宋体"/>
          <w:sz w:val="24"/>
          <w:szCs w:val="24"/>
        </w:rPr>
        <w:t>日</w:t>
      </w:r>
    </w:p>
    <w:p>
      <w:pPr>
        <w:spacing w:line="480" w:lineRule="exact"/>
        <w:rPr>
          <w:rFonts w:hint="eastAsia" w:ascii="宋体" w:hAnsi="宋体" w:eastAsia="宋体" w:cs="宋体"/>
          <w:sz w:val="24"/>
          <w:szCs w:val="24"/>
        </w:rPr>
      </w:pPr>
    </w:p>
    <w:sectPr>
      <w:footerReference r:id="rId3"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jc w:val="center"/>
    </w:pPr>
    <w:r>
      <w:fldChar w:fldCharType="begin"/>
    </w:r>
    <w:r>
      <w:instrText xml:space="preserve"> PAGE   \* MERGEFORMAT </w:instrText>
    </w:r>
    <w:r>
      <w:fldChar w:fldCharType="separate"/>
    </w:r>
    <w:r>
      <w:rPr>
        <w:lang w:val="zh-CN"/>
      </w:rPr>
      <w:t>11</w:t>
    </w:r>
    <w:r>
      <w:rPr>
        <w:lang w:val="zh-CN"/>
      </w:rPr>
      <w:fldChar w:fldCharType="end"/>
    </w:r>
  </w:p>
  <w:p>
    <w:pPr>
      <w:pStyle w:val="3"/>
    </w:pP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BA85DCE"/>
    <w:multiLevelType w:val="singleLevel"/>
    <w:tmpl w:val="BBA85DCE"/>
    <w:lvl w:ilvl="0" w:tentative="0">
      <w:start w:val="1"/>
      <w:numFmt w:val="decimal"/>
      <w:suff w:val="nothing"/>
      <w:lvlText w:val="%1、"/>
      <w:lvlJc w:val="left"/>
    </w:lvl>
  </w:abstractNum>
  <w:abstractNum w:abstractNumId="1">
    <w:nsid w:val="D9F975C7"/>
    <w:multiLevelType w:val="singleLevel"/>
    <w:tmpl w:val="D9F975C7"/>
    <w:lvl w:ilvl="0" w:tentative="0">
      <w:start w:val="2"/>
      <w:numFmt w:val="chineseCounting"/>
      <w:suff w:val="nothing"/>
      <w:lvlText w:val="（%1）"/>
      <w:lvlJc w:val="left"/>
      <w:rPr>
        <w:rFonts w:hint="eastAsia"/>
      </w:rPr>
    </w:lvl>
  </w:abstractNum>
  <w:abstractNum w:abstractNumId="2">
    <w:nsid w:val="0A96A72F"/>
    <w:multiLevelType w:val="singleLevel"/>
    <w:tmpl w:val="0A96A72F"/>
    <w:lvl w:ilvl="0" w:tentative="0">
      <w:start w:val="2"/>
      <w:numFmt w:val="chineseCounting"/>
      <w:suff w:val="nothing"/>
      <w:lvlText w:val="%1、"/>
      <w:lvlJc w:val="left"/>
      <w:pPr>
        <w:ind w:left="480" w:leftChars="0" w:firstLine="0" w:firstLineChars="0"/>
      </w:pPr>
      <w:rPr>
        <w:rFonts w:hint="eastAsia"/>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noLineBreaksAfter w:lang="zh-CN" w:val="$([{£¥·‘“〈《「『【〔〖〝﹙﹛﹝＄（．［｛￡￥"/>
  <w:noLineBreaksBefore w:lang="zh-CN" w:val="!%),.:;&gt;?]}¢¨°·ˇˉ―‖’”…‰′″›℃∶、。〃〉》」』】〕〗〞︶︺︾﹀﹄﹚﹜﹞！＂％＇），．：；？］｀｜｝～￠"/>
  <w:compat>
    <w:spaceForUL/>
    <w:balanceSingleByteDoubleByteWidth/>
    <w:doNotLeaveBackslashAlone/>
    <w:ulTrailSpace/>
    <w:doNotExpandShiftReturn/>
    <w:adjustLineHeightInTable/>
    <w:doNotWrapTextWithPunct/>
    <w:doNotUseEastAsianBreakRules/>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CF0F14"/>
    <w:rsid w:val="000563AF"/>
    <w:rsid w:val="00374D51"/>
    <w:rsid w:val="004916C5"/>
    <w:rsid w:val="005567BF"/>
    <w:rsid w:val="007602FB"/>
    <w:rsid w:val="00C64532"/>
    <w:rsid w:val="00CF0F14"/>
    <w:rsid w:val="05EF0B3F"/>
    <w:rsid w:val="0B6F17D2"/>
    <w:rsid w:val="1E7C372A"/>
    <w:rsid w:val="24D64BBE"/>
    <w:rsid w:val="2BF9767F"/>
    <w:rsid w:val="2CB77168"/>
    <w:rsid w:val="4047083F"/>
    <w:rsid w:val="659828D9"/>
    <w:rsid w:val="66BA29B9"/>
    <w:rsid w:val="6B7E7FA3"/>
    <w:rsid w:val="6C556A2C"/>
    <w:rsid w:val="793D3862"/>
    <w:rsid w:val="7DDB6018"/>
    <w:rsid w:val="7E7F24B4"/>
  </w:rsids>
  <m:mathPr>
    <m:mathFont m:val="Cambria Math"/>
    <m:brkBin m:val="before"/>
    <m:brkBinSub m:val="--"/>
    <m:smallFrac m:val="0"/>
    <m:dispDef/>
    <m:lMargin m:val="0"/>
    <m:rMargin m:val="0"/>
    <m:defJc m:val="centerGroup"/>
    <m:wrapIndent m:val="1440"/>
    <m:intLim m:val="subSup"/>
    <m:naryLim m:val="undOvr"/>
  </m:mathPr>
  <w:doNotAutoCompressPictures/>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ocked="1"/>
    <w:lsdException w:qFormat="1" w:uiPriority="0" w:name="heading 2" w:locked="1"/>
    <w:lsdException w:qFormat="1" w:uiPriority="0" w:name="heading 3" w:locked="1"/>
    <w:lsdException w:qFormat="1" w:uiPriority="0" w:name="heading 4" w:locked="1"/>
    <w:lsdException w:qFormat="1" w:uiPriority="0" w:name="heading 5" w:locked="1"/>
    <w:lsdException w:qFormat="1" w:uiPriority="0" w:name="heading 6" w:locked="1"/>
    <w:lsdException w:qFormat="1" w:uiPriority="0" w:name="heading 7" w:locked="1"/>
    <w:lsdException w:qFormat="1" w:uiPriority="0" w:name="heading 8" w:locked="1"/>
    <w:lsdException w:qFormat="1" w:uiPriority="0" w:name="heading 9" w:locked="1"/>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nhideWhenUsed="0" w:uiPriority="0" w:semiHidden="0" w:name="toc 1" w:locked="1"/>
    <w:lsdException w:unhideWhenUsed="0" w:uiPriority="0" w:semiHidden="0" w:name="toc 2" w:locked="1"/>
    <w:lsdException w:unhideWhenUsed="0" w:uiPriority="0" w:semiHidden="0" w:name="toc 3" w:locked="1"/>
    <w:lsdException w:unhideWhenUsed="0" w:uiPriority="0" w:semiHidden="0" w:name="toc 4" w:locked="1"/>
    <w:lsdException w:unhideWhenUsed="0" w:uiPriority="0" w:semiHidden="0" w:name="toc 5" w:locked="1"/>
    <w:lsdException w:unhideWhenUsed="0" w:uiPriority="0" w:semiHidden="0" w:name="toc 6" w:locked="1"/>
    <w:lsdException w:unhideWhenUsed="0" w:uiPriority="0" w:semiHidden="0" w:name="toc 7" w:locked="1"/>
    <w:lsdException w:unhideWhenUsed="0" w:uiPriority="0" w:semiHidden="0" w:name="toc 8" w:locked="1"/>
    <w:lsdException w:unhideWhenUsed="0" w:uiPriority="0" w:semiHidden="0" w:name="toc 9" w:locked="1"/>
    <w:lsdException w:uiPriority="99" w:name="Normal Indent"/>
    <w:lsdException w:uiPriority="99" w:name="footnote text"/>
    <w:lsdException w:uiPriority="99" w:name="annotation text"/>
    <w:lsdException w:qFormat="1" w:unhideWhenUsed="0" w:uiPriority="99" w:name="header"/>
    <w:lsdException w:qFormat="1" w:unhideWhenUsed="0" w:uiPriority="99" w:semiHidden="0" w:name="footer"/>
    <w:lsdException w:uiPriority="99" w:name="index heading"/>
    <w:lsdException w:qFormat="1" w:uiPriority="0" w:name="caption" w:locked="1"/>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ocked="1"/>
    <w:lsdException w:uiPriority="99" w:name="Closing"/>
    <w:lsdException w:uiPriority="99" w:name="Signature"/>
    <w:lsdException w:qFormat="1" w:unhideWhenUsed="0" w:uiPriority="99"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0" w:semiHidden="0" w:name="Subtitle" w:locked="1"/>
    <w:lsdException w:uiPriority="99" w:name="Salutation"/>
    <w:lsdException w:qFormat="1" w:unhideWhenUsed="0"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0" w:semiHidden="0" w:name="Strong" w:locked="1"/>
    <w:lsdException w:qFormat="1" w:unhideWhenUsed="0" w:uiPriority="0" w:semiHidden="0" w:name="Emphasis" w:locked="1"/>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0" w:semiHidden="0" w:name="Table Grid" w:locked="1"/>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2"/>
      <w:lang w:val="en-US" w:eastAsia="zh-CN" w:bidi="ar-SA"/>
    </w:rPr>
  </w:style>
  <w:style w:type="character" w:default="1" w:styleId="6">
    <w:name w:val="Default Paragraph Font"/>
    <w:semiHidden/>
    <w:qFormat/>
    <w:uiPriority w:val="99"/>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8"/>
    <w:qFormat/>
    <w:uiPriority w:val="99"/>
    <w:pPr>
      <w:ind w:left="100" w:leftChars="2500"/>
    </w:pPr>
  </w:style>
  <w:style w:type="paragraph" w:styleId="3">
    <w:name w:val="footer"/>
    <w:basedOn w:val="1"/>
    <w:link w:val="9"/>
    <w:qFormat/>
    <w:uiPriority w:val="99"/>
    <w:pPr>
      <w:tabs>
        <w:tab w:val="center" w:pos="4153"/>
        <w:tab w:val="right" w:pos="8306"/>
      </w:tabs>
      <w:snapToGrid w:val="0"/>
      <w:jc w:val="left"/>
    </w:pPr>
    <w:rPr>
      <w:sz w:val="18"/>
      <w:szCs w:val="18"/>
    </w:rPr>
  </w:style>
  <w:style w:type="paragraph" w:styleId="4">
    <w:name w:val="header"/>
    <w:basedOn w:val="1"/>
    <w:link w:val="10"/>
    <w:semiHidden/>
    <w:qFormat/>
    <w:uiPriority w:val="99"/>
    <w:pPr>
      <w:pBdr>
        <w:bottom w:val="single" w:color="auto" w:sz="6" w:space="1"/>
      </w:pBdr>
      <w:tabs>
        <w:tab w:val="center" w:pos="4153"/>
        <w:tab w:val="right" w:pos="8306"/>
      </w:tabs>
      <w:snapToGrid w:val="0"/>
      <w:jc w:val="center"/>
    </w:pPr>
    <w:rPr>
      <w:sz w:val="18"/>
      <w:szCs w:val="18"/>
    </w:rPr>
  </w:style>
  <w:style w:type="character" w:styleId="7">
    <w:name w:val="Hyperlink"/>
    <w:basedOn w:val="6"/>
    <w:semiHidden/>
    <w:unhideWhenUsed/>
    <w:qFormat/>
    <w:uiPriority w:val="99"/>
    <w:rPr>
      <w:color w:val="0000FF"/>
      <w:u w:val="single"/>
    </w:rPr>
  </w:style>
  <w:style w:type="character" w:customStyle="1" w:styleId="8">
    <w:name w:val="Date Char"/>
    <w:basedOn w:val="6"/>
    <w:link w:val="2"/>
    <w:semiHidden/>
    <w:qFormat/>
    <w:locked/>
    <w:uiPriority w:val="99"/>
    <w:rPr>
      <w:rFonts w:cs="Times New Roman"/>
    </w:rPr>
  </w:style>
  <w:style w:type="character" w:customStyle="1" w:styleId="9">
    <w:name w:val="Footer Char"/>
    <w:basedOn w:val="6"/>
    <w:link w:val="3"/>
    <w:qFormat/>
    <w:locked/>
    <w:uiPriority w:val="99"/>
    <w:rPr>
      <w:rFonts w:cs="Times New Roman"/>
      <w:sz w:val="18"/>
      <w:szCs w:val="18"/>
    </w:rPr>
  </w:style>
  <w:style w:type="character" w:customStyle="1" w:styleId="10">
    <w:name w:val="Header Char"/>
    <w:basedOn w:val="6"/>
    <w:link w:val="4"/>
    <w:semiHidden/>
    <w:qFormat/>
    <w:locked/>
    <w:uiPriority w:val="99"/>
    <w:rPr>
      <w:rFonts w:cs="Times New Roman"/>
      <w:sz w:val="18"/>
      <w:szCs w:val="18"/>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Normal_Wordconv</Template>
  <Pages>11</Pages>
  <Words>1463</Words>
  <Characters>8341</Characters>
  <Lines>0</Lines>
  <Paragraphs>0</Paragraphs>
  <TotalTime>5</TotalTime>
  <ScaleCrop>false</ScaleCrop>
  <LinksUpToDate>false</LinksUpToDate>
  <CharactersWithSpaces>0</CharactersWithSpaces>
  <Application>WPS Office_11.1.0.10941_F1E327BC-269C-435d-A152-05C5408002CA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2019-01-20T11:33:00Z</dcterms:created>
  <dc:creator>PC</dc:creator>
  <cp:lastModifiedBy>杨为念律师·福建尤溪</cp:lastModifiedBy>
  <dcterms:modified xsi:type="dcterms:W3CDTF">2021-12-05T12:54:51Z</dcterms:modified>
  <dc:title>尤溪县凯悦房地产开发有限公司破产重整债权审核说明</dc:title>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2052-11.1.0.10941</vt:lpwstr>
  </property>
  <property fmtid="{D5CDD505-2E9C-101B-9397-08002B2CF9AE}" pid="3" name="ICV">
    <vt:lpwstr>3C2E064E184148858F65CA50DFE0EBDC</vt:lpwstr>
  </property>
</Properties>
</file>