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left="75" w:right="75"/>
        <w:jc w:val="center"/>
        <w:textAlignment w:val="auto"/>
        <w:rPr>
          <w:rStyle w:val="9"/>
          <w:rFonts w:hint="eastAsia" w:ascii="微软雅黑" w:hAnsi="微软雅黑" w:eastAsia="微软雅黑" w:cs="微软雅黑"/>
          <w:b/>
          <w:bCs/>
          <w:color w:val="auto"/>
          <w:spacing w:val="8"/>
          <w:sz w:val="44"/>
          <w:szCs w:val="44"/>
        </w:rPr>
      </w:pPr>
      <w:r>
        <w:rPr>
          <w:rStyle w:val="9"/>
          <w:rFonts w:hint="eastAsia" w:ascii="微软雅黑" w:hAnsi="微软雅黑" w:eastAsia="微软雅黑" w:cs="微软雅黑"/>
          <w:b/>
          <w:bCs/>
          <w:color w:val="auto"/>
          <w:spacing w:val="8"/>
          <w:sz w:val="44"/>
          <w:szCs w:val="44"/>
          <w:lang w:val="en-US" w:eastAsia="zh-CN"/>
        </w:rPr>
        <w:t>重庆川嘉房地产开发</w:t>
      </w:r>
      <w:r>
        <w:rPr>
          <w:rStyle w:val="9"/>
          <w:rFonts w:hint="eastAsia" w:ascii="微软雅黑" w:hAnsi="微软雅黑" w:eastAsia="微软雅黑" w:cs="微软雅黑"/>
          <w:b/>
          <w:bCs/>
          <w:color w:val="auto"/>
          <w:spacing w:val="8"/>
          <w:sz w:val="44"/>
          <w:szCs w:val="44"/>
        </w:rPr>
        <w:t>有限公司</w:t>
      </w:r>
    </w:p>
    <w:p>
      <w:pPr>
        <w:pStyle w:val="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left="75" w:right="75"/>
        <w:jc w:val="center"/>
        <w:textAlignment w:val="auto"/>
        <w:rPr>
          <w:rFonts w:hint="eastAsia" w:ascii="微软雅黑" w:hAnsi="微软雅黑" w:eastAsia="微软雅黑" w:cs="微软雅黑"/>
          <w:b/>
          <w:bCs/>
          <w:color w:val="auto"/>
          <w:spacing w:val="8"/>
          <w:sz w:val="44"/>
          <w:szCs w:val="44"/>
        </w:rPr>
      </w:pPr>
      <w:r>
        <w:rPr>
          <w:rStyle w:val="9"/>
          <w:rFonts w:hint="eastAsia" w:ascii="微软雅黑" w:hAnsi="微软雅黑" w:eastAsia="微软雅黑" w:cs="微软雅黑"/>
          <w:b/>
          <w:bCs/>
          <w:color w:val="auto"/>
          <w:spacing w:val="8"/>
          <w:sz w:val="44"/>
          <w:szCs w:val="44"/>
        </w:rPr>
        <w:t>重整投资人招募公告</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color w:val="333333"/>
          <w:spacing w:val="8"/>
          <w:sz w:val="24"/>
          <w:szCs w:val="24"/>
        </w:rPr>
      </w:pP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default" w:ascii="仿宋" w:hAnsi="仿宋" w:eastAsia="仿宋" w:cs="仿宋"/>
          <w:color w:val="333333"/>
          <w:spacing w:val="8"/>
          <w:sz w:val="24"/>
          <w:szCs w:val="24"/>
          <w:lang w:val="en-US" w:eastAsia="zh-CN"/>
        </w:rPr>
      </w:pPr>
      <w:r>
        <w:rPr>
          <w:rFonts w:hint="eastAsia" w:ascii="仿宋" w:hAnsi="仿宋" w:eastAsia="仿宋" w:cs="仿宋"/>
          <w:color w:val="333333"/>
          <w:spacing w:val="8"/>
          <w:sz w:val="24"/>
          <w:szCs w:val="24"/>
          <w:lang w:val="en-US" w:eastAsia="zh-CN"/>
        </w:rPr>
        <w:t>重庆川嘉房地产开发</w:t>
      </w:r>
      <w:r>
        <w:rPr>
          <w:rFonts w:hint="eastAsia" w:ascii="仿宋" w:hAnsi="仿宋" w:eastAsia="仿宋" w:cs="仿宋"/>
          <w:color w:val="333333"/>
          <w:spacing w:val="8"/>
          <w:sz w:val="24"/>
          <w:szCs w:val="24"/>
        </w:rPr>
        <w:t>有限公司（以下简称“</w:t>
      </w:r>
      <w:r>
        <w:rPr>
          <w:rFonts w:hint="eastAsia" w:ascii="仿宋" w:hAnsi="仿宋" w:eastAsia="仿宋" w:cs="仿宋"/>
          <w:color w:val="333333"/>
          <w:spacing w:val="8"/>
          <w:sz w:val="24"/>
          <w:szCs w:val="24"/>
          <w:lang w:val="en-US" w:eastAsia="zh-CN"/>
        </w:rPr>
        <w:t>川嘉公司</w:t>
      </w:r>
      <w:r>
        <w:rPr>
          <w:rFonts w:hint="eastAsia" w:ascii="仿宋" w:hAnsi="仿宋" w:eastAsia="仿宋" w:cs="仿宋"/>
          <w:color w:val="333333"/>
          <w:spacing w:val="8"/>
          <w:sz w:val="24"/>
          <w:szCs w:val="24"/>
        </w:rPr>
        <w:t>”或“债务人”）因资不抵债，金沙县人民法院于2019年</w:t>
      </w:r>
      <w:r>
        <w:rPr>
          <w:rFonts w:hint="eastAsia" w:ascii="仿宋" w:hAnsi="仿宋" w:eastAsia="仿宋" w:cs="仿宋"/>
          <w:color w:val="333333"/>
          <w:spacing w:val="8"/>
          <w:sz w:val="24"/>
          <w:szCs w:val="24"/>
          <w:lang w:val="en-US" w:eastAsia="zh-CN"/>
        </w:rPr>
        <w:t>6</w:t>
      </w:r>
      <w:r>
        <w:rPr>
          <w:rFonts w:hint="eastAsia" w:ascii="仿宋" w:hAnsi="仿宋" w:eastAsia="仿宋" w:cs="仿宋"/>
          <w:color w:val="333333"/>
          <w:spacing w:val="8"/>
          <w:sz w:val="24"/>
          <w:szCs w:val="24"/>
        </w:rPr>
        <w:t>月</w:t>
      </w:r>
      <w:r>
        <w:rPr>
          <w:rFonts w:hint="eastAsia" w:ascii="仿宋" w:hAnsi="仿宋" w:eastAsia="仿宋" w:cs="仿宋"/>
          <w:color w:val="333333"/>
          <w:spacing w:val="8"/>
          <w:sz w:val="24"/>
          <w:szCs w:val="24"/>
          <w:lang w:val="en-US" w:eastAsia="zh-CN"/>
        </w:rPr>
        <w:t>6</w:t>
      </w:r>
      <w:r>
        <w:rPr>
          <w:rFonts w:hint="eastAsia" w:ascii="仿宋" w:hAnsi="仿宋" w:eastAsia="仿宋" w:cs="仿宋"/>
          <w:color w:val="333333"/>
          <w:spacing w:val="8"/>
          <w:sz w:val="24"/>
          <w:szCs w:val="24"/>
        </w:rPr>
        <w:t>日根据</w:t>
      </w:r>
      <w:r>
        <w:rPr>
          <w:rFonts w:hint="eastAsia" w:ascii="仿宋" w:hAnsi="仿宋" w:eastAsia="仿宋" w:cs="仿宋"/>
          <w:color w:val="333333"/>
          <w:spacing w:val="8"/>
          <w:sz w:val="24"/>
          <w:szCs w:val="24"/>
          <w:lang w:val="en-US" w:eastAsia="zh-CN"/>
        </w:rPr>
        <w:t>重庆庆</w:t>
      </w:r>
      <w:bookmarkStart w:id="4" w:name="_GoBack"/>
      <w:bookmarkEnd w:id="4"/>
      <w:r>
        <w:rPr>
          <w:rFonts w:hint="eastAsia" w:ascii="仿宋" w:hAnsi="仿宋" w:eastAsia="仿宋" w:cs="仿宋"/>
          <w:color w:val="333333"/>
          <w:spacing w:val="8"/>
          <w:sz w:val="24"/>
          <w:szCs w:val="24"/>
          <w:lang w:val="en-US" w:eastAsia="zh-CN"/>
        </w:rPr>
        <w:t>华建设工程有限公司</w:t>
      </w:r>
      <w:r>
        <w:rPr>
          <w:rFonts w:hint="eastAsia" w:ascii="仿宋" w:hAnsi="仿宋" w:eastAsia="仿宋" w:cs="仿宋"/>
          <w:color w:val="333333"/>
          <w:spacing w:val="8"/>
          <w:sz w:val="24"/>
          <w:szCs w:val="24"/>
        </w:rPr>
        <w:t>申请裁定受理了</w:t>
      </w:r>
      <w:r>
        <w:rPr>
          <w:rFonts w:hint="eastAsia" w:ascii="仿宋" w:hAnsi="仿宋" w:eastAsia="仿宋" w:cs="仿宋"/>
          <w:color w:val="333333"/>
          <w:spacing w:val="8"/>
          <w:sz w:val="24"/>
          <w:szCs w:val="24"/>
          <w:lang w:val="en-US" w:eastAsia="zh-CN"/>
        </w:rPr>
        <w:t>川嘉</w:t>
      </w:r>
      <w:r>
        <w:rPr>
          <w:rFonts w:hint="eastAsia" w:ascii="仿宋" w:hAnsi="仿宋" w:eastAsia="仿宋" w:cs="仿宋"/>
          <w:color w:val="333333"/>
          <w:spacing w:val="8"/>
          <w:sz w:val="24"/>
          <w:szCs w:val="24"/>
        </w:rPr>
        <w:t>公司破产清算案，并指定贵州名城（金沙）律师事务所担任</w:t>
      </w:r>
      <w:r>
        <w:rPr>
          <w:rFonts w:hint="eastAsia" w:ascii="仿宋" w:hAnsi="仿宋" w:eastAsia="仿宋" w:cs="仿宋"/>
          <w:color w:val="333333"/>
          <w:spacing w:val="8"/>
          <w:sz w:val="24"/>
          <w:szCs w:val="24"/>
          <w:lang w:val="en-US" w:eastAsia="zh-CN"/>
        </w:rPr>
        <w:t>川嘉</w:t>
      </w:r>
      <w:r>
        <w:rPr>
          <w:rFonts w:hint="eastAsia" w:ascii="仿宋" w:hAnsi="仿宋" w:eastAsia="仿宋" w:cs="仿宋"/>
          <w:color w:val="333333"/>
          <w:spacing w:val="8"/>
          <w:sz w:val="24"/>
          <w:szCs w:val="24"/>
        </w:rPr>
        <w:t>公司管理人。经</w:t>
      </w:r>
      <w:r>
        <w:rPr>
          <w:rFonts w:hint="eastAsia" w:ascii="仿宋" w:hAnsi="仿宋" w:eastAsia="仿宋" w:cs="仿宋"/>
          <w:color w:val="333333"/>
          <w:spacing w:val="8"/>
          <w:sz w:val="24"/>
          <w:szCs w:val="24"/>
          <w:lang w:val="en-US" w:eastAsia="zh-CN"/>
        </w:rPr>
        <w:t>债务人及管理人</w:t>
      </w:r>
      <w:r>
        <w:rPr>
          <w:rFonts w:hint="eastAsia" w:ascii="仿宋" w:hAnsi="仿宋" w:eastAsia="仿宋" w:cs="仿宋"/>
          <w:color w:val="333333"/>
          <w:spacing w:val="8"/>
          <w:sz w:val="24"/>
          <w:szCs w:val="24"/>
        </w:rPr>
        <w:t>申请，金沙县法院</w:t>
      </w:r>
      <w:r>
        <w:rPr>
          <w:rFonts w:hint="eastAsia" w:ascii="仿宋" w:hAnsi="仿宋" w:eastAsia="仿宋" w:cs="仿宋"/>
          <w:color w:val="333333"/>
          <w:spacing w:val="8"/>
          <w:sz w:val="24"/>
          <w:szCs w:val="24"/>
          <w:lang w:val="en-US" w:eastAsia="zh-CN"/>
        </w:rPr>
        <w:t>于</w:t>
      </w:r>
      <w:r>
        <w:rPr>
          <w:rFonts w:hint="eastAsia" w:ascii="仿宋" w:hAnsi="仿宋" w:eastAsia="仿宋" w:cs="仿宋"/>
          <w:color w:val="auto"/>
          <w:spacing w:val="8"/>
          <w:sz w:val="24"/>
          <w:szCs w:val="24"/>
        </w:rPr>
        <w:t>202</w:t>
      </w:r>
      <w:r>
        <w:rPr>
          <w:rFonts w:hint="eastAsia" w:ascii="仿宋" w:hAnsi="仿宋" w:eastAsia="仿宋" w:cs="仿宋"/>
          <w:color w:val="auto"/>
          <w:spacing w:val="8"/>
          <w:sz w:val="24"/>
          <w:szCs w:val="24"/>
          <w:lang w:val="en-US" w:eastAsia="zh-CN"/>
        </w:rPr>
        <w:t>1</w:t>
      </w:r>
      <w:r>
        <w:rPr>
          <w:rFonts w:hint="eastAsia" w:ascii="仿宋" w:hAnsi="仿宋" w:eastAsia="仿宋" w:cs="仿宋"/>
          <w:color w:val="auto"/>
          <w:spacing w:val="8"/>
          <w:sz w:val="24"/>
          <w:szCs w:val="24"/>
        </w:rPr>
        <w:t>年</w:t>
      </w:r>
      <w:r>
        <w:rPr>
          <w:rFonts w:hint="eastAsia" w:ascii="仿宋" w:hAnsi="仿宋" w:eastAsia="仿宋" w:cs="仿宋"/>
          <w:color w:val="auto"/>
          <w:spacing w:val="8"/>
          <w:sz w:val="24"/>
          <w:szCs w:val="24"/>
          <w:lang w:val="en-US" w:eastAsia="zh-CN"/>
        </w:rPr>
        <w:t>9</w:t>
      </w:r>
      <w:r>
        <w:rPr>
          <w:rFonts w:hint="eastAsia" w:ascii="仿宋" w:hAnsi="仿宋" w:eastAsia="仿宋" w:cs="仿宋"/>
          <w:color w:val="auto"/>
          <w:spacing w:val="8"/>
          <w:sz w:val="24"/>
          <w:szCs w:val="24"/>
        </w:rPr>
        <w:t>月</w:t>
      </w:r>
      <w:r>
        <w:rPr>
          <w:rFonts w:hint="eastAsia" w:ascii="仿宋" w:hAnsi="仿宋" w:eastAsia="仿宋" w:cs="仿宋"/>
          <w:color w:val="auto"/>
          <w:spacing w:val="8"/>
          <w:sz w:val="24"/>
          <w:szCs w:val="24"/>
          <w:lang w:val="en-US" w:eastAsia="zh-CN"/>
        </w:rPr>
        <w:t>23</w:t>
      </w:r>
      <w:r>
        <w:rPr>
          <w:rFonts w:hint="eastAsia" w:ascii="仿宋" w:hAnsi="仿宋" w:eastAsia="仿宋" w:cs="仿宋"/>
          <w:color w:val="auto"/>
          <w:spacing w:val="8"/>
          <w:sz w:val="24"/>
          <w:szCs w:val="24"/>
        </w:rPr>
        <w:t>日，</w:t>
      </w:r>
      <w:r>
        <w:rPr>
          <w:rFonts w:hint="eastAsia" w:ascii="仿宋" w:hAnsi="仿宋" w:eastAsia="仿宋" w:cs="仿宋"/>
          <w:color w:val="333333"/>
          <w:spacing w:val="8"/>
          <w:sz w:val="24"/>
          <w:szCs w:val="24"/>
        </w:rPr>
        <w:t>作出（2019）黔0523破</w:t>
      </w:r>
      <w:r>
        <w:rPr>
          <w:rFonts w:hint="eastAsia" w:ascii="仿宋" w:hAnsi="仿宋" w:eastAsia="仿宋" w:cs="仿宋"/>
          <w:color w:val="333333"/>
          <w:spacing w:val="8"/>
          <w:sz w:val="24"/>
          <w:szCs w:val="24"/>
          <w:lang w:val="en-US" w:eastAsia="zh-CN"/>
        </w:rPr>
        <w:t>3</w:t>
      </w:r>
      <w:r>
        <w:rPr>
          <w:rFonts w:hint="eastAsia" w:ascii="仿宋" w:hAnsi="仿宋" w:eastAsia="仿宋" w:cs="仿宋"/>
          <w:color w:val="333333"/>
          <w:spacing w:val="8"/>
          <w:sz w:val="24"/>
          <w:szCs w:val="24"/>
        </w:rPr>
        <w:t>号</w:t>
      </w:r>
      <w:r>
        <w:rPr>
          <w:rFonts w:hint="eastAsia" w:ascii="仿宋" w:hAnsi="仿宋" w:eastAsia="仿宋" w:cs="仿宋"/>
          <w:color w:val="333333"/>
          <w:spacing w:val="8"/>
          <w:sz w:val="24"/>
          <w:szCs w:val="24"/>
          <w:lang w:val="en-US" w:eastAsia="zh-CN"/>
        </w:rPr>
        <w:t>之一</w:t>
      </w:r>
      <w:r>
        <w:rPr>
          <w:rFonts w:hint="eastAsia" w:ascii="仿宋" w:hAnsi="仿宋" w:eastAsia="仿宋" w:cs="仿宋"/>
          <w:color w:val="333333"/>
          <w:spacing w:val="8"/>
          <w:sz w:val="24"/>
          <w:szCs w:val="24"/>
        </w:rPr>
        <w:t>民事裁定书，裁定</w:t>
      </w:r>
      <w:r>
        <w:rPr>
          <w:rFonts w:hint="eastAsia" w:ascii="仿宋" w:hAnsi="仿宋" w:eastAsia="仿宋" w:cs="仿宋"/>
          <w:color w:val="333333"/>
          <w:spacing w:val="8"/>
          <w:sz w:val="24"/>
          <w:szCs w:val="24"/>
          <w:lang w:val="en-US" w:eastAsia="zh-CN"/>
        </w:rPr>
        <w:t>对川嘉公司</w:t>
      </w:r>
      <w:r>
        <w:rPr>
          <w:rFonts w:hint="eastAsia" w:ascii="仿宋" w:hAnsi="仿宋" w:eastAsia="仿宋" w:cs="仿宋"/>
          <w:color w:val="333333"/>
          <w:spacing w:val="8"/>
          <w:sz w:val="24"/>
          <w:szCs w:val="24"/>
        </w:rPr>
        <w:t>进行重整。</w:t>
      </w:r>
      <w:r>
        <w:rPr>
          <w:rFonts w:hint="eastAsia" w:ascii="仿宋" w:hAnsi="仿宋" w:eastAsia="仿宋" w:cs="仿宋"/>
          <w:color w:val="333333"/>
          <w:spacing w:val="8"/>
          <w:sz w:val="24"/>
          <w:szCs w:val="24"/>
          <w:lang w:val="en-US" w:eastAsia="zh-CN"/>
        </w:rPr>
        <w:t>2022年5月27日金沙县人民法院下达（2019）黔0523破3号之三号《民事裁定书》，裁定一、批准重庆川嘉房地产开发有限公司重整计划（草案）；二、终止重庆川嘉房地产开发有限公司重整程序。</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rPr>
      </w:pPr>
      <w:r>
        <w:rPr>
          <w:rFonts w:hint="eastAsia" w:ascii="仿宋" w:hAnsi="仿宋" w:eastAsia="仿宋" w:cs="仿宋"/>
          <w:color w:val="333333"/>
          <w:spacing w:val="8"/>
          <w:sz w:val="24"/>
          <w:szCs w:val="24"/>
          <w:lang w:val="en-US" w:eastAsia="zh-CN"/>
        </w:rPr>
        <w:t>川嘉</w:t>
      </w:r>
      <w:r>
        <w:rPr>
          <w:rFonts w:hint="eastAsia" w:ascii="仿宋" w:hAnsi="仿宋" w:eastAsia="仿宋" w:cs="仿宋"/>
          <w:color w:val="333333"/>
          <w:spacing w:val="8"/>
          <w:sz w:val="24"/>
          <w:szCs w:val="24"/>
        </w:rPr>
        <w:t>公司由于负债沉重，缺乏偿债资金及运营资金，亟需引入投资人实现重整目标，维护企业营运价值，实现资源整合，提高全体债权人清偿率。为公开、公平、公正地引入重整投资人，并接受各方监督，管理人依据《企业破产法》及相关法律规定面向全国公开招募投资人，现就招募事项公告如下：</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b/>
          <w:bCs/>
          <w:color w:val="auto"/>
          <w:sz w:val="24"/>
          <w:szCs w:val="24"/>
        </w:rPr>
      </w:pPr>
      <w:r>
        <w:rPr>
          <w:rStyle w:val="9"/>
          <w:rFonts w:hint="eastAsia" w:ascii="仿宋" w:hAnsi="仿宋" w:eastAsia="仿宋" w:cs="仿宋"/>
          <w:b/>
          <w:bCs/>
          <w:color w:val="auto"/>
          <w:spacing w:val="8"/>
          <w:sz w:val="24"/>
          <w:szCs w:val="24"/>
        </w:rPr>
        <w:t>一、债务人基本情况</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rPr>
      </w:pPr>
      <w:r>
        <w:rPr>
          <w:rFonts w:hint="eastAsia" w:ascii="仿宋" w:hAnsi="仿宋" w:eastAsia="仿宋" w:cs="仿宋"/>
          <w:color w:val="333333"/>
          <w:spacing w:val="8"/>
          <w:sz w:val="24"/>
          <w:szCs w:val="24"/>
        </w:rPr>
        <w:t>（一）企业概况</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val="zh-CN" w:eastAsia="zh-CN"/>
        </w:rPr>
      </w:pPr>
      <w:r>
        <w:rPr>
          <w:rFonts w:hint="eastAsia" w:ascii="仿宋" w:hAnsi="仿宋" w:eastAsia="仿宋" w:cs="仿宋"/>
          <w:color w:val="333333"/>
          <w:spacing w:val="8"/>
          <w:sz w:val="24"/>
          <w:szCs w:val="24"/>
          <w:lang w:val="zh-CN" w:eastAsia="zh-CN"/>
        </w:rPr>
        <w:t>川嘉公司经重庆市北碚区市场监督管理局批准，于2007年03月26日成立，并取得《营业执照》。公司法定代表人：龙斯财；注册资本：5,000.00万元整；实缴资本：5,000.00万元整；股东：罗英均认缴出资额4,950.00万元，出资比例99.00%；股东：李迪认缴出资额50.00万元，出资比例1.00%；统一社会信用代码：9150010979804495XX;企业类型:有限责任公司；行业：房地产业；营业期限：2007年03月26日至永久；注册地址：重庆市北碚区三圣镇石坝老街24号。</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val="zh-CN" w:eastAsia="zh-CN"/>
        </w:rPr>
      </w:pPr>
      <w:r>
        <w:rPr>
          <w:rFonts w:hint="eastAsia" w:ascii="仿宋" w:hAnsi="仿宋" w:eastAsia="仿宋" w:cs="仿宋"/>
          <w:color w:val="333333"/>
          <w:spacing w:val="8"/>
          <w:sz w:val="24"/>
          <w:szCs w:val="24"/>
          <w:lang w:val="zh-CN" w:eastAsia="zh-CN"/>
        </w:rPr>
        <w:t>经营范围：房地产开发（按资质证书核定范围从事经营）；销售建筑材料、五金、交电、装饰材料（不含危险化学品）、电子产品、家用电器、皮革制品、金属材料；花卉、树木种植。以上法律、法规禁止经营的，不得经营；法律、法规规定应经审批而未获审批前不得经营。</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rPr>
      </w:pPr>
      <w:r>
        <w:rPr>
          <w:rFonts w:hint="eastAsia" w:ascii="仿宋" w:hAnsi="仿宋" w:eastAsia="仿宋" w:cs="仿宋"/>
          <w:color w:val="333333"/>
          <w:spacing w:val="8"/>
          <w:sz w:val="24"/>
          <w:szCs w:val="24"/>
          <w:lang w:val="zh-CN" w:eastAsia="zh-CN"/>
        </w:rPr>
        <w:t>川嘉公司位于重庆市北碚区，在贵州省金沙县设立川嘉公司金沙分公司、在河南开封设立川嘉公司尉氏分公司、投资贵州外滩酒店有限公司（占股</w:t>
      </w:r>
      <w:r>
        <w:rPr>
          <w:rFonts w:hint="eastAsia" w:ascii="仿宋" w:hAnsi="仿宋" w:eastAsia="仿宋" w:cs="仿宋"/>
          <w:color w:val="333333"/>
          <w:spacing w:val="8"/>
          <w:sz w:val="24"/>
          <w:szCs w:val="24"/>
          <w:lang w:val="en-US" w:eastAsia="zh-CN"/>
        </w:rPr>
        <w:t>75%</w:t>
      </w:r>
      <w:r>
        <w:rPr>
          <w:rFonts w:hint="eastAsia" w:ascii="仿宋" w:hAnsi="仿宋" w:eastAsia="仿宋" w:cs="仿宋"/>
          <w:color w:val="333333"/>
          <w:spacing w:val="8"/>
          <w:sz w:val="24"/>
          <w:szCs w:val="24"/>
          <w:lang w:val="zh-CN" w:eastAsia="zh-CN"/>
        </w:rPr>
        <w:t>），未实际投入经营。</w:t>
      </w:r>
      <w:r>
        <w:rPr>
          <w:rFonts w:hint="eastAsia" w:ascii="仿宋" w:hAnsi="仿宋" w:eastAsia="仿宋" w:cs="仿宋"/>
          <w:color w:val="333333"/>
          <w:spacing w:val="8"/>
          <w:sz w:val="24"/>
          <w:szCs w:val="24"/>
        </w:rPr>
        <w:t xml:space="preserve"> </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rPr>
      </w:pPr>
      <w:r>
        <w:rPr>
          <w:rFonts w:hint="eastAsia" w:ascii="仿宋" w:hAnsi="仿宋" w:eastAsia="仿宋" w:cs="仿宋"/>
          <w:color w:val="333333"/>
          <w:spacing w:val="8"/>
          <w:sz w:val="24"/>
          <w:szCs w:val="24"/>
        </w:rPr>
        <w:t>（二）股东及股权结构</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rPr>
      </w:pPr>
      <w:r>
        <w:rPr>
          <w:rFonts w:hint="eastAsia" w:ascii="仿宋" w:hAnsi="仿宋" w:eastAsia="仿宋" w:cs="仿宋"/>
          <w:color w:val="333333"/>
          <w:spacing w:val="8"/>
          <w:sz w:val="24"/>
          <w:szCs w:val="24"/>
          <w:lang w:val="en-US" w:eastAsia="zh-CN"/>
        </w:rPr>
        <w:t>公司由罗英均、李迪共同成立。公司注册资本为5,000.00万元；实缴资本：5,000.00万元整；股东：罗英均认缴出资额4,950.00万元，出资比例99.00%；股东：李迪认缴出资额50.00万元，出资比例1.00%。</w:t>
      </w:r>
      <w:r>
        <w:rPr>
          <w:rFonts w:hint="eastAsia" w:ascii="仿宋" w:hAnsi="仿宋" w:eastAsia="仿宋" w:cs="仿宋"/>
          <w:color w:val="333333"/>
          <w:spacing w:val="8"/>
          <w:sz w:val="24"/>
          <w:szCs w:val="24"/>
        </w:rPr>
        <w:t xml:space="preserve"> </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rPr>
      </w:pPr>
      <w:r>
        <w:rPr>
          <w:rFonts w:hint="eastAsia" w:ascii="仿宋" w:hAnsi="仿宋" w:eastAsia="仿宋" w:cs="仿宋"/>
          <w:color w:val="333333"/>
          <w:spacing w:val="8"/>
          <w:sz w:val="24"/>
          <w:szCs w:val="24"/>
        </w:rPr>
        <w:t>（三）申请重整情况</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val="en-US" w:eastAsia="zh-CN"/>
        </w:rPr>
      </w:pPr>
      <w:r>
        <w:rPr>
          <w:rFonts w:hint="eastAsia" w:ascii="仿宋" w:hAnsi="仿宋" w:eastAsia="仿宋" w:cs="仿宋"/>
          <w:color w:val="333333"/>
          <w:spacing w:val="8"/>
          <w:sz w:val="24"/>
          <w:szCs w:val="24"/>
          <w:lang w:val="en-US" w:eastAsia="zh-CN"/>
        </w:rPr>
        <w:t>川嘉公司因经营不善，造成一期建设项目尚未完善房开义务，招商困难；二期项目尚未开发的状态，且近年受房地产行业不景气影响，房地产项目资金成本、时间成本、损失增加；因无力支付工程款等，出现大面积的诉讼、执行案件，导致川嘉公司房地产项目无法继续实施，公司资金链</w:t>
      </w:r>
      <w:r>
        <w:rPr>
          <w:rFonts w:hint="eastAsia" w:ascii="仿宋" w:hAnsi="仿宋" w:eastAsia="仿宋" w:cs="仿宋"/>
          <w:color w:val="333333"/>
          <w:spacing w:val="8"/>
          <w:sz w:val="24"/>
          <w:szCs w:val="24"/>
        </w:rPr>
        <w:t>断裂</w:t>
      </w:r>
      <w:r>
        <w:rPr>
          <w:rFonts w:hint="eastAsia" w:ascii="仿宋" w:hAnsi="仿宋" w:eastAsia="仿宋" w:cs="仿宋"/>
          <w:color w:val="333333"/>
          <w:spacing w:val="8"/>
          <w:sz w:val="24"/>
          <w:szCs w:val="24"/>
          <w:lang w:eastAsia="zh-CN"/>
        </w:rPr>
        <w:t>；</w:t>
      </w:r>
      <w:r>
        <w:rPr>
          <w:rFonts w:hint="eastAsia" w:ascii="仿宋" w:hAnsi="仿宋" w:eastAsia="仿宋" w:cs="仿宋"/>
          <w:color w:val="333333"/>
          <w:spacing w:val="8"/>
          <w:sz w:val="24"/>
          <w:szCs w:val="24"/>
          <w:lang w:val="en-US" w:eastAsia="zh-CN"/>
        </w:rPr>
        <w:t>因融资方式不当导致川嘉公司负担巨额的财务融资成本等因素</w:t>
      </w:r>
      <w:r>
        <w:rPr>
          <w:rFonts w:hint="eastAsia" w:ascii="仿宋" w:hAnsi="仿宋" w:eastAsia="仿宋" w:cs="仿宋"/>
          <w:color w:val="333333"/>
          <w:spacing w:val="8"/>
          <w:sz w:val="24"/>
          <w:szCs w:val="24"/>
          <w:lang w:eastAsia="zh-CN"/>
        </w:rPr>
        <w:t>。</w:t>
      </w:r>
      <w:r>
        <w:rPr>
          <w:rFonts w:hint="eastAsia" w:ascii="仿宋" w:hAnsi="仿宋" w:eastAsia="仿宋" w:cs="仿宋"/>
          <w:color w:val="333333"/>
          <w:spacing w:val="8"/>
          <w:sz w:val="24"/>
          <w:szCs w:val="24"/>
          <w:lang w:val="en-US" w:eastAsia="zh-CN"/>
        </w:rPr>
        <w:t>现已几乎处于停止经营状态。</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rPr>
      </w:pPr>
      <w:r>
        <w:rPr>
          <w:rFonts w:hint="eastAsia" w:ascii="仿宋" w:hAnsi="仿宋" w:eastAsia="仿宋" w:cs="仿宋"/>
          <w:color w:val="333333"/>
          <w:spacing w:val="8"/>
          <w:sz w:val="24"/>
          <w:szCs w:val="24"/>
        </w:rPr>
        <w:t>2019年</w:t>
      </w:r>
      <w:r>
        <w:rPr>
          <w:rFonts w:hint="eastAsia" w:ascii="仿宋" w:hAnsi="仿宋" w:eastAsia="仿宋" w:cs="仿宋"/>
          <w:color w:val="333333"/>
          <w:spacing w:val="8"/>
          <w:sz w:val="24"/>
          <w:szCs w:val="24"/>
          <w:lang w:val="en-US" w:eastAsia="zh-CN"/>
        </w:rPr>
        <w:t>6</w:t>
      </w:r>
      <w:r>
        <w:rPr>
          <w:rFonts w:hint="eastAsia" w:ascii="仿宋" w:hAnsi="仿宋" w:eastAsia="仿宋" w:cs="仿宋"/>
          <w:color w:val="333333"/>
          <w:spacing w:val="8"/>
          <w:sz w:val="24"/>
          <w:szCs w:val="24"/>
        </w:rPr>
        <w:t>月</w:t>
      </w:r>
      <w:r>
        <w:rPr>
          <w:rFonts w:hint="eastAsia" w:ascii="仿宋" w:hAnsi="仿宋" w:eastAsia="仿宋" w:cs="仿宋"/>
          <w:color w:val="333333"/>
          <w:spacing w:val="8"/>
          <w:sz w:val="24"/>
          <w:szCs w:val="24"/>
          <w:lang w:val="en-US" w:eastAsia="zh-CN"/>
        </w:rPr>
        <w:t>6</w:t>
      </w:r>
      <w:r>
        <w:rPr>
          <w:rFonts w:hint="eastAsia" w:ascii="仿宋" w:hAnsi="仿宋" w:eastAsia="仿宋" w:cs="仿宋"/>
          <w:color w:val="333333"/>
          <w:spacing w:val="8"/>
          <w:sz w:val="24"/>
          <w:szCs w:val="24"/>
        </w:rPr>
        <w:t>日，因</w:t>
      </w:r>
      <w:r>
        <w:rPr>
          <w:rFonts w:hint="eastAsia" w:ascii="仿宋" w:hAnsi="仿宋" w:eastAsia="仿宋" w:cs="仿宋"/>
          <w:color w:val="333333"/>
          <w:spacing w:val="8"/>
          <w:sz w:val="24"/>
          <w:szCs w:val="24"/>
          <w:lang w:val="en-US" w:eastAsia="zh-CN"/>
        </w:rPr>
        <w:t>川嘉公司</w:t>
      </w:r>
      <w:r>
        <w:rPr>
          <w:rFonts w:hint="eastAsia" w:ascii="仿宋" w:hAnsi="仿宋" w:eastAsia="仿宋" w:cs="仿宋"/>
          <w:color w:val="333333"/>
          <w:spacing w:val="8"/>
          <w:sz w:val="24"/>
          <w:szCs w:val="24"/>
        </w:rPr>
        <w:t>不能清偿到期债务，且资产不足以清偿全部债务，</w:t>
      </w:r>
      <w:r>
        <w:rPr>
          <w:rFonts w:hint="eastAsia" w:ascii="仿宋" w:hAnsi="仿宋" w:eastAsia="仿宋" w:cs="仿宋"/>
          <w:color w:val="333333"/>
          <w:spacing w:val="8"/>
          <w:sz w:val="24"/>
          <w:szCs w:val="24"/>
          <w:lang w:val="en-US" w:eastAsia="zh-CN"/>
        </w:rPr>
        <w:t>经重庆庆华建设工程有限公司</w:t>
      </w:r>
      <w:r>
        <w:rPr>
          <w:rFonts w:hint="eastAsia" w:ascii="仿宋" w:hAnsi="仿宋" w:eastAsia="仿宋" w:cs="仿宋"/>
          <w:color w:val="333333"/>
          <w:spacing w:val="8"/>
          <w:sz w:val="24"/>
          <w:szCs w:val="24"/>
          <w:lang w:eastAsia="zh-CN"/>
        </w:rPr>
        <w:t>向人民法院申请破产清算，</w:t>
      </w:r>
      <w:r>
        <w:rPr>
          <w:rFonts w:hint="eastAsia" w:ascii="仿宋" w:hAnsi="仿宋" w:eastAsia="仿宋" w:cs="仿宋"/>
          <w:color w:val="333333"/>
          <w:spacing w:val="8"/>
          <w:sz w:val="24"/>
          <w:szCs w:val="24"/>
        </w:rPr>
        <w:t>贵州省</w:t>
      </w:r>
      <w:r>
        <w:rPr>
          <w:rFonts w:hint="eastAsia" w:ascii="仿宋" w:hAnsi="仿宋" w:eastAsia="仿宋" w:cs="仿宋"/>
          <w:color w:val="333333"/>
          <w:spacing w:val="8"/>
          <w:sz w:val="24"/>
          <w:szCs w:val="24"/>
          <w:lang w:val="en-US" w:eastAsia="zh-CN"/>
        </w:rPr>
        <w:t>金沙县</w:t>
      </w:r>
      <w:r>
        <w:rPr>
          <w:rFonts w:hint="eastAsia" w:ascii="仿宋" w:hAnsi="仿宋" w:eastAsia="仿宋" w:cs="仿宋"/>
          <w:color w:val="333333"/>
          <w:spacing w:val="8"/>
          <w:sz w:val="24"/>
          <w:szCs w:val="24"/>
        </w:rPr>
        <w:t>人民法院作出(2019)黔</w:t>
      </w:r>
      <w:r>
        <w:rPr>
          <w:rFonts w:hint="eastAsia" w:ascii="仿宋" w:hAnsi="仿宋" w:eastAsia="仿宋" w:cs="仿宋"/>
          <w:color w:val="333333"/>
          <w:spacing w:val="8"/>
          <w:sz w:val="24"/>
          <w:szCs w:val="24"/>
          <w:lang w:val="en-US" w:eastAsia="zh-CN"/>
        </w:rPr>
        <w:t>0523</w:t>
      </w:r>
      <w:r>
        <w:rPr>
          <w:rFonts w:hint="eastAsia" w:ascii="仿宋" w:hAnsi="仿宋" w:eastAsia="仿宋" w:cs="仿宋"/>
          <w:color w:val="333333"/>
          <w:spacing w:val="8"/>
          <w:sz w:val="24"/>
          <w:szCs w:val="24"/>
        </w:rPr>
        <w:t>破</w:t>
      </w:r>
      <w:r>
        <w:rPr>
          <w:rFonts w:hint="eastAsia" w:ascii="仿宋" w:hAnsi="仿宋" w:eastAsia="仿宋" w:cs="仿宋"/>
          <w:color w:val="333333"/>
          <w:spacing w:val="8"/>
          <w:sz w:val="24"/>
          <w:szCs w:val="24"/>
          <w:lang w:val="en-US" w:eastAsia="zh-CN"/>
        </w:rPr>
        <w:t>3</w:t>
      </w:r>
      <w:r>
        <w:rPr>
          <w:rFonts w:hint="eastAsia" w:ascii="仿宋" w:hAnsi="仿宋" w:eastAsia="仿宋" w:cs="仿宋"/>
          <w:color w:val="333333"/>
          <w:spacing w:val="8"/>
          <w:sz w:val="24"/>
          <w:szCs w:val="24"/>
        </w:rPr>
        <w:t>号《民事裁定书》，裁定受理</w:t>
      </w:r>
      <w:r>
        <w:rPr>
          <w:rFonts w:hint="eastAsia" w:ascii="仿宋" w:hAnsi="仿宋" w:eastAsia="仿宋" w:cs="仿宋"/>
          <w:color w:val="333333"/>
          <w:spacing w:val="8"/>
          <w:sz w:val="24"/>
          <w:szCs w:val="24"/>
          <w:lang w:eastAsia="zh-CN"/>
        </w:rPr>
        <w:t>重庆川嘉房地产开发</w:t>
      </w:r>
      <w:r>
        <w:rPr>
          <w:rFonts w:hint="eastAsia" w:ascii="仿宋" w:hAnsi="仿宋" w:eastAsia="仿宋" w:cs="仿宋"/>
          <w:color w:val="333333"/>
          <w:spacing w:val="8"/>
          <w:sz w:val="24"/>
          <w:szCs w:val="24"/>
          <w:lang w:val="en-US" w:eastAsia="zh-CN"/>
        </w:rPr>
        <w:t>有限公司</w:t>
      </w:r>
      <w:r>
        <w:rPr>
          <w:rFonts w:hint="eastAsia" w:ascii="仿宋" w:hAnsi="仿宋" w:eastAsia="仿宋" w:cs="仿宋"/>
          <w:color w:val="333333"/>
          <w:spacing w:val="8"/>
          <w:sz w:val="24"/>
          <w:szCs w:val="24"/>
        </w:rPr>
        <w:t>的破产清算</w:t>
      </w:r>
      <w:r>
        <w:rPr>
          <w:rFonts w:hint="eastAsia" w:ascii="仿宋" w:hAnsi="仿宋" w:eastAsia="仿宋" w:cs="仿宋"/>
          <w:color w:val="333333"/>
          <w:spacing w:val="8"/>
          <w:sz w:val="24"/>
          <w:szCs w:val="24"/>
          <w:lang w:eastAsia="zh-CN"/>
        </w:rPr>
        <w:t>案件</w:t>
      </w:r>
      <w:r>
        <w:rPr>
          <w:rFonts w:hint="eastAsia" w:ascii="仿宋" w:hAnsi="仿宋" w:eastAsia="仿宋" w:cs="仿宋"/>
          <w:color w:val="333333"/>
          <w:spacing w:val="8"/>
          <w:sz w:val="24"/>
          <w:szCs w:val="24"/>
        </w:rPr>
        <w:t>。</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rPr>
      </w:pPr>
      <w:r>
        <w:rPr>
          <w:rFonts w:hint="eastAsia" w:ascii="仿宋" w:hAnsi="仿宋" w:eastAsia="仿宋" w:cs="仿宋"/>
          <w:color w:val="333333"/>
          <w:spacing w:val="8"/>
          <w:sz w:val="24"/>
          <w:szCs w:val="24"/>
          <w:lang w:val="en-US" w:eastAsia="zh-CN"/>
        </w:rPr>
        <w:t>鉴于川嘉公司现有45亩空置土地，且项目地理位置优越</w:t>
      </w:r>
      <w:r>
        <w:rPr>
          <w:rFonts w:hint="eastAsia" w:ascii="仿宋" w:hAnsi="仿宋" w:eastAsia="仿宋" w:cs="仿宋"/>
          <w:color w:val="333333"/>
          <w:spacing w:val="8"/>
          <w:sz w:val="24"/>
          <w:szCs w:val="24"/>
        </w:rPr>
        <w:t>。</w:t>
      </w:r>
      <w:r>
        <w:rPr>
          <w:rFonts w:hint="eastAsia" w:ascii="仿宋" w:hAnsi="仿宋" w:eastAsia="仿宋" w:cs="仿宋"/>
          <w:color w:val="333333"/>
          <w:spacing w:val="8"/>
          <w:sz w:val="24"/>
          <w:szCs w:val="24"/>
          <w:lang w:val="en-US" w:eastAsia="zh-CN"/>
        </w:rPr>
        <w:t>如进行重整，完成空置土地的开发建设，将大大提高资产价值，而且对已经成熟的一期商业运营有较大促进作用，可以改变现在一期商业基本未经营的状态，</w:t>
      </w:r>
      <w:r>
        <w:rPr>
          <w:rFonts w:hint="eastAsia" w:ascii="仿宋" w:hAnsi="仿宋" w:eastAsia="仿宋" w:cs="仿宋"/>
          <w:color w:val="333333"/>
          <w:spacing w:val="8"/>
          <w:sz w:val="24"/>
          <w:szCs w:val="24"/>
        </w:rPr>
        <w:t>有利于提高债权人的债权清偿率。</w:t>
      </w:r>
      <w:r>
        <w:rPr>
          <w:rFonts w:hint="eastAsia" w:ascii="仿宋" w:hAnsi="仿宋" w:eastAsia="仿宋" w:cs="仿宋"/>
          <w:color w:val="333333"/>
          <w:spacing w:val="8"/>
          <w:sz w:val="24"/>
          <w:szCs w:val="24"/>
          <w:lang w:val="en-US" w:eastAsia="zh-CN"/>
        </w:rPr>
        <w:t>2021</w:t>
      </w:r>
      <w:r>
        <w:rPr>
          <w:rFonts w:hint="eastAsia" w:ascii="仿宋" w:hAnsi="仿宋" w:eastAsia="仿宋" w:cs="仿宋"/>
          <w:color w:val="333333"/>
          <w:spacing w:val="8"/>
          <w:sz w:val="24"/>
          <w:szCs w:val="24"/>
        </w:rPr>
        <w:t>年</w:t>
      </w:r>
      <w:r>
        <w:rPr>
          <w:rFonts w:hint="eastAsia" w:ascii="仿宋" w:hAnsi="仿宋" w:eastAsia="仿宋" w:cs="仿宋"/>
          <w:color w:val="333333"/>
          <w:spacing w:val="8"/>
          <w:sz w:val="24"/>
          <w:szCs w:val="24"/>
          <w:lang w:val="en-US" w:eastAsia="zh-CN"/>
        </w:rPr>
        <w:t>9月，川嘉公司及管理人向</w:t>
      </w:r>
      <w:r>
        <w:rPr>
          <w:rFonts w:hint="eastAsia" w:ascii="仿宋" w:hAnsi="仿宋" w:eastAsia="仿宋" w:cs="仿宋"/>
          <w:color w:val="333333"/>
          <w:spacing w:val="8"/>
          <w:sz w:val="24"/>
          <w:szCs w:val="24"/>
        </w:rPr>
        <w:t>法院申请</w:t>
      </w:r>
      <w:r>
        <w:rPr>
          <w:rFonts w:hint="eastAsia" w:ascii="仿宋" w:hAnsi="仿宋" w:eastAsia="仿宋" w:cs="仿宋"/>
          <w:color w:val="333333"/>
          <w:spacing w:val="8"/>
          <w:sz w:val="24"/>
          <w:szCs w:val="24"/>
          <w:lang w:val="en-US" w:eastAsia="zh-CN"/>
        </w:rPr>
        <w:t>破产</w:t>
      </w:r>
      <w:r>
        <w:rPr>
          <w:rFonts w:hint="eastAsia" w:ascii="仿宋" w:hAnsi="仿宋" w:eastAsia="仿宋" w:cs="仿宋"/>
          <w:color w:val="333333"/>
          <w:spacing w:val="8"/>
          <w:sz w:val="24"/>
          <w:szCs w:val="24"/>
        </w:rPr>
        <w:t>重整。</w:t>
      </w:r>
      <w:r>
        <w:rPr>
          <w:rFonts w:hint="eastAsia" w:ascii="仿宋" w:hAnsi="仿宋" w:eastAsia="仿宋" w:cs="仿宋"/>
          <w:color w:val="333333"/>
          <w:spacing w:val="8"/>
          <w:sz w:val="24"/>
          <w:szCs w:val="24"/>
          <w:lang w:val="en-US" w:eastAsia="zh-CN"/>
        </w:rPr>
        <w:t>金沙县法院经审查后</w:t>
      </w:r>
      <w:r>
        <w:rPr>
          <w:rFonts w:hint="eastAsia" w:ascii="仿宋" w:hAnsi="仿宋" w:eastAsia="仿宋" w:cs="仿宋"/>
          <w:color w:val="333333"/>
          <w:spacing w:val="8"/>
          <w:sz w:val="24"/>
          <w:szCs w:val="24"/>
        </w:rPr>
        <w:t>认为</w:t>
      </w:r>
      <w:r>
        <w:rPr>
          <w:rFonts w:hint="eastAsia" w:ascii="仿宋" w:hAnsi="仿宋" w:eastAsia="仿宋" w:cs="仿宋"/>
          <w:color w:val="333333"/>
          <w:spacing w:val="8"/>
          <w:sz w:val="24"/>
          <w:szCs w:val="24"/>
          <w:lang w:val="en-US" w:eastAsia="zh-CN"/>
        </w:rPr>
        <w:t>川嘉公司</w:t>
      </w:r>
      <w:r>
        <w:rPr>
          <w:rFonts w:hint="eastAsia" w:ascii="仿宋" w:hAnsi="仿宋" w:eastAsia="仿宋" w:cs="仿宋"/>
          <w:color w:val="333333"/>
          <w:spacing w:val="8"/>
          <w:sz w:val="24"/>
          <w:szCs w:val="24"/>
        </w:rPr>
        <w:t>具有挽救的价值，且重整下存在提高债权清偿比例的可能</w:t>
      </w:r>
      <w:r>
        <w:rPr>
          <w:rFonts w:hint="eastAsia" w:ascii="仿宋" w:hAnsi="仿宋" w:eastAsia="仿宋" w:cs="仿宋"/>
          <w:color w:val="333333"/>
          <w:spacing w:val="8"/>
          <w:sz w:val="24"/>
          <w:szCs w:val="24"/>
          <w:lang w:val="en-US" w:eastAsia="zh-CN"/>
        </w:rPr>
        <w:t>,</w:t>
      </w:r>
      <w:r>
        <w:rPr>
          <w:rFonts w:hint="eastAsia" w:ascii="仿宋" w:hAnsi="仿宋" w:eastAsia="仿宋" w:cs="仿宋"/>
          <w:color w:val="333333"/>
          <w:spacing w:val="8"/>
          <w:sz w:val="24"/>
          <w:szCs w:val="24"/>
        </w:rPr>
        <w:t>于202</w:t>
      </w:r>
      <w:r>
        <w:rPr>
          <w:rFonts w:hint="eastAsia" w:ascii="仿宋" w:hAnsi="仿宋" w:eastAsia="仿宋" w:cs="仿宋"/>
          <w:color w:val="333333"/>
          <w:spacing w:val="8"/>
          <w:sz w:val="24"/>
          <w:szCs w:val="24"/>
          <w:lang w:val="en-US" w:eastAsia="zh-CN"/>
        </w:rPr>
        <w:t>1</w:t>
      </w:r>
      <w:r>
        <w:rPr>
          <w:rFonts w:hint="eastAsia" w:ascii="仿宋" w:hAnsi="仿宋" w:eastAsia="仿宋" w:cs="仿宋"/>
          <w:color w:val="333333"/>
          <w:spacing w:val="8"/>
          <w:sz w:val="24"/>
          <w:szCs w:val="24"/>
        </w:rPr>
        <w:t>年</w:t>
      </w:r>
      <w:r>
        <w:rPr>
          <w:rFonts w:hint="eastAsia" w:ascii="仿宋" w:hAnsi="仿宋" w:eastAsia="仿宋" w:cs="仿宋"/>
          <w:color w:val="333333"/>
          <w:spacing w:val="8"/>
          <w:sz w:val="24"/>
          <w:szCs w:val="24"/>
          <w:lang w:val="en-US" w:eastAsia="zh-CN"/>
        </w:rPr>
        <w:t>9</w:t>
      </w:r>
      <w:r>
        <w:rPr>
          <w:rFonts w:hint="eastAsia" w:ascii="仿宋" w:hAnsi="仿宋" w:eastAsia="仿宋" w:cs="仿宋"/>
          <w:color w:val="333333"/>
          <w:spacing w:val="8"/>
          <w:sz w:val="24"/>
          <w:szCs w:val="24"/>
        </w:rPr>
        <w:t>月</w:t>
      </w:r>
      <w:r>
        <w:rPr>
          <w:rFonts w:hint="eastAsia" w:ascii="仿宋" w:hAnsi="仿宋" w:eastAsia="仿宋" w:cs="仿宋"/>
          <w:color w:val="333333"/>
          <w:spacing w:val="8"/>
          <w:sz w:val="24"/>
          <w:szCs w:val="24"/>
          <w:lang w:val="en-US" w:eastAsia="zh-CN"/>
        </w:rPr>
        <w:t>23</w:t>
      </w:r>
      <w:r>
        <w:rPr>
          <w:rFonts w:hint="eastAsia" w:ascii="仿宋" w:hAnsi="仿宋" w:eastAsia="仿宋" w:cs="仿宋"/>
          <w:color w:val="333333"/>
          <w:spacing w:val="8"/>
          <w:sz w:val="24"/>
          <w:szCs w:val="24"/>
        </w:rPr>
        <w:t>日裁定对</w:t>
      </w:r>
      <w:r>
        <w:rPr>
          <w:rFonts w:hint="eastAsia" w:ascii="仿宋" w:hAnsi="仿宋" w:eastAsia="仿宋" w:cs="仿宋"/>
          <w:color w:val="333333"/>
          <w:spacing w:val="8"/>
          <w:sz w:val="24"/>
          <w:szCs w:val="24"/>
          <w:lang w:val="en-US" w:eastAsia="zh-CN"/>
        </w:rPr>
        <w:t>川嘉公司</w:t>
      </w:r>
      <w:r>
        <w:rPr>
          <w:rFonts w:hint="eastAsia" w:ascii="仿宋" w:hAnsi="仿宋" w:eastAsia="仿宋" w:cs="仿宋"/>
          <w:color w:val="333333"/>
          <w:spacing w:val="8"/>
          <w:sz w:val="24"/>
          <w:szCs w:val="24"/>
        </w:rPr>
        <w:t>进行重整。</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rPr>
      </w:pPr>
      <w:r>
        <w:rPr>
          <w:rFonts w:hint="eastAsia" w:ascii="仿宋" w:hAnsi="仿宋" w:eastAsia="仿宋" w:cs="仿宋"/>
          <w:color w:val="333333"/>
          <w:spacing w:val="8"/>
          <w:sz w:val="24"/>
          <w:szCs w:val="24"/>
        </w:rPr>
        <w:t>（四）员工状况</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eastAsia="zh-CN"/>
        </w:rPr>
      </w:pPr>
      <w:r>
        <w:rPr>
          <w:rFonts w:hint="eastAsia" w:ascii="仿宋" w:hAnsi="仿宋" w:eastAsia="仿宋" w:cs="仿宋"/>
          <w:color w:val="333333"/>
          <w:spacing w:val="8"/>
          <w:sz w:val="24"/>
          <w:szCs w:val="24"/>
          <w:lang w:eastAsia="zh-CN"/>
        </w:rPr>
        <w:t>截止于本次会议前，川嘉公司在职员工2人。管理人于2020年8月11日到重庆市北碚区三圣镇劳动就业社会保障服务所办理韩冬、肖锐、黄蓉、邓桂元、刘柳婷、林娇娇、杨毅7位在职职工的停保业务。于2020年8月18日到重庆市缴纳欠付的社会保险金109</w:t>
      </w:r>
      <w:r>
        <w:rPr>
          <w:rFonts w:hint="eastAsia" w:ascii="仿宋" w:hAnsi="仿宋" w:eastAsia="仿宋" w:cs="仿宋"/>
          <w:color w:val="333333"/>
          <w:spacing w:val="8"/>
          <w:sz w:val="24"/>
          <w:szCs w:val="24"/>
          <w:lang w:val="en-US" w:eastAsia="zh-CN"/>
        </w:rPr>
        <w:t>,</w:t>
      </w:r>
      <w:r>
        <w:rPr>
          <w:rFonts w:hint="eastAsia" w:ascii="仿宋" w:hAnsi="仿宋" w:eastAsia="仿宋" w:cs="仿宋"/>
          <w:color w:val="333333"/>
          <w:spacing w:val="8"/>
          <w:sz w:val="24"/>
          <w:szCs w:val="24"/>
          <w:lang w:eastAsia="zh-CN"/>
        </w:rPr>
        <w:t>500.00元，截止2022年</w:t>
      </w:r>
      <w:r>
        <w:rPr>
          <w:rFonts w:hint="eastAsia" w:ascii="仿宋" w:hAnsi="仿宋" w:eastAsia="仿宋" w:cs="仿宋"/>
          <w:color w:val="333333"/>
          <w:spacing w:val="8"/>
          <w:sz w:val="24"/>
          <w:szCs w:val="24"/>
          <w:lang w:val="en-US" w:eastAsia="zh-CN"/>
        </w:rPr>
        <w:t>3</w:t>
      </w:r>
      <w:r>
        <w:rPr>
          <w:rFonts w:hint="eastAsia" w:ascii="仿宋" w:hAnsi="仿宋" w:eastAsia="仿宋" w:cs="仿宋"/>
          <w:color w:val="333333"/>
          <w:spacing w:val="8"/>
          <w:sz w:val="24"/>
          <w:szCs w:val="24"/>
          <w:lang w:eastAsia="zh-CN"/>
        </w:rPr>
        <w:t>月31日，川嘉公司欠付职工工资596</w:t>
      </w:r>
      <w:r>
        <w:rPr>
          <w:rFonts w:hint="eastAsia" w:ascii="仿宋" w:hAnsi="仿宋" w:eastAsia="仿宋" w:cs="仿宋"/>
          <w:color w:val="333333"/>
          <w:spacing w:val="8"/>
          <w:sz w:val="24"/>
          <w:szCs w:val="24"/>
          <w:lang w:val="en-US" w:eastAsia="zh-CN"/>
        </w:rPr>
        <w:t>,</w:t>
      </w:r>
      <w:r>
        <w:rPr>
          <w:rFonts w:hint="eastAsia" w:ascii="仿宋" w:hAnsi="仿宋" w:eastAsia="仿宋" w:cs="仿宋"/>
          <w:color w:val="333333"/>
          <w:spacing w:val="8"/>
          <w:sz w:val="24"/>
          <w:szCs w:val="24"/>
          <w:lang w:eastAsia="zh-CN"/>
        </w:rPr>
        <w:t>552.00元，尚欠社会保险金48</w:t>
      </w:r>
      <w:r>
        <w:rPr>
          <w:rFonts w:hint="eastAsia" w:ascii="仿宋" w:hAnsi="仿宋" w:eastAsia="仿宋" w:cs="仿宋"/>
          <w:color w:val="333333"/>
          <w:spacing w:val="8"/>
          <w:sz w:val="24"/>
          <w:szCs w:val="24"/>
          <w:lang w:val="en-US" w:eastAsia="zh-CN"/>
        </w:rPr>
        <w:t>,</w:t>
      </w:r>
      <w:r>
        <w:rPr>
          <w:rFonts w:hint="eastAsia" w:ascii="仿宋" w:hAnsi="仿宋" w:eastAsia="仿宋" w:cs="仿宋"/>
          <w:color w:val="333333"/>
          <w:spacing w:val="8"/>
          <w:sz w:val="24"/>
          <w:szCs w:val="24"/>
          <w:lang w:eastAsia="zh-CN"/>
        </w:rPr>
        <w:t>338.08元。截止本次会议前，需支付欠付工资、欠缴社会保险金共计644</w:t>
      </w:r>
      <w:r>
        <w:rPr>
          <w:rFonts w:hint="eastAsia" w:ascii="仿宋" w:hAnsi="仿宋" w:eastAsia="仿宋" w:cs="仿宋"/>
          <w:color w:val="333333"/>
          <w:spacing w:val="8"/>
          <w:sz w:val="24"/>
          <w:szCs w:val="24"/>
          <w:lang w:val="en-US" w:eastAsia="zh-CN"/>
        </w:rPr>
        <w:t>,</w:t>
      </w:r>
      <w:r>
        <w:rPr>
          <w:rFonts w:hint="eastAsia" w:ascii="仿宋" w:hAnsi="仿宋" w:eastAsia="仿宋" w:cs="仿宋"/>
          <w:color w:val="333333"/>
          <w:spacing w:val="8"/>
          <w:sz w:val="24"/>
          <w:szCs w:val="24"/>
          <w:lang w:eastAsia="zh-CN"/>
        </w:rPr>
        <w:t>890.08元。</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eastAsia="zh-CN"/>
        </w:rPr>
      </w:pPr>
      <w:r>
        <w:rPr>
          <w:rFonts w:hint="eastAsia" w:ascii="仿宋" w:hAnsi="仿宋" w:eastAsia="仿宋" w:cs="仿宋"/>
          <w:color w:val="333333"/>
          <w:spacing w:val="8"/>
          <w:sz w:val="24"/>
          <w:szCs w:val="24"/>
          <w:lang w:eastAsia="zh-CN"/>
        </w:rPr>
        <w:t>（五）资产状况</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eastAsia="zh-CN"/>
        </w:rPr>
      </w:pPr>
      <w:r>
        <w:rPr>
          <w:rFonts w:hint="eastAsia" w:ascii="仿宋" w:hAnsi="仿宋" w:eastAsia="仿宋" w:cs="仿宋"/>
          <w:color w:val="333333"/>
          <w:spacing w:val="8"/>
          <w:sz w:val="24"/>
          <w:szCs w:val="24"/>
          <w:lang w:eastAsia="zh-CN"/>
        </w:rPr>
        <w:t>1、货币资金</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eastAsia="zh-CN"/>
        </w:rPr>
      </w:pPr>
      <w:r>
        <w:rPr>
          <w:rFonts w:hint="eastAsia" w:ascii="仿宋" w:hAnsi="仿宋" w:eastAsia="仿宋" w:cs="仿宋"/>
          <w:color w:val="333333"/>
          <w:spacing w:val="8"/>
          <w:sz w:val="24"/>
          <w:szCs w:val="24"/>
          <w:lang w:eastAsia="zh-CN"/>
        </w:rPr>
        <w:t>截至2021年5月1日，川嘉公司实际掌控可以用于清偿破产费用、共益债务、债权的货币资金2</w:t>
      </w:r>
      <w:r>
        <w:rPr>
          <w:rFonts w:hint="eastAsia" w:ascii="仿宋" w:hAnsi="仿宋" w:eastAsia="仿宋" w:cs="仿宋"/>
          <w:color w:val="333333"/>
          <w:spacing w:val="8"/>
          <w:sz w:val="24"/>
          <w:szCs w:val="24"/>
          <w:lang w:val="en-US" w:eastAsia="zh-CN"/>
        </w:rPr>
        <w:t>,</w:t>
      </w:r>
      <w:r>
        <w:rPr>
          <w:rFonts w:hint="eastAsia" w:ascii="仿宋" w:hAnsi="仿宋" w:eastAsia="仿宋" w:cs="仿宋"/>
          <w:color w:val="333333"/>
          <w:spacing w:val="8"/>
          <w:sz w:val="24"/>
          <w:szCs w:val="24"/>
          <w:lang w:eastAsia="zh-CN"/>
        </w:rPr>
        <w:t>884</w:t>
      </w:r>
      <w:r>
        <w:rPr>
          <w:rFonts w:hint="eastAsia" w:ascii="仿宋" w:hAnsi="仿宋" w:eastAsia="仿宋" w:cs="仿宋"/>
          <w:color w:val="333333"/>
          <w:spacing w:val="8"/>
          <w:sz w:val="24"/>
          <w:szCs w:val="24"/>
          <w:lang w:val="en-US" w:eastAsia="zh-CN"/>
        </w:rPr>
        <w:t>,</w:t>
      </w:r>
      <w:r>
        <w:rPr>
          <w:rFonts w:hint="eastAsia" w:ascii="仿宋" w:hAnsi="仿宋" w:eastAsia="仿宋" w:cs="仿宋"/>
          <w:color w:val="333333"/>
          <w:spacing w:val="8"/>
          <w:sz w:val="24"/>
          <w:szCs w:val="24"/>
          <w:lang w:eastAsia="zh-CN"/>
        </w:rPr>
        <w:t>709.38元。</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eastAsia="zh-CN"/>
        </w:rPr>
      </w:pPr>
      <w:r>
        <w:rPr>
          <w:rFonts w:hint="eastAsia" w:ascii="仿宋" w:hAnsi="仿宋" w:eastAsia="仿宋" w:cs="仿宋"/>
          <w:color w:val="333333"/>
          <w:spacing w:val="8"/>
          <w:sz w:val="24"/>
          <w:szCs w:val="24"/>
          <w:lang w:eastAsia="zh-CN"/>
        </w:rPr>
        <w:t>2、其他应收款</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eastAsia="zh-CN"/>
        </w:rPr>
      </w:pPr>
      <w:r>
        <w:rPr>
          <w:rFonts w:hint="eastAsia" w:ascii="仿宋" w:hAnsi="仿宋" w:eastAsia="仿宋" w:cs="仿宋"/>
          <w:color w:val="333333"/>
          <w:spacing w:val="8"/>
          <w:sz w:val="24"/>
          <w:szCs w:val="24"/>
          <w:lang w:eastAsia="zh-CN"/>
        </w:rPr>
        <w:t>其他应收款</w:t>
      </w:r>
      <w:r>
        <w:rPr>
          <w:rFonts w:hint="eastAsia" w:ascii="仿宋" w:hAnsi="仿宋" w:eastAsia="仿宋" w:cs="仿宋"/>
          <w:color w:val="333333"/>
          <w:spacing w:val="8"/>
          <w:sz w:val="24"/>
          <w:szCs w:val="24"/>
          <w:lang w:val="en-US" w:eastAsia="zh-CN"/>
        </w:rPr>
        <w:t>审计</w:t>
      </w:r>
      <w:r>
        <w:rPr>
          <w:rFonts w:hint="eastAsia" w:ascii="仿宋" w:hAnsi="仿宋" w:eastAsia="仿宋" w:cs="仿宋"/>
          <w:color w:val="333333"/>
          <w:spacing w:val="8"/>
          <w:sz w:val="24"/>
          <w:szCs w:val="24"/>
          <w:lang w:eastAsia="zh-CN"/>
        </w:rPr>
        <w:t>金额</w:t>
      </w:r>
      <w:r>
        <w:rPr>
          <w:rFonts w:hint="eastAsia" w:ascii="仿宋" w:hAnsi="仿宋" w:eastAsia="仿宋" w:cs="仿宋"/>
          <w:color w:val="333333"/>
          <w:spacing w:val="8"/>
          <w:sz w:val="24"/>
          <w:szCs w:val="24"/>
          <w:lang w:val="en-US" w:eastAsia="zh-CN"/>
        </w:rPr>
        <w:t>331,369,921.68</w:t>
      </w:r>
      <w:r>
        <w:rPr>
          <w:rFonts w:hint="eastAsia" w:ascii="仿宋" w:hAnsi="仿宋" w:eastAsia="仿宋" w:cs="仿宋"/>
          <w:color w:val="333333"/>
          <w:spacing w:val="8"/>
          <w:sz w:val="24"/>
          <w:szCs w:val="24"/>
          <w:lang w:eastAsia="zh-CN"/>
        </w:rPr>
        <w:t>元。其中：</w:t>
      </w:r>
      <w:r>
        <w:rPr>
          <w:rFonts w:hint="eastAsia" w:ascii="仿宋" w:hAnsi="仿宋" w:eastAsia="仿宋" w:cs="仿宋"/>
          <w:color w:val="333333"/>
          <w:spacing w:val="8"/>
          <w:sz w:val="24"/>
          <w:szCs w:val="24"/>
          <w:lang w:val="en-US" w:eastAsia="zh-CN"/>
        </w:rPr>
        <w:t>代购房业主偿还按揭贷款432,464.03元，该部分款项能够在抵偿购房者债权或者收回；何庆中欠款2,942,660.00元，破产管理人已通过司法途径主张债权，但现在处于强制执行终本程序，该笔应收款最终是否能够实现无法预计，暂不作为清偿债权款项，待实现后再行分配；其余其他应收款均为预付的设备款、职工借款出差未冲账、支付利息款项等，无法作为清偿债权款项</w:t>
      </w:r>
      <w:r>
        <w:rPr>
          <w:rFonts w:hint="eastAsia" w:ascii="仿宋" w:hAnsi="仿宋" w:eastAsia="仿宋" w:cs="仿宋"/>
          <w:color w:val="333333"/>
          <w:spacing w:val="8"/>
          <w:sz w:val="24"/>
          <w:szCs w:val="24"/>
          <w:lang w:eastAsia="zh-CN"/>
        </w:rPr>
        <w:t>。川嘉公司实际可以用于清偿破产费用、共益债务、债权的其他应收款</w:t>
      </w:r>
      <w:r>
        <w:rPr>
          <w:rFonts w:hint="eastAsia" w:ascii="仿宋" w:hAnsi="仿宋" w:eastAsia="仿宋" w:cs="仿宋"/>
          <w:color w:val="333333"/>
          <w:spacing w:val="8"/>
          <w:sz w:val="24"/>
          <w:szCs w:val="24"/>
          <w:lang w:val="en-US" w:eastAsia="zh-CN"/>
        </w:rPr>
        <w:t>金额为432,464.03元</w:t>
      </w:r>
      <w:r>
        <w:rPr>
          <w:rFonts w:hint="eastAsia" w:ascii="仿宋" w:hAnsi="仿宋" w:eastAsia="仿宋" w:cs="仿宋"/>
          <w:color w:val="333333"/>
          <w:spacing w:val="8"/>
          <w:sz w:val="24"/>
          <w:szCs w:val="24"/>
          <w:lang w:eastAsia="zh-CN"/>
        </w:rPr>
        <w:t>。</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val="en-US" w:eastAsia="zh-CN"/>
        </w:rPr>
      </w:pPr>
      <w:r>
        <w:rPr>
          <w:rFonts w:hint="eastAsia" w:ascii="仿宋" w:hAnsi="仿宋" w:eastAsia="仿宋" w:cs="仿宋"/>
          <w:color w:val="333333"/>
          <w:spacing w:val="8"/>
          <w:sz w:val="24"/>
          <w:szCs w:val="24"/>
          <w:lang w:val="en-US" w:eastAsia="zh-CN"/>
        </w:rPr>
        <w:t>3</w:t>
      </w:r>
      <w:r>
        <w:rPr>
          <w:rFonts w:hint="eastAsia" w:ascii="仿宋" w:hAnsi="仿宋" w:eastAsia="仿宋" w:cs="仿宋"/>
          <w:color w:val="333333"/>
          <w:spacing w:val="8"/>
          <w:sz w:val="24"/>
          <w:szCs w:val="24"/>
          <w:lang w:eastAsia="zh-CN"/>
        </w:rPr>
        <w:t>、存货、</w:t>
      </w:r>
      <w:r>
        <w:rPr>
          <w:rFonts w:hint="eastAsia" w:ascii="仿宋" w:hAnsi="仿宋" w:eastAsia="仿宋" w:cs="仿宋"/>
          <w:color w:val="333333"/>
          <w:spacing w:val="8"/>
          <w:sz w:val="24"/>
          <w:szCs w:val="24"/>
          <w:lang w:val="en-US" w:eastAsia="zh-CN"/>
        </w:rPr>
        <w:t>固定资产、在建工程</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val="en-US" w:eastAsia="zh-CN"/>
        </w:rPr>
      </w:pPr>
      <w:r>
        <w:rPr>
          <w:rFonts w:hint="eastAsia" w:ascii="仿宋" w:hAnsi="仿宋" w:eastAsia="仿宋" w:cs="仿宋"/>
          <w:color w:val="333333"/>
          <w:spacing w:val="8"/>
          <w:sz w:val="24"/>
          <w:szCs w:val="24"/>
          <w:lang w:eastAsia="zh-CN"/>
        </w:rPr>
        <w:t>存货账面金额为</w:t>
      </w:r>
      <w:r>
        <w:rPr>
          <w:rFonts w:hint="eastAsia" w:ascii="仿宋" w:hAnsi="仿宋" w:eastAsia="仿宋" w:cs="仿宋"/>
          <w:color w:val="333333"/>
          <w:spacing w:val="8"/>
          <w:sz w:val="24"/>
          <w:szCs w:val="24"/>
          <w:lang w:val="en-US" w:eastAsia="zh-CN"/>
        </w:rPr>
        <w:t>97,671,457.25</w:t>
      </w:r>
      <w:r>
        <w:rPr>
          <w:rFonts w:hint="eastAsia" w:ascii="仿宋" w:hAnsi="仿宋" w:eastAsia="仿宋" w:cs="仿宋"/>
          <w:color w:val="333333"/>
          <w:spacing w:val="8"/>
          <w:sz w:val="24"/>
          <w:szCs w:val="24"/>
          <w:lang w:eastAsia="zh-CN"/>
        </w:rPr>
        <w:t>元，主要包括土地征用及拆迁补偿、前期工程费、建筑安装工程费、基础设施费、配套设施费、开发间接费、利息及其他，核算的是</w:t>
      </w:r>
      <w:r>
        <w:rPr>
          <w:rFonts w:hint="eastAsia" w:ascii="仿宋" w:hAnsi="仿宋" w:eastAsia="仿宋" w:cs="仿宋"/>
          <w:color w:val="333333"/>
          <w:spacing w:val="8"/>
          <w:sz w:val="24"/>
          <w:szCs w:val="24"/>
          <w:lang w:val="en-US" w:eastAsia="zh-CN"/>
        </w:rPr>
        <w:t>开发成本及工程建安成本等，因该部分已转化为资产进行评估，以最终资产评估报告为准；固定资产账目金额为16,914.35元，该部分资产进行了评估，以最终资产评估报告为准；在建工程账面金额为0。</w:t>
      </w:r>
      <w:r>
        <w:rPr>
          <w:rFonts w:hint="eastAsia" w:ascii="仿宋" w:hAnsi="仿宋" w:eastAsia="仿宋" w:cs="仿宋"/>
          <w:color w:val="333333"/>
          <w:spacing w:val="8"/>
          <w:sz w:val="24"/>
          <w:szCs w:val="24"/>
          <w:lang w:eastAsia="zh-CN"/>
        </w:rPr>
        <w:t>经评估机构评估，川嘉公司实际可以用于清偿破产费用、共益债务、债权的</w:t>
      </w:r>
      <w:r>
        <w:rPr>
          <w:rFonts w:hint="eastAsia" w:ascii="仿宋" w:hAnsi="仿宋" w:eastAsia="仿宋" w:cs="仿宋"/>
          <w:color w:val="333333"/>
          <w:spacing w:val="8"/>
          <w:sz w:val="24"/>
          <w:szCs w:val="24"/>
          <w:lang w:val="en-US" w:eastAsia="zh-CN"/>
        </w:rPr>
        <w:t>破产清算资产价值为218,168,000.00元。</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eastAsia="zh-CN"/>
        </w:rPr>
      </w:pPr>
    </w:p>
    <w:tbl>
      <w:tblPr>
        <w:tblStyle w:val="7"/>
        <w:tblW w:w="938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950"/>
        <w:gridCol w:w="2100"/>
        <w:gridCol w:w="1455"/>
        <w:gridCol w:w="1905"/>
        <w:gridCol w:w="29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30" w:hRule="atLeast"/>
          <w:jc w:val="center"/>
        </w:trPr>
        <w:tc>
          <w:tcPr>
            <w:tcW w:w="950" w:type="dxa"/>
            <w:tcBorders>
              <w:top w:val="single" w:color="000000" w:sz="4" w:space="0"/>
              <w:left w:val="single" w:color="000000" w:sz="4" w:space="0"/>
              <w:bottom w:val="single" w:color="000000" w:sz="4" w:space="0"/>
              <w:right w:val="single" w:color="000000" w:sz="4" w:space="0"/>
            </w:tcBorders>
            <w:noWrap w:val="0"/>
            <w:vAlign w:val="center"/>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val="en-US" w:eastAsia="zh-CN"/>
              </w:rPr>
            </w:pPr>
            <w:r>
              <w:rPr>
                <w:rFonts w:hint="eastAsia" w:ascii="仿宋" w:hAnsi="仿宋" w:eastAsia="仿宋" w:cs="仿宋"/>
                <w:color w:val="333333"/>
                <w:spacing w:val="8"/>
                <w:sz w:val="24"/>
                <w:szCs w:val="24"/>
                <w:lang w:val="en-US" w:eastAsia="zh-CN"/>
              </w:rPr>
              <w:t>序号</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val="en-US" w:eastAsia="zh-CN"/>
              </w:rPr>
            </w:pPr>
            <w:r>
              <w:rPr>
                <w:rFonts w:hint="eastAsia" w:ascii="仿宋" w:hAnsi="仿宋" w:eastAsia="仿宋" w:cs="仿宋"/>
                <w:color w:val="333333"/>
                <w:spacing w:val="8"/>
                <w:sz w:val="24"/>
                <w:szCs w:val="24"/>
                <w:lang w:val="en-US" w:eastAsia="zh-CN"/>
              </w:rPr>
              <w:t>评估对象</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val="en-US" w:eastAsia="zh-CN"/>
              </w:rPr>
            </w:pPr>
            <w:r>
              <w:rPr>
                <w:rFonts w:hint="eastAsia" w:ascii="仿宋" w:hAnsi="仿宋" w:eastAsia="仿宋" w:cs="仿宋"/>
                <w:color w:val="333333"/>
                <w:spacing w:val="8"/>
                <w:sz w:val="24"/>
                <w:szCs w:val="24"/>
                <w:lang w:val="en-US" w:eastAsia="zh-CN"/>
              </w:rPr>
              <w:t>市场价值（万元）</w:t>
            </w:r>
          </w:p>
        </w:tc>
        <w:tc>
          <w:tcPr>
            <w:tcW w:w="1905" w:type="dxa"/>
            <w:tcBorders>
              <w:top w:val="single" w:color="000000" w:sz="4" w:space="0"/>
              <w:left w:val="single" w:color="000000" w:sz="4" w:space="0"/>
              <w:bottom w:val="single" w:color="000000" w:sz="4" w:space="0"/>
              <w:right w:val="single" w:color="000000" w:sz="4" w:space="0"/>
            </w:tcBorders>
            <w:noWrap w:val="0"/>
            <w:vAlign w:val="center"/>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val="en-US" w:eastAsia="zh-CN"/>
              </w:rPr>
            </w:pPr>
            <w:r>
              <w:rPr>
                <w:rFonts w:hint="eastAsia" w:ascii="仿宋" w:hAnsi="仿宋" w:eastAsia="仿宋" w:cs="仿宋"/>
                <w:color w:val="333333"/>
                <w:spacing w:val="8"/>
                <w:sz w:val="24"/>
                <w:szCs w:val="24"/>
                <w:lang w:val="en-US" w:eastAsia="zh-CN"/>
              </w:rPr>
              <w:t>破产清算变现率</w:t>
            </w:r>
          </w:p>
        </w:tc>
        <w:tc>
          <w:tcPr>
            <w:tcW w:w="2970" w:type="dxa"/>
            <w:tcBorders>
              <w:top w:val="single" w:color="000000" w:sz="4" w:space="0"/>
              <w:left w:val="single" w:color="000000" w:sz="4" w:space="0"/>
              <w:bottom w:val="single" w:color="000000" w:sz="4" w:space="0"/>
              <w:right w:val="single" w:color="000000" w:sz="4" w:space="0"/>
            </w:tcBorders>
            <w:noWrap w:val="0"/>
            <w:vAlign w:val="center"/>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val="en-US" w:eastAsia="zh-CN"/>
              </w:rPr>
            </w:pPr>
            <w:r>
              <w:rPr>
                <w:rFonts w:hint="eastAsia" w:ascii="仿宋" w:hAnsi="仿宋" w:eastAsia="仿宋" w:cs="仿宋"/>
                <w:color w:val="333333"/>
                <w:spacing w:val="8"/>
                <w:sz w:val="24"/>
                <w:szCs w:val="24"/>
                <w:lang w:val="en-US" w:eastAsia="zh-CN"/>
              </w:rPr>
              <w:t>破产清算价值（万元）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jc w:val="center"/>
        </w:trPr>
        <w:tc>
          <w:tcPr>
            <w:tcW w:w="950" w:type="dxa"/>
            <w:tcBorders>
              <w:top w:val="single" w:color="000000" w:sz="4" w:space="0"/>
              <w:left w:val="single" w:color="000000" w:sz="4" w:space="0"/>
              <w:bottom w:val="single" w:color="000000" w:sz="4" w:space="0"/>
              <w:right w:val="single" w:color="000000" w:sz="4" w:space="0"/>
            </w:tcBorders>
            <w:noWrap w:val="0"/>
            <w:vAlign w:val="center"/>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val="en-US" w:eastAsia="zh-CN"/>
              </w:rPr>
            </w:pPr>
            <w:r>
              <w:rPr>
                <w:rFonts w:hint="eastAsia" w:ascii="仿宋" w:hAnsi="仿宋" w:eastAsia="仿宋" w:cs="仿宋"/>
                <w:color w:val="333333"/>
                <w:spacing w:val="8"/>
                <w:sz w:val="24"/>
                <w:szCs w:val="24"/>
                <w:lang w:val="en-US" w:eastAsia="zh-CN"/>
              </w:rPr>
              <w:t>1</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val="en-US" w:eastAsia="zh-CN"/>
              </w:rPr>
            </w:pPr>
            <w:r>
              <w:rPr>
                <w:rFonts w:hint="eastAsia" w:ascii="仿宋" w:hAnsi="仿宋" w:eastAsia="仿宋" w:cs="仿宋"/>
                <w:color w:val="333333"/>
                <w:spacing w:val="8"/>
                <w:sz w:val="24"/>
                <w:szCs w:val="24"/>
                <w:lang w:val="en-US" w:eastAsia="zh-CN"/>
              </w:rPr>
              <w:t>228套住宅</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val="en-US" w:eastAsia="zh-CN"/>
              </w:rPr>
            </w:pPr>
            <w:r>
              <w:rPr>
                <w:rFonts w:hint="eastAsia" w:ascii="仿宋" w:hAnsi="仿宋" w:eastAsia="仿宋" w:cs="仿宋"/>
                <w:color w:val="333333"/>
                <w:spacing w:val="8"/>
                <w:sz w:val="24"/>
                <w:szCs w:val="24"/>
                <w:lang w:val="en-US" w:eastAsia="zh-CN"/>
              </w:rPr>
              <w:t>6916.56</w:t>
            </w:r>
          </w:p>
        </w:tc>
        <w:tc>
          <w:tcPr>
            <w:tcW w:w="1905" w:type="dxa"/>
            <w:tcBorders>
              <w:top w:val="single" w:color="000000" w:sz="4" w:space="0"/>
              <w:left w:val="single" w:color="000000" w:sz="4" w:space="0"/>
              <w:bottom w:val="single" w:color="000000" w:sz="4" w:space="0"/>
              <w:right w:val="single" w:color="000000" w:sz="4" w:space="0"/>
            </w:tcBorders>
            <w:noWrap w:val="0"/>
            <w:vAlign w:val="center"/>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val="en-US" w:eastAsia="zh-CN"/>
              </w:rPr>
            </w:pPr>
            <w:r>
              <w:rPr>
                <w:rFonts w:hint="eastAsia" w:ascii="仿宋" w:hAnsi="仿宋" w:eastAsia="仿宋" w:cs="仿宋"/>
                <w:color w:val="333333"/>
                <w:spacing w:val="8"/>
                <w:sz w:val="24"/>
                <w:szCs w:val="24"/>
                <w:lang w:val="en-US" w:eastAsia="zh-CN"/>
              </w:rPr>
              <w:t>75%</w:t>
            </w:r>
          </w:p>
        </w:tc>
        <w:tc>
          <w:tcPr>
            <w:tcW w:w="2970" w:type="dxa"/>
            <w:tcBorders>
              <w:top w:val="single" w:color="000000" w:sz="4" w:space="0"/>
              <w:left w:val="single" w:color="000000" w:sz="4" w:space="0"/>
              <w:bottom w:val="single" w:color="000000" w:sz="4" w:space="0"/>
              <w:right w:val="single" w:color="000000" w:sz="4" w:space="0"/>
            </w:tcBorders>
            <w:noWrap w:val="0"/>
            <w:vAlign w:val="center"/>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val="en-US" w:eastAsia="zh-CN"/>
              </w:rPr>
            </w:pPr>
            <w:r>
              <w:rPr>
                <w:rFonts w:hint="eastAsia" w:ascii="仿宋" w:hAnsi="仿宋" w:eastAsia="仿宋" w:cs="仿宋"/>
                <w:color w:val="333333"/>
                <w:spacing w:val="8"/>
                <w:sz w:val="24"/>
                <w:szCs w:val="24"/>
                <w:lang w:val="en-US" w:eastAsia="zh-CN"/>
              </w:rPr>
              <w:t xml:space="preserve">5187.42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jc w:val="center"/>
        </w:trPr>
        <w:tc>
          <w:tcPr>
            <w:tcW w:w="950" w:type="dxa"/>
            <w:tcBorders>
              <w:top w:val="single" w:color="000000" w:sz="4" w:space="0"/>
              <w:left w:val="single" w:color="000000" w:sz="4" w:space="0"/>
              <w:bottom w:val="single" w:color="000000" w:sz="4" w:space="0"/>
              <w:right w:val="single" w:color="000000" w:sz="4" w:space="0"/>
            </w:tcBorders>
            <w:noWrap w:val="0"/>
            <w:vAlign w:val="center"/>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val="en-US" w:eastAsia="zh-CN"/>
              </w:rPr>
            </w:pPr>
            <w:r>
              <w:rPr>
                <w:rFonts w:hint="eastAsia" w:ascii="仿宋" w:hAnsi="仿宋" w:eastAsia="仿宋" w:cs="仿宋"/>
                <w:color w:val="333333"/>
                <w:spacing w:val="8"/>
                <w:sz w:val="24"/>
                <w:szCs w:val="24"/>
                <w:lang w:val="en-US" w:eastAsia="zh-CN"/>
              </w:rPr>
              <w:t>2</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val="en-US" w:eastAsia="zh-CN"/>
              </w:rPr>
            </w:pPr>
            <w:r>
              <w:rPr>
                <w:rFonts w:hint="eastAsia" w:ascii="仿宋" w:hAnsi="仿宋" w:eastAsia="仿宋" w:cs="仿宋"/>
                <w:color w:val="333333"/>
                <w:spacing w:val="8"/>
                <w:sz w:val="24"/>
                <w:szCs w:val="24"/>
                <w:lang w:val="en-US" w:eastAsia="zh-CN"/>
              </w:rPr>
              <w:t>77套商业</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val="en-US" w:eastAsia="zh-CN"/>
              </w:rPr>
            </w:pPr>
            <w:r>
              <w:rPr>
                <w:rFonts w:hint="eastAsia" w:ascii="仿宋" w:hAnsi="仿宋" w:eastAsia="仿宋" w:cs="仿宋"/>
                <w:color w:val="333333"/>
                <w:spacing w:val="8"/>
                <w:sz w:val="24"/>
                <w:szCs w:val="24"/>
                <w:lang w:val="en-US" w:eastAsia="zh-CN"/>
              </w:rPr>
              <w:t>19177.7</w:t>
            </w:r>
          </w:p>
        </w:tc>
        <w:tc>
          <w:tcPr>
            <w:tcW w:w="1905" w:type="dxa"/>
            <w:tcBorders>
              <w:top w:val="single" w:color="000000" w:sz="4" w:space="0"/>
              <w:left w:val="single" w:color="000000" w:sz="4" w:space="0"/>
              <w:bottom w:val="single" w:color="000000" w:sz="4" w:space="0"/>
              <w:right w:val="single" w:color="000000" w:sz="4" w:space="0"/>
            </w:tcBorders>
            <w:noWrap w:val="0"/>
            <w:vAlign w:val="center"/>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val="en-US" w:eastAsia="zh-CN"/>
              </w:rPr>
            </w:pPr>
            <w:r>
              <w:rPr>
                <w:rFonts w:hint="eastAsia" w:ascii="仿宋" w:hAnsi="仿宋" w:eastAsia="仿宋" w:cs="仿宋"/>
                <w:color w:val="333333"/>
                <w:spacing w:val="8"/>
                <w:sz w:val="24"/>
                <w:szCs w:val="24"/>
                <w:lang w:val="en-US" w:eastAsia="zh-CN"/>
              </w:rPr>
              <w:t>70%</w:t>
            </w:r>
          </w:p>
        </w:tc>
        <w:tc>
          <w:tcPr>
            <w:tcW w:w="2970" w:type="dxa"/>
            <w:tcBorders>
              <w:top w:val="single" w:color="000000" w:sz="4" w:space="0"/>
              <w:left w:val="single" w:color="000000" w:sz="4" w:space="0"/>
              <w:bottom w:val="single" w:color="000000" w:sz="4" w:space="0"/>
              <w:right w:val="single" w:color="000000" w:sz="4" w:space="0"/>
            </w:tcBorders>
            <w:noWrap w:val="0"/>
            <w:vAlign w:val="center"/>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val="en-US" w:eastAsia="zh-CN"/>
              </w:rPr>
            </w:pPr>
            <w:r>
              <w:rPr>
                <w:rFonts w:hint="eastAsia" w:ascii="仿宋" w:hAnsi="仿宋" w:eastAsia="仿宋" w:cs="仿宋"/>
                <w:color w:val="333333"/>
                <w:spacing w:val="8"/>
                <w:sz w:val="24"/>
                <w:szCs w:val="24"/>
                <w:lang w:val="en-US" w:eastAsia="zh-CN"/>
              </w:rPr>
              <w:t xml:space="preserve">13424.39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jc w:val="center"/>
        </w:trPr>
        <w:tc>
          <w:tcPr>
            <w:tcW w:w="950" w:type="dxa"/>
            <w:tcBorders>
              <w:top w:val="single" w:color="000000" w:sz="4" w:space="0"/>
              <w:left w:val="single" w:color="000000" w:sz="4" w:space="0"/>
              <w:bottom w:val="single" w:color="000000" w:sz="4" w:space="0"/>
              <w:right w:val="single" w:color="000000" w:sz="4" w:space="0"/>
            </w:tcBorders>
            <w:noWrap w:val="0"/>
            <w:vAlign w:val="center"/>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val="en-US" w:eastAsia="zh-CN"/>
              </w:rPr>
            </w:pPr>
            <w:r>
              <w:rPr>
                <w:rFonts w:hint="eastAsia" w:ascii="仿宋" w:hAnsi="仿宋" w:eastAsia="仿宋" w:cs="仿宋"/>
                <w:color w:val="333333"/>
                <w:spacing w:val="8"/>
                <w:sz w:val="24"/>
                <w:szCs w:val="24"/>
                <w:lang w:val="en-US" w:eastAsia="zh-CN"/>
              </w:rPr>
              <w:t>3</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val="en-US" w:eastAsia="zh-CN"/>
              </w:rPr>
            </w:pPr>
            <w:r>
              <w:rPr>
                <w:rFonts w:hint="eastAsia" w:ascii="仿宋" w:hAnsi="仿宋" w:eastAsia="仿宋" w:cs="仿宋"/>
                <w:color w:val="333333"/>
                <w:spacing w:val="8"/>
                <w:sz w:val="24"/>
                <w:szCs w:val="24"/>
                <w:lang w:val="en-US" w:eastAsia="zh-CN"/>
              </w:rPr>
              <w:t>386地下停车库</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val="en-US" w:eastAsia="zh-CN"/>
              </w:rPr>
            </w:pPr>
            <w:r>
              <w:rPr>
                <w:rFonts w:hint="eastAsia" w:ascii="仿宋" w:hAnsi="仿宋" w:eastAsia="仿宋" w:cs="仿宋"/>
                <w:color w:val="333333"/>
                <w:spacing w:val="8"/>
                <w:sz w:val="24"/>
                <w:szCs w:val="24"/>
                <w:lang w:val="en-US" w:eastAsia="zh-CN"/>
              </w:rPr>
              <w:t>2082.35</w:t>
            </w:r>
          </w:p>
        </w:tc>
        <w:tc>
          <w:tcPr>
            <w:tcW w:w="1905" w:type="dxa"/>
            <w:tcBorders>
              <w:top w:val="single" w:color="000000" w:sz="4" w:space="0"/>
              <w:left w:val="single" w:color="000000" w:sz="4" w:space="0"/>
              <w:bottom w:val="single" w:color="000000" w:sz="4" w:space="0"/>
              <w:right w:val="single" w:color="000000" w:sz="4" w:space="0"/>
            </w:tcBorders>
            <w:noWrap w:val="0"/>
            <w:vAlign w:val="center"/>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val="en-US" w:eastAsia="zh-CN"/>
              </w:rPr>
            </w:pPr>
            <w:r>
              <w:rPr>
                <w:rFonts w:hint="eastAsia" w:ascii="仿宋" w:hAnsi="仿宋" w:eastAsia="仿宋" w:cs="仿宋"/>
                <w:color w:val="333333"/>
                <w:spacing w:val="8"/>
                <w:sz w:val="24"/>
                <w:szCs w:val="24"/>
                <w:lang w:val="en-US" w:eastAsia="zh-CN"/>
              </w:rPr>
              <w:t>65%</w:t>
            </w:r>
          </w:p>
        </w:tc>
        <w:tc>
          <w:tcPr>
            <w:tcW w:w="2970" w:type="dxa"/>
            <w:tcBorders>
              <w:top w:val="single" w:color="000000" w:sz="4" w:space="0"/>
              <w:left w:val="single" w:color="000000" w:sz="4" w:space="0"/>
              <w:bottom w:val="single" w:color="000000" w:sz="4" w:space="0"/>
              <w:right w:val="single" w:color="000000" w:sz="4" w:space="0"/>
            </w:tcBorders>
            <w:noWrap w:val="0"/>
            <w:vAlign w:val="center"/>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val="en-US" w:eastAsia="zh-CN"/>
              </w:rPr>
            </w:pPr>
            <w:r>
              <w:rPr>
                <w:rFonts w:hint="eastAsia" w:ascii="仿宋" w:hAnsi="仿宋" w:eastAsia="仿宋" w:cs="仿宋"/>
                <w:color w:val="333333"/>
                <w:spacing w:val="8"/>
                <w:sz w:val="24"/>
                <w:szCs w:val="24"/>
                <w:lang w:val="en-US" w:eastAsia="zh-CN"/>
              </w:rPr>
              <w:t xml:space="preserve">1353.53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9" w:hRule="atLeast"/>
          <w:jc w:val="center"/>
        </w:trPr>
        <w:tc>
          <w:tcPr>
            <w:tcW w:w="950" w:type="dxa"/>
            <w:tcBorders>
              <w:top w:val="single" w:color="000000" w:sz="4" w:space="0"/>
              <w:left w:val="single" w:color="000000" w:sz="4" w:space="0"/>
              <w:bottom w:val="single" w:color="000000" w:sz="4" w:space="0"/>
              <w:right w:val="single" w:color="000000" w:sz="4" w:space="0"/>
            </w:tcBorders>
            <w:noWrap w:val="0"/>
            <w:vAlign w:val="center"/>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val="en-US" w:eastAsia="zh-CN"/>
              </w:rPr>
            </w:pPr>
            <w:r>
              <w:rPr>
                <w:rFonts w:hint="eastAsia" w:ascii="仿宋" w:hAnsi="仿宋" w:eastAsia="仿宋" w:cs="仿宋"/>
                <w:color w:val="333333"/>
                <w:spacing w:val="8"/>
                <w:sz w:val="24"/>
                <w:szCs w:val="24"/>
                <w:lang w:val="en-US" w:eastAsia="zh-CN"/>
              </w:rPr>
              <w:t>4</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val="en-US" w:eastAsia="zh-CN"/>
              </w:rPr>
            </w:pPr>
            <w:r>
              <w:rPr>
                <w:rFonts w:hint="eastAsia" w:ascii="仿宋" w:hAnsi="仿宋" w:eastAsia="仿宋" w:cs="仿宋"/>
                <w:color w:val="333333"/>
                <w:spacing w:val="8"/>
                <w:sz w:val="24"/>
                <w:szCs w:val="24"/>
                <w:lang w:val="en-US" w:eastAsia="zh-CN"/>
              </w:rPr>
              <w:t>金国用（2013）第00273号土地使用权</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val="en-US" w:eastAsia="zh-CN"/>
              </w:rPr>
            </w:pPr>
            <w:r>
              <w:rPr>
                <w:rFonts w:hint="eastAsia" w:ascii="仿宋" w:hAnsi="仿宋" w:eastAsia="仿宋" w:cs="仿宋"/>
                <w:color w:val="333333"/>
                <w:spacing w:val="8"/>
                <w:sz w:val="24"/>
                <w:szCs w:val="24"/>
                <w:lang w:val="en-US" w:eastAsia="zh-CN"/>
              </w:rPr>
              <w:t>2363.38</w:t>
            </w:r>
          </w:p>
        </w:tc>
        <w:tc>
          <w:tcPr>
            <w:tcW w:w="1905" w:type="dxa"/>
            <w:tcBorders>
              <w:top w:val="single" w:color="000000" w:sz="4" w:space="0"/>
              <w:left w:val="single" w:color="000000" w:sz="4" w:space="0"/>
              <w:bottom w:val="single" w:color="000000" w:sz="4" w:space="0"/>
              <w:right w:val="single" w:color="000000" w:sz="4" w:space="0"/>
            </w:tcBorders>
            <w:noWrap w:val="0"/>
            <w:vAlign w:val="center"/>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val="en-US" w:eastAsia="zh-CN"/>
              </w:rPr>
            </w:pPr>
            <w:r>
              <w:rPr>
                <w:rFonts w:hint="eastAsia" w:ascii="仿宋" w:hAnsi="仿宋" w:eastAsia="仿宋" w:cs="仿宋"/>
                <w:color w:val="333333"/>
                <w:spacing w:val="8"/>
                <w:sz w:val="24"/>
                <w:szCs w:val="24"/>
                <w:lang w:val="en-US" w:eastAsia="zh-CN"/>
              </w:rPr>
              <w:t>78%</w:t>
            </w:r>
          </w:p>
        </w:tc>
        <w:tc>
          <w:tcPr>
            <w:tcW w:w="2970" w:type="dxa"/>
            <w:tcBorders>
              <w:top w:val="single" w:color="000000" w:sz="4" w:space="0"/>
              <w:left w:val="single" w:color="000000" w:sz="4" w:space="0"/>
              <w:bottom w:val="single" w:color="000000" w:sz="4" w:space="0"/>
              <w:right w:val="single" w:color="000000" w:sz="4" w:space="0"/>
            </w:tcBorders>
            <w:noWrap w:val="0"/>
            <w:vAlign w:val="center"/>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val="en-US" w:eastAsia="zh-CN"/>
              </w:rPr>
            </w:pPr>
            <w:r>
              <w:rPr>
                <w:rFonts w:hint="eastAsia" w:ascii="仿宋" w:hAnsi="仿宋" w:eastAsia="仿宋" w:cs="仿宋"/>
                <w:color w:val="333333"/>
                <w:spacing w:val="8"/>
                <w:sz w:val="24"/>
                <w:szCs w:val="24"/>
                <w:lang w:val="en-US" w:eastAsia="zh-CN"/>
              </w:rPr>
              <w:t xml:space="preserve">1843.44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jc w:val="center"/>
        </w:trPr>
        <w:tc>
          <w:tcPr>
            <w:tcW w:w="950" w:type="dxa"/>
            <w:tcBorders>
              <w:top w:val="single" w:color="000000" w:sz="4" w:space="0"/>
              <w:left w:val="single" w:color="000000" w:sz="4" w:space="0"/>
              <w:bottom w:val="single" w:color="000000" w:sz="4" w:space="0"/>
              <w:right w:val="single" w:color="000000" w:sz="4" w:space="0"/>
            </w:tcBorders>
            <w:noWrap w:val="0"/>
            <w:vAlign w:val="center"/>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val="en-US" w:eastAsia="zh-CN"/>
              </w:rPr>
            </w:pPr>
            <w:r>
              <w:rPr>
                <w:rFonts w:hint="eastAsia" w:ascii="仿宋" w:hAnsi="仿宋" w:eastAsia="仿宋" w:cs="仿宋"/>
                <w:color w:val="333333"/>
                <w:spacing w:val="8"/>
                <w:sz w:val="24"/>
                <w:szCs w:val="24"/>
                <w:lang w:val="en-US" w:eastAsia="zh-CN"/>
              </w:rPr>
              <w:t>4</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val="en-US" w:eastAsia="zh-CN"/>
              </w:rPr>
            </w:pPr>
            <w:r>
              <w:rPr>
                <w:rFonts w:hint="eastAsia" w:ascii="仿宋" w:hAnsi="仿宋" w:eastAsia="仿宋" w:cs="仿宋"/>
                <w:color w:val="333333"/>
                <w:spacing w:val="8"/>
                <w:sz w:val="24"/>
                <w:szCs w:val="24"/>
                <w:lang w:val="en-US" w:eastAsia="zh-CN"/>
              </w:rPr>
              <w:t>办公家具及设备</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val="en-US" w:eastAsia="zh-CN"/>
              </w:rPr>
            </w:pPr>
            <w:r>
              <w:rPr>
                <w:rFonts w:hint="eastAsia" w:ascii="仿宋" w:hAnsi="仿宋" w:eastAsia="仿宋" w:cs="仿宋"/>
                <w:color w:val="333333"/>
                <w:spacing w:val="8"/>
                <w:sz w:val="24"/>
                <w:szCs w:val="24"/>
                <w:lang w:val="en-US" w:eastAsia="zh-CN"/>
              </w:rPr>
              <w:t>2.66</w:t>
            </w:r>
          </w:p>
        </w:tc>
        <w:tc>
          <w:tcPr>
            <w:tcW w:w="1905" w:type="dxa"/>
            <w:tcBorders>
              <w:top w:val="single" w:color="000000" w:sz="4" w:space="0"/>
              <w:left w:val="single" w:color="000000" w:sz="4" w:space="0"/>
              <w:bottom w:val="single" w:color="000000" w:sz="4" w:space="0"/>
              <w:right w:val="single" w:color="000000" w:sz="4" w:space="0"/>
            </w:tcBorders>
            <w:noWrap w:val="0"/>
            <w:vAlign w:val="center"/>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val="en-US" w:eastAsia="zh-CN"/>
              </w:rPr>
            </w:pPr>
            <w:r>
              <w:rPr>
                <w:rFonts w:hint="eastAsia" w:ascii="仿宋" w:hAnsi="仿宋" w:eastAsia="仿宋" w:cs="仿宋"/>
                <w:color w:val="333333"/>
                <w:spacing w:val="8"/>
                <w:sz w:val="24"/>
                <w:szCs w:val="24"/>
                <w:lang w:val="en-US" w:eastAsia="zh-CN"/>
              </w:rPr>
              <w:t>70%</w:t>
            </w:r>
          </w:p>
        </w:tc>
        <w:tc>
          <w:tcPr>
            <w:tcW w:w="2970" w:type="dxa"/>
            <w:tcBorders>
              <w:top w:val="single" w:color="000000" w:sz="4" w:space="0"/>
              <w:left w:val="single" w:color="000000" w:sz="4" w:space="0"/>
              <w:bottom w:val="single" w:color="000000" w:sz="4" w:space="0"/>
              <w:right w:val="single" w:color="000000" w:sz="4" w:space="0"/>
            </w:tcBorders>
            <w:noWrap w:val="0"/>
            <w:vAlign w:val="center"/>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val="en-US" w:eastAsia="zh-CN"/>
              </w:rPr>
            </w:pPr>
            <w:r>
              <w:rPr>
                <w:rFonts w:hint="eastAsia" w:ascii="仿宋" w:hAnsi="仿宋" w:eastAsia="仿宋" w:cs="仿宋"/>
                <w:color w:val="333333"/>
                <w:spacing w:val="8"/>
                <w:sz w:val="24"/>
                <w:szCs w:val="24"/>
                <w:lang w:val="en-US" w:eastAsia="zh-CN"/>
              </w:rPr>
              <w:t xml:space="preserve">1.86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jc w:val="center"/>
        </w:trPr>
        <w:tc>
          <w:tcPr>
            <w:tcW w:w="950" w:type="dxa"/>
            <w:tcBorders>
              <w:top w:val="single" w:color="000000" w:sz="4" w:space="0"/>
              <w:left w:val="single" w:color="000000" w:sz="4" w:space="0"/>
              <w:bottom w:val="single" w:color="000000" w:sz="4" w:space="0"/>
              <w:right w:val="single" w:color="000000" w:sz="4" w:space="0"/>
            </w:tcBorders>
            <w:noWrap w:val="0"/>
            <w:vAlign w:val="center"/>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val="en-US" w:eastAsia="zh-CN"/>
              </w:rPr>
            </w:pPr>
            <w:r>
              <w:rPr>
                <w:rFonts w:hint="eastAsia" w:ascii="仿宋" w:hAnsi="仿宋" w:eastAsia="仿宋" w:cs="仿宋"/>
                <w:color w:val="333333"/>
                <w:spacing w:val="8"/>
                <w:sz w:val="24"/>
                <w:szCs w:val="24"/>
                <w:lang w:val="en-US" w:eastAsia="zh-CN"/>
              </w:rPr>
              <w:t>5</w:t>
            </w: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val="en-US" w:eastAsia="zh-CN"/>
              </w:rPr>
            </w:pPr>
            <w:r>
              <w:rPr>
                <w:rFonts w:hint="eastAsia" w:ascii="仿宋" w:hAnsi="仿宋" w:eastAsia="仿宋" w:cs="仿宋"/>
                <w:color w:val="333333"/>
                <w:spacing w:val="8"/>
                <w:sz w:val="24"/>
                <w:szCs w:val="24"/>
                <w:lang w:val="en-US" w:eastAsia="zh-CN"/>
              </w:rPr>
              <w:t>车辆</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val="en-US" w:eastAsia="zh-CN"/>
              </w:rPr>
            </w:pPr>
            <w:r>
              <w:rPr>
                <w:rFonts w:hint="eastAsia" w:ascii="仿宋" w:hAnsi="仿宋" w:eastAsia="仿宋" w:cs="仿宋"/>
                <w:color w:val="333333"/>
                <w:spacing w:val="8"/>
                <w:sz w:val="24"/>
                <w:szCs w:val="24"/>
                <w:lang w:val="en-US" w:eastAsia="zh-CN"/>
              </w:rPr>
              <w:t>7.71</w:t>
            </w:r>
          </w:p>
        </w:tc>
        <w:tc>
          <w:tcPr>
            <w:tcW w:w="1905" w:type="dxa"/>
            <w:tcBorders>
              <w:top w:val="single" w:color="000000" w:sz="4" w:space="0"/>
              <w:left w:val="single" w:color="000000" w:sz="4" w:space="0"/>
              <w:bottom w:val="single" w:color="000000" w:sz="4" w:space="0"/>
              <w:right w:val="single" w:color="000000" w:sz="4" w:space="0"/>
            </w:tcBorders>
            <w:noWrap w:val="0"/>
            <w:vAlign w:val="center"/>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val="en-US" w:eastAsia="zh-CN"/>
              </w:rPr>
            </w:pPr>
            <w:r>
              <w:rPr>
                <w:rFonts w:hint="eastAsia" w:ascii="仿宋" w:hAnsi="仿宋" w:eastAsia="仿宋" w:cs="仿宋"/>
                <w:color w:val="333333"/>
                <w:spacing w:val="8"/>
                <w:sz w:val="24"/>
                <w:szCs w:val="24"/>
                <w:lang w:val="en-US" w:eastAsia="zh-CN"/>
              </w:rPr>
              <w:t>80%</w:t>
            </w:r>
          </w:p>
        </w:tc>
        <w:tc>
          <w:tcPr>
            <w:tcW w:w="2970" w:type="dxa"/>
            <w:tcBorders>
              <w:top w:val="single" w:color="000000" w:sz="4" w:space="0"/>
              <w:left w:val="single" w:color="000000" w:sz="4" w:space="0"/>
              <w:bottom w:val="single" w:color="000000" w:sz="4" w:space="0"/>
              <w:right w:val="single" w:color="000000" w:sz="4" w:space="0"/>
            </w:tcBorders>
            <w:noWrap w:val="0"/>
            <w:vAlign w:val="center"/>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val="en-US" w:eastAsia="zh-CN"/>
              </w:rPr>
            </w:pPr>
            <w:r>
              <w:rPr>
                <w:rFonts w:hint="eastAsia" w:ascii="仿宋" w:hAnsi="仿宋" w:eastAsia="仿宋" w:cs="仿宋"/>
                <w:color w:val="333333"/>
                <w:spacing w:val="8"/>
                <w:sz w:val="24"/>
                <w:szCs w:val="24"/>
                <w:lang w:val="en-US" w:eastAsia="zh-CN"/>
              </w:rPr>
              <w:t xml:space="preserve">6.17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jc w:val="center"/>
        </w:trPr>
        <w:tc>
          <w:tcPr>
            <w:tcW w:w="950" w:type="dxa"/>
            <w:tcBorders>
              <w:top w:val="single" w:color="000000" w:sz="4" w:space="0"/>
              <w:left w:val="single" w:color="000000" w:sz="4" w:space="0"/>
              <w:bottom w:val="single" w:color="000000" w:sz="4" w:space="0"/>
              <w:right w:val="single" w:color="000000" w:sz="4" w:space="0"/>
            </w:tcBorders>
            <w:noWrap w:val="0"/>
            <w:vAlign w:val="center"/>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val="en-US" w:eastAsia="zh-CN"/>
              </w:rPr>
            </w:pPr>
          </w:p>
        </w:tc>
        <w:tc>
          <w:tcPr>
            <w:tcW w:w="2100" w:type="dxa"/>
            <w:tcBorders>
              <w:top w:val="single" w:color="000000" w:sz="4" w:space="0"/>
              <w:left w:val="single" w:color="000000" w:sz="4" w:space="0"/>
              <w:bottom w:val="single" w:color="000000" w:sz="4" w:space="0"/>
              <w:right w:val="single" w:color="000000" w:sz="4" w:space="0"/>
            </w:tcBorders>
            <w:noWrap w:val="0"/>
            <w:vAlign w:val="center"/>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val="en-US" w:eastAsia="zh-CN"/>
              </w:rPr>
            </w:pPr>
            <w:r>
              <w:rPr>
                <w:rFonts w:hint="eastAsia" w:ascii="仿宋" w:hAnsi="仿宋" w:eastAsia="仿宋" w:cs="仿宋"/>
                <w:color w:val="333333"/>
                <w:spacing w:val="8"/>
                <w:sz w:val="24"/>
                <w:szCs w:val="24"/>
                <w:lang w:val="en-US" w:eastAsia="zh-CN"/>
              </w:rPr>
              <w:t>合计</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val="en-US" w:eastAsia="zh-CN"/>
              </w:rPr>
            </w:pPr>
            <w:r>
              <w:rPr>
                <w:rFonts w:hint="eastAsia" w:ascii="仿宋" w:hAnsi="仿宋" w:eastAsia="仿宋" w:cs="仿宋"/>
                <w:color w:val="333333"/>
                <w:spacing w:val="8"/>
                <w:sz w:val="24"/>
                <w:szCs w:val="24"/>
                <w:lang w:val="en-US" w:eastAsia="zh-CN"/>
              </w:rPr>
              <w:t>30,550.36</w:t>
            </w:r>
          </w:p>
        </w:tc>
        <w:tc>
          <w:tcPr>
            <w:tcW w:w="1905" w:type="dxa"/>
            <w:tcBorders>
              <w:top w:val="single" w:color="000000" w:sz="4" w:space="0"/>
              <w:left w:val="single" w:color="000000" w:sz="4" w:space="0"/>
              <w:bottom w:val="single" w:color="000000" w:sz="4" w:space="0"/>
              <w:right w:val="single" w:color="000000" w:sz="4" w:space="0"/>
            </w:tcBorders>
            <w:noWrap w:val="0"/>
            <w:vAlign w:val="center"/>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val="en-US" w:eastAsia="zh-CN"/>
              </w:rPr>
            </w:pPr>
          </w:p>
        </w:tc>
        <w:tc>
          <w:tcPr>
            <w:tcW w:w="2970" w:type="dxa"/>
            <w:tcBorders>
              <w:top w:val="single" w:color="000000" w:sz="4" w:space="0"/>
              <w:left w:val="single" w:color="000000" w:sz="4" w:space="0"/>
              <w:bottom w:val="single" w:color="000000" w:sz="4" w:space="0"/>
              <w:right w:val="single" w:color="000000" w:sz="4" w:space="0"/>
            </w:tcBorders>
            <w:noWrap w:val="0"/>
            <w:vAlign w:val="center"/>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val="en-US" w:eastAsia="zh-CN"/>
              </w:rPr>
            </w:pPr>
            <w:r>
              <w:rPr>
                <w:rFonts w:hint="eastAsia" w:ascii="仿宋" w:hAnsi="仿宋" w:eastAsia="仿宋" w:cs="仿宋"/>
                <w:color w:val="333333"/>
                <w:spacing w:val="8"/>
                <w:sz w:val="24"/>
                <w:szCs w:val="24"/>
                <w:lang w:val="en-US" w:eastAsia="zh-CN"/>
              </w:rPr>
              <w:t>21,816.80</w:t>
            </w:r>
          </w:p>
        </w:tc>
      </w:tr>
    </w:tbl>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eastAsia="zh-CN"/>
        </w:rPr>
      </w:pPr>
      <w:r>
        <w:rPr>
          <w:rFonts w:hint="eastAsia" w:ascii="仿宋" w:hAnsi="仿宋" w:eastAsia="仿宋" w:cs="仿宋"/>
          <w:color w:val="333333"/>
          <w:spacing w:val="8"/>
          <w:sz w:val="24"/>
          <w:szCs w:val="24"/>
          <w:lang w:eastAsia="zh-CN"/>
        </w:rPr>
        <w:t>（六）负债情况</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eastAsia="zh-CN"/>
        </w:rPr>
      </w:pPr>
      <w:r>
        <w:rPr>
          <w:rFonts w:hint="eastAsia" w:ascii="仿宋" w:hAnsi="仿宋" w:eastAsia="仿宋" w:cs="仿宋"/>
          <w:color w:val="333333"/>
          <w:spacing w:val="8"/>
          <w:sz w:val="24"/>
          <w:szCs w:val="24"/>
          <w:lang w:eastAsia="zh-CN"/>
        </w:rPr>
        <w:t>1、经审计，截止2019年6月6日，川嘉公司负债</w:t>
      </w:r>
      <w:r>
        <w:rPr>
          <w:rFonts w:hint="eastAsia" w:ascii="仿宋" w:hAnsi="仿宋" w:eastAsia="仿宋" w:cs="仿宋"/>
          <w:color w:val="333333"/>
          <w:spacing w:val="8"/>
          <w:sz w:val="24"/>
          <w:szCs w:val="24"/>
          <w:lang w:val="en-US" w:eastAsia="zh-CN"/>
        </w:rPr>
        <w:t>审计金额931,439,856.03元，</w:t>
      </w:r>
      <w:r>
        <w:rPr>
          <w:rFonts w:hint="eastAsia" w:ascii="仿宋" w:hAnsi="仿宋" w:eastAsia="仿宋" w:cs="仿宋"/>
          <w:color w:val="333333"/>
          <w:spacing w:val="8"/>
          <w:sz w:val="24"/>
          <w:szCs w:val="24"/>
          <w:lang w:eastAsia="zh-CN"/>
        </w:rPr>
        <w:t>所有者权益</w:t>
      </w:r>
      <w:r>
        <w:rPr>
          <w:rFonts w:hint="eastAsia" w:ascii="仿宋" w:hAnsi="仿宋" w:eastAsia="仿宋" w:cs="仿宋"/>
          <w:color w:val="333333"/>
          <w:spacing w:val="8"/>
          <w:sz w:val="24"/>
          <w:szCs w:val="24"/>
          <w:lang w:val="en-US" w:eastAsia="zh-CN"/>
        </w:rPr>
        <w:t>审计金额为-327,287,472.39元。</w:t>
      </w:r>
      <w:bookmarkStart w:id="0" w:name="（六）负债情况"/>
      <w:bookmarkEnd w:id="0"/>
      <w:bookmarkStart w:id="1" w:name="_TOC_250040"/>
      <w:bookmarkEnd w:id="1"/>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eastAsia="zh-CN"/>
        </w:rPr>
      </w:pPr>
      <w:bookmarkStart w:id="2" w:name="2、债权审查情况"/>
      <w:bookmarkEnd w:id="2"/>
      <w:r>
        <w:rPr>
          <w:rFonts w:hint="eastAsia" w:ascii="仿宋" w:hAnsi="仿宋" w:eastAsia="仿宋" w:cs="仿宋"/>
          <w:color w:val="333333"/>
          <w:spacing w:val="8"/>
          <w:sz w:val="24"/>
          <w:szCs w:val="24"/>
          <w:lang w:eastAsia="zh-CN"/>
        </w:rPr>
        <w:t>2、债权审查情况</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val="en-US" w:eastAsia="zh-CN"/>
        </w:rPr>
      </w:pPr>
      <w:r>
        <w:rPr>
          <w:rFonts w:hint="eastAsia" w:ascii="仿宋" w:hAnsi="仿宋" w:eastAsia="仿宋" w:cs="仿宋"/>
          <w:color w:val="333333"/>
          <w:spacing w:val="8"/>
          <w:sz w:val="24"/>
          <w:szCs w:val="24"/>
          <w:lang w:eastAsia="zh-CN"/>
        </w:rPr>
        <w:t>截至202</w:t>
      </w:r>
      <w:r>
        <w:rPr>
          <w:rFonts w:hint="eastAsia" w:ascii="仿宋" w:hAnsi="仿宋" w:eastAsia="仿宋" w:cs="仿宋"/>
          <w:color w:val="333333"/>
          <w:spacing w:val="8"/>
          <w:sz w:val="24"/>
          <w:szCs w:val="24"/>
          <w:lang w:val="en-US" w:eastAsia="zh-CN"/>
        </w:rPr>
        <w:t>2</w:t>
      </w:r>
      <w:r>
        <w:rPr>
          <w:rFonts w:hint="eastAsia" w:ascii="仿宋" w:hAnsi="仿宋" w:eastAsia="仿宋" w:cs="仿宋"/>
          <w:color w:val="333333"/>
          <w:spacing w:val="8"/>
          <w:sz w:val="24"/>
          <w:szCs w:val="24"/>
          <w:lang w:eastAsia="zh-CN"/>
        </w:rPr>
        <w:t>年</w:t>
      </w:r>
      <w:r>
        <w:rPr>
          <w:rFonts w:hint="eastAsia" w:ascii="仿宋" w:hAnsi="仿宋" w:eastAsia="仿宋" w:cs="仿宋"/>
          <w:color w:val="333333"/>
          <w:spacing w:val="8"/>
          <w:sz w:val="24"/>
          <w:szCs w:val="24"/>
          <w:lang w:val="en-US" w:eastAsia="zh-CN"/>
        </w:rPr>
        <w:t>4</w:t>
      </w:r>
      <w:r>
        <w:rPr>
          <w:rFonts w:hint="eastAsia" w:ascii="仿宋" w:hAnsi="仿宋" w:eastAsia="仿宋" w:cs="仿宋"/>
          <w:color w:val="333333"/>
          <w:spacing w:val="8"/>
          <w:sz w:val="24"/>
          <w:szCs w:val="24"/>
          <w:lang w:eastAsia="zh-CN"/>
        </w:rPr>
        <w:t>月</w:t>
      </w:r>
      <w:r>
        <w:rPr>
          <w:rFonts w:hint="eastAsia" w:ascii="仿宋" w:hAnsi="仿宋" w:eastAsia="仿宋" w:cs="仿宋"/>
          <w:color w:val="333333"/>
          <w:spacing w:val="8"/>
          <w:sz w:val="24"/>
          <w:szCs w:val="24"/>
          <w:lang w:val="en-US" w:eastAsia="zh-CN"/>
        </w:rPr>
        <w:t>1</w:t>
      </w:r>
      <w:r>
        <w:rPr>
          <w:rFonts w:hint="eastAsia" w:ascii="仿宋" w:hAnsi="仿宋" w:eastAsia="仿宋" w:cs="仿宋"/>
          <w:color w:val="333333"/>
          <w:spacing w:val="8"/>
          <w:sz w:val="24"/>
          <w:szCs w:val="24"/>
          <w:lang w:eastAsia="zh-CN"/>
        </w:rPr>
        <w:t>日</w:t>
      </w:r>
      <w:r>
        <w:rPr>
          <w:rFonts w:hint="eastAsia" w:ascii="仿宋" w:hAnsi="仿宋" w:eastAsia="仿宋" w:cs="仿宋"/>
          <w:color w:val="333333"/>
          <w:spacing w:val="8"/>
          <w:sz w:val="24"/>
          <w:szCs w:val="24"/>
          <w:lang w:val="en-US" w:eastAsia="zh-CN"/>
        </w:rPr>
        <w:t>,</w:t>
      </w:r>
      <w:r>
        <w:rPr>
          <w:rFonts w:hint="eastAsia" w:ascii="仿宋" w:hAnsi="仿宋" w:eastAsia="仿宋" w:cs="仿宋"/>
          <w:color w:val="333333"/>
          <w:spacing w:val="8"/>
          <w:sz w:val="24"/>
          <w:szCs w:val="24"/>
          <w:lang w:eastAsia="zh-CN"/>
        </w:rPr>
        <w:t>已经</w:t>
      </w:r>
      <w:r>
        <w:rPr>
          <w:rFonts w:hint="eastAsia" w:ascii="仿宋" w:hAnsi="仿宋" w:eastAsia="仿宋" w:cs="仿宋"/>
          <w:color w:val="333333"/>
          <w:spacing w:val="8"/>
          <w:sz w:val="24"/>
          <w:szCs w:val="24"/>
          <w:lang w:val="en-US" w:eastAsia="zh-CN"/>
        </w:rPr>
        <w:t>法院裁定</w:t>
      </w:r>
      <w:r>
        <w:rPr>
          <w:rFonts w:hint="eastAsia" w:ascii="仿宋" w:hAnsi="仿宋" w:eastAsia="仿宋" w:cs="仿宋"/>
          <w:color w:val="333333"/>
          <w:spacing w:val="8"/>
          <w:sz w:val="24"/>
          <w:szCs w:val="24"/>
          <w:lang w:eastAsia="zh-CN"/>
        </w:rPr>
        <w:t>确认债权</w:t>
      </w:r>
      <w:r>
        <w:rPr>
          <w:rFonts w:hint="eastAsia" w:ascii="仿宋" w:hAnsi="仿宋" w:eastAsia="仿宋" w:cs="仿宋"/>
          <w:color w:val="333333"/>
          <w:spacing w:val="8"/>
          <w:sz w:val="24"/>
          <w:szCs w:val="24"/>
          <w:lang w:val="en-US" w:eastAsia="zh-CN"/>
        </w:rPr>
        <w:t>771</w:t>
      </w:r>
      <w:r>
        <w:rPr>
          <w:rFonts w:hint="eastAsia" w:ascii="仿宋" w:hAnsi="仿宋" w:eastAsia="仿宋" w:cs="仿宋"/>
          <w:color w:val="333333"/>
          <w:spacing w:val="8"/>
          <w:sz w:val="24"/>
          <w:szCs w:val="24"/>
          <w:lang w:eastAsia="zh-CN"/>
        </w:rPr>
        <w:t>笔，确认债权总额</w:t>
      </w:r>
      <w:r>
        <w:rPr>
          <w:rFonts w:hint="eastAsia" w:ascii="仿宋" w:hAnsi="仿宋" w:eastAsia="仿宋" w:cs="仿宋"/>
          <w:color w:val="333333"/>
          <w:spacing w:val="8"/>
          <w:sz w:val="24"/>
          <w:szCs w:val="24"/>
          <w:lang w:val="en-US" w:eastAsia="zh-CN"/>
        </w:rPr>
        <w:t>523,388,009.96</w:t>
      </w:r>
      <w:r>
        <w:rPr>
          <w:rFonts w:hint="eastAsia" w:ascii="仿宋" w:hAnsi="仿宋" w:eastAsia="仿宋" w:cs="仿宋"/>
          <w:color w:val="333333"/>
          <w:spacing w:val="8"/>
          <w:sz w:val="24"/>
          <w:szCs w:val="24"/>
          <w:lang w:eastAsia="zh-CN"/>
        </w:rPr>
        <w:t>元，其中</w:t>
      </w:r>
      <w:r>
        <w:rPr>
          <w:rFonts w:hint="eastAsia" w:ascii="仿宋" w:hAnsi="仿宋" w:eastAsia="仿宋" w:cs="仿宋"/>
          <w:color w:val="333333"/>
          <w:spacing w:val="8"/>
          <w:sz w:val="24"/>
          <w:szCs w:val="24"/>
          <w:lang w:val="en-US" w:eastAsia="zh-CN"/>
        </w:rPr>
        <w:t>职工债权2笔，债权金额596,552.00元;担保债权4笔，债权金额213,558,844.96 元;</w:t>
      </w:r>
      <w:r>
        <w:rPr>
          <w:rFonts w:hint="eastAsia" w:ascii="仿宋" w:hAnsi="仿宋" w:eastAsia="仿宋" w:cs="仿宋"/>
          <w:color w:val="333333"/>
          <w:spacing w:val="8"/>
          <w:sz w:val="24"/>
          <w:szCs w:val="24"/>
          <w:lang w:eastAsia="zh-CN"/>
        </w:rPr>
        <w:t>税金债权</w:t>
      </w:r>
      <w:r>
        <w:rPr>
          <w:rFonts w:hint="eastAsia" w:ascii="仿宋" w:hAnsi="仿宋" w:eastAsia="仿宋" w:cs="仿宋"/>
          <w:color w:val="333333"/>
          <w:spacing w:val="8"/>
          <w:sz w:val="24"/>
          <w:szCs w:val="24"/>
          <w:lang w:val="en-US" w:eastAsia="zh-CN"/>
        </w:rPr>
        <w:t>1</w:t>
      </w:r>
      <w:r>
        <w:rPr>
          <w:rFonts w:hint="eastAsia" w:ascii="仿宋" w:hAnsi="仿宋" w:eastAsia="仿宋" w:cs="仿宋"/>
          <w:color w:val="333333"/>
          <w:spacing w:val="8"/>
          <w:sz w:val="24"/>
          <w:szCs w:val="24"/>
          <w:lang w:eastAsia="zh-CN"/>
        </w:rPr>
        <w:t>笔，债权金额</w:t>
      </w:r>
      <w:r>
        <w:rPr>
          <w:rFonts w:hint="eastAsia" w:ascii="仿宋" w:hAnsi="仿宋" w:eastAsia="仿宋" w:cs="仿宋"/>
          <w:color w:val="333333"/>
          <w:spacing w:val="8"/>
          <w:sz w:val="24"/>
          <w:szCs w:val="24"/>
          <w:lang w:val="en-US" w:eastAsia="zh-CN"/>
        </w:rPr>
        <w:t>3,443,945.16</w:t>
      </w:r>
      <w:r>
        <w:rPr>
          <w:rFonts w:hint="eastAsia" w:ascii="仿宋" w:hAnsi="仿宋" w:eastAsia="仿宋" w:cs="仿宋"/>
          <w:color w:val="333333"/>
          <w:spacing w:val="8"/>
          <w:sz w:val="24"/>
          <w:szCs w:val="24"/>
          <w:lang w:eastAsia="zh-CN"/>
        </w:rPr>
        <w:t>元</w:t>
      </w:r>
      <w:r>
        <w:rPr>
          <w:rFonts w:hint="eastAsia" w:ascii="仿宋" w:hAnsi="仿宋" w:eastAsia="仿宋" w:cs="仿宋"/>
          <w:color w:val="333333"/>
          <w:spacing w:val="8"/>
          <w:sz w:val="24"/>
          <w:szCs w:val="24"/>
          <w:lang w:val="en-US" w:eastAsia="zh-CN"/>
        </w:rPr>
        <w:t>;工程款优先债权2笔，债权金额13,938,426.10元;</w:t>
      </w:r>
      <w:r>
        <w:rPr>
          <w:rFonts w:hint="eastAsia" w:ascii="仿宋" w:hAnsi="仿宋" w:eastAsia="仿宋" w:cs="仿宋"/>
          <w:color w:val="333333"/>
          <w:spacing w:val="8"/>
          <w:sz w:val="24"/>
          <w:szCs w:val="24"/>
          <w:lang w:eastAsia="zh-CN"/>
        </w:rPr>
        <w:t>普通债</w:t>
      </w:r>
      <w:r>
        <w:rPr>
          <w:rFonts w:hint="eastAsia" w:ascii="仿宋" w:hAnsi="仿宋" w:eastAsia="仿宋" w:cs="仿宋"/>
          <w:color w:val="333333"/>
          <w:spacing w:val="8"/>
          <w:sz w:val="24"/>
          <w:szCs w:val="24"/>
          <w:lang w:val="en-US" w:eastAsia="zh-CN"/>
        </w:rPr>
        <w:t>权65笔，债权金额288,430,791.74元;购房者债权697笔，债权金额3,419,450.00元。另现有暂缓确认债权48笔，其中暂缓确认工程款优先债权1笔，债权金额11,654,959.45元；暂缓确认的担保债权1笔，债权金额33,720,280.90 元；暂缓确认普通债35笔，债权金额683,967,343.90 元；暂缓确认的购房债权11笔（不含商铺），其中购房者债权金额69,940.00 元；暂缓确认的职工债权1笔，债权金额300,000.00元。</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eastAsia="zh-CN"/>
        </w:rPr>
      </w:pPr>
      <w:bookmarkStart w:id="3" w:name="_TOC_250039"/>
      <w:bookmarkEnd w:id="3"/>
      <w:r>
        <w:rPr>
          <w:rFonts w:hint="eastAsia" w:ascii="仿宋" w:hAnsi="仿宋" w:eastAsia="仿宋" w:cs="仿宋"/>
          <w:color w:val="333333"/>
          <w:spacing w:val="8"/>
          <w:sz w:val="24"/>
          <w:szCs w:val="24"/>
          <w:lang w:eastAsia="zh-CN"/>
        </w:rPr>
        <w:t>（七）清算状态下偿债能力分析</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eastAsia="zh-CN"/>
        </w:rPr>
      </w:pPr>
      <w:r>
        <w:rPr>
          <w:rFonts w:hint="eastAsia" w:ascii="仿宋" w:hAnsi="仿宋" w:eastAsia="仿宋" w:cs="仿宋"/>
          <w:color w:val="333333"/>
          <w:spacing w:val="8"/>
          <w:sz w:val="24"/>
          <w:szCs w:val="24"/>
          <w:lang w:eastAsia="zh-CN"/>
        </w:rPr>
        <w:t>破产清算前提下，按照《企业破产法》及有关法律法规、司法解释的清偿顺序，如进行破产清算，清偿情况如下：</w:t>
      </w:r>
    </w:p>
    <w:tbl>
      <w:tblPr>
        <w:tblStyle w:val="7"/>
        <w:tblW w:w="8893"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98"/>
        <w:gridCol w:w="4070"/>
        <w:gridCol w:w="1677"/>
        <w:gridCol w:w="1366"/>
        <w:gridCol w:w="11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5" w:hRule="atLeast"/>
        </w:trPr>
        <w:tc>
          <w:tcPr>
            <w:tcW w:w="88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重庆川嘉公司清算测算表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序号</w:t>
            </w:r>
          </w:p>
        </w:tc>
        <w:tc>
          <w:tcPr>
            <w:tcW w:w="407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项  目</w:t>
            </w:r>
          </w:p>
        </w:tc>
        <w:tc>
          <w:tcPr>
            <w:tcW w:w="1677"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款项金额</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获得清偿金额</w:t>
            </w:r>
          </w:p>
        </w:tc>
        <w:tc>
          <w:tcPr>
            <w:tcW w:w="1182"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清偿比例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00" w:hRule="atLeast"/>
        </w:trPr>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1</w:t>
            </w:r>
          </w:p>
        </w:tc>
        <w:tc>
          <w:tcPr>
            <w:tcW w:w="407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银行存款</w:t>
            </w:r>
          </w:p>
        </w:tc>
        <w:tc>
          <w:tcPr>
            <w:tcW w:w="1677"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2884709.38</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c>
          <w:tcPr>
            <w:tcW w:w="1182"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default" w:ascii="仿宋" w:hAnsi="仿宋" w:eastAsia="仿宋" w:cs="仿宋"/>
                <w:color w:val="333333"/>
                <w:spacing w:val="8"/>
                <w:sz w:val="21"/>
                <w:szCs w:val="21"/>
                <w:lang w:val="en-US" w:eastAsia="zh-CN"/>
              </w:rPr>
            </w:pPr>
            <w:r>
              <w:rPr>
                <w:rFonts w:hint="eastAsia" w:ascii="仿宋" w:hAnsi="仿宋" w:eastAsia="仿宋" w:cs="仿宋"/>
                <w:color w:val="333333"/>
                <w:spacing w:val="8"/>
                <w:sz w:val="21"/>
                <w:szCs w:val="21"/>
                <w:lang w:val="en-US" w:eastAsia="zh-CN"/>
              </w:rPr>
              <w:t>2</w:t>
            </w:r>
          </w:p>
        </w:tc>
        <w:tc>
          <w:tcPr>
            <w:tcW w:w="407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车辆、办公设备及经营物资</w:t>
            </w:r>
          </w:p>
        </w:tc>
        <w:tc>
          <w:tcPr>
            <w:tcW w:w="1677"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80300</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c>
          <w:tcPr>
            <w:tcW w:w="1182"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3</w:t>
            </w:r>
          </w:p>
        </w:tc>
        <w:tc>
          <w:tcPr>
            <w:tcW w:w="407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其他应收款</w:t>
            </w:r>
          </w:p>
        </w:tc>
        <w:tc>
          <w:tcPr>
            <w:tcW w:w="1677"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432464.03</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c>
          <w:tcPr>
            <w:tcW w:w="1182"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4</w:t>
            </w:r>
          </w:p>
        </w:tc>
        <w:tc>
          <w:tcPr>
            <w:tcW w:w="407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流动资产小计（1+2+3）</w:t>
            </w:r>
          </w:p>
        </w:tc>
        <w:tc>
          <w:tcPr>
            <w:tcW w:w="1677"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3397473.41</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c>
          <w:tcPr>
            <w:tcW w:w="1182"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5</w:t>
            </w:r>
          </w:p>
        </w:tc>
        <w:tc>
          <w:tcPr>
            <w:tcW w:w="407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减：破产费用、共益债务</w:t>
            </w:r>
          </w:p>
        </w:tc>
        <w:tc>
          <w:tcPr>
            <w:tcW w:w="1677"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-8000000</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-8000000</w:t>
            </w:r>
          </w:p>
        </w:tc>
        <w:tc>
          <w:tcPr>
            <w:tcW w:w="1182"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98"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6</w:t>
            </w: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资产余额一（4+5）</w:t>
            </w:r>
          </w:p>
        </w:tc>
        <w:tc>
          <w:tcPr>
            <w:tcW w:w="167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-4602526.59</w:t>
            </w:r>
          </w:p>
        </w:tc>
        <w:tc>
          <w:tcPr>
            <w:tcW w:w="1366"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c>
          <w:tcPr>
            <w:tcW w:w="1182"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98"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7</w:t>
            </w: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减：完善房开义务</w:t>
            </w:r>
          </w:p>
        </w:tc>
        <w:tc>
          <w:tcPr>
            <w:tcW w:w="167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-3500000</w:t>
            </w:r>
          </w:p>
        </w:tc>
        <w:tc>
          <w:tcPr>
            <w:tcW w:w="1366"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c>
          <w:tcPr>
            <w:tcW w:w="1182"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598"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8</w:t>
            </w: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未抵押资产：金国用（2013）第00273号土地使用权</w:t>
            </w:r>
          </w:p>
        </w:tc>
        <w:tc>
          <w:tcPr>
            <w:tcW w:w="167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18434400</w:t>
            </w:r>
          </w:p>
        </w:tc>
        <w:tc>
          <w:tcPr>
            <w:tcW w:w="1366"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c>
          <w:tcPr>
            <w:tcW w:w="1182"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598"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9</w:t>
            </w: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资产余额二（6+7+8）</w:t>
            </w:r>
          </w:p>
        </w:tc>
        <w:tc>
          <w:tcPr>
            <w:tcW w:w="167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10331873.41</w:t>
            </w:r>
          </w:p>
        </w:tc>
        <w:tc>
          <w:tcPr>
            <w:tcW w:w="1366"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c>
          <w:tcPr>
            <w:tcW w:w="1182"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98"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10</w:t>
            </w: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228套住宅中未抵押部分</w:t>
            </w:r>
          </w:p>
        </w:tc>
        <w:tc>
          <w:tcPr>
            <w:tcW w:w="167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39734764</w:t>
            </w:r>
          </w:p>
        </w:tc>
        <w:tc>
          <w:tcPr>
            <w:tcW w:w="1366"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c>
          <w:tcPr>
            <w:tcW w:w="1182"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98"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11</w:t>
            </w: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77套商业中未抵押部分</w:t>
            </w:r>
          </w:p>
        </w:tc>
        <w:tc>
          <w:tcPr>
            <w:tcW w:w="1677" w:type="dxa"/>
            <w:tcBorders>
              <w:top w:val="nil"/>
              <w:left w:val="nil"/>
              <w:bottom w:val="single" w:color="000000" w:sz="4" w:space="0"/>
              <w:right w:val="nil"/>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15638529</w:t>
            </w:r>
          </w:p>
        </w:tc>
        <w:tc>
          <w:tcPr>
            <w:tcW w:w="1366"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c>
          <w:tcPr>
            <w:tcW w:w="1182"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98"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12</w:t>
            </w: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减：购房者债权</w:t>
            </w:r>
          </w:p>
        </w:tc>
        <w:tc>
          <w:tcPr>
            <w:tcW w:w="1677" w:type="dxa"/>
            <w:tcBorders>
              <w:top w:val="nil"/>
              <w:left w:val="nil"/>
              <w:bottom w:val="single" w:color="000000" w:sz="4" w:space="0"/>
              <w:right w:val="nil"/>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-3489390</w:t>
            </w:r>
          </w:p>
        </w:tc>
        <w:tc>
          <w:tcPr>
            <w:tcW w:w="1366"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-3489390</w:t>
            </w:r>
          </w:p>
        </w:tc>
        <w:tc>
          <w:tcPr>
            <w:tcW w:w="1182"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98"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13</w:t>
            </w: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减：工程款优先权</w:t>
            </w:r>
          </w:p>
        </w:tc>
        <w:tc>
          <w:tcPr>
            <w:tcW w:w="1677" w:type="dxa"/>
            <w:tcBorders>
              <w:top w:val="nil"/>
              <w:left w:val="nil"/>
              <w:bottom w:val="single" w:color="000000" w:sz="4" w:space="0"/>
              <w:right w:val="nil"/>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-97105940</w:t>
            </w:r>
          </w:p>
        </w:tc>
        <w:tc>
          <w:tcPr>
            <w:tcW w:w="1366"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c>
          <w:tcPr>
            <w:tcW w:w="1182"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98"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14</w:t>
            </w: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住宅、商业中未抵押部分减除后工程款优先权余额（10+11+12+13）</w:t>
            </w:r>
          </w:p>
        </w:tc>
        <w:tc>
          <w:tcPr>
            <w:tcW w:w="1677" w:type="dxa"/>
            <w:tcBorders>
              <w:top w:val="nil"/>
              <w:left w:val="nil"/>
              <w:bottom w:val="single" w:color="000000" w:sz="4" w:space="0"/>
              <w:right w:val="nil"/>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-45222037</w:t>
            </w:r>
          </w:p>
        </w:tc>
        <w:tc>
          <w:tcPr>
            <w:tcW w:w="1366"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c>
          <w:tcPr>
            <w:tcW w:w="1182"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98"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15</w:t>
            </w: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228套住宅中抵押部分资产</w:t>
            </w:r>
          </w:p>
        </w:tc>
        <w:tc>
          <w:tcPr>
            <w:tcW w:w="1677" w:type="dxa"/>
            <w:tcBorders>
              <w:top w:val="nil"/>
              <w:left w:val="nil"/>
              <w:bottom w:val="single" w:color="000000" w:sz="4" w:space="0"/>
              <w:right w:val="nil"/>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12139416</w:t>
            </w:r>
          </w:p>
        </w:tc>
        <w:tc>
          <w:tcPr>
            <w:tcW w:w="1366"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c>
          <w:tcPr>
            <w:tcW w:w="1182"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98"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16</w:t>
            </w: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77套商业中抵押部分</w:t>
            </w:r>
          </w:p>
        </w:tc>
        <w:tc>
          <w:tcPr>
            <w:tcW w:w="167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118605370</w:t>
            </w:r>
          </w:p>
        </w:tc>
        <w:tc>
          <w:tcPr>
            <w:tcW w:w="1366"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c>
          <w:tcPr>
            <w:tcW w:w="1182"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98"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17</w:t>
            </w: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386地下车库</w:t>
            </w:r>
          </w:p>
        </w:tc>
        <w:tc>
          <w:tcPr>
            <w:tcW w:w="167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13535300</w:t>
            </w:r>
          </w:p>
        </w:tc>
        <w:tc>
          <w:tcPr>
            <w:tcW w:w="1366"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c>
          <w:tcPr>
            <w:tcW w:w="1182"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98"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18</w:t>
            </w: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抵押资产小计（15+16+17）</w:t>
            </w:r>
          </w:p>
        </w:tc>
        <w:tc>
          <w:tcPr>
            <w:tcW w:w="167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144280086</w:t>
            </w:r>
          </w:p>
        </w:tc>
        <w:tc>
          <w:tcPr>
            <w:tcW w:w="1366"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c>
          <w:tcPr>
            <w:tcW w:w="1182"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98"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19</w:t>
            </w: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减工程款优先权余额（18+14）</w:t>
            </w:r>
          </w:p>
        </w:tc>
        <w:tc>
          <w:tcPr>
            <w:tcW w:w="167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99058049</w:t>
            </w:r>
          </w:p>
        </w:tc>
        <w:tc>
          <w:tcPr>
            <w:tcW w:w="1366"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-97105940</w:t>
            </w:r>
          </w:p>
        </w:tc>
        <w:tc>
          <w:tcPr>
            <w:tcW w:w="1182"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598"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20</w:t>
            </w:r>
          </w:p>
        </w:tc>
        <w:tc>
          <w:tcPr>
            <w:tcW w:w="4070" w:type="dxa"/>
            <w:tcBorders>
              <w:top w:val="single" w:color="000000" w:sz="4" w:space="0"/>
              <w:left w:val="single" w:color="000000" w:sz="4" w:space="0"/>
              <w:bottom w:val="single" w:color="000000" w:sz="4" w:space="0"/>
              <w:right w:val="single" w:color="000000" w:sz="4" w:space="0"/>
            </w:tcBorders>
            <w:shd w:val="clear" w:color="auto" w:fill="FFFFFF"/>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扣减率（14/18）</w:t>
            </w:r>
          </w:p>
        </w:tc>
        <w:tc>
          <w:tcPr>
            <w:tcW w:w="167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-0.313432285</w:t>
            </w:r>
          </w:p>
        </w:tc>
        <w:tc>
          <w:tcPr>
            <w:tcW w:w="1366"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c>
          <w:tcPr>
            <w:tcW w:w="1182"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598"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21</w:t>
            </w: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青商聚丰抵押的228套住宅中抵押部分扣减工程款优先债权数额（15*19）</w:t>
            </w:r>
          </w:p>
        </w:tc>
        <w:tc>
          <w:tcPr>
            <w:tcW w:w="167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-3804884.893</w:t>
            </w:r>
          </w:p>
        </w:tc>
        <w:tc>
          <w:tcPr>
            <w:tcW w:w="1366"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c>
          <w:tcPr>
            <w:tcW w:w="1182"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598"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22</w:t>
            </w: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青商聚丰228套住宅中抵押部分剩余资产（15+21）</w:t>
            </w:r>
          </w:p>
        </w:tc>
        <w:tc>
          <w:tcPr>
            <w:tcW w:w="1677" w:type="dxa"/>
            <w:tcBorders>
              <w:top w:val="nil"/>
              <w:left w:val="nil"/>
              <w:bottom w:val="single" w:color="000000" w:sz="4" w:space="0"/>
              <w:right w:val="nil"/>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8334531.107</w:t>
            </w:r>
          </w:p>
        </w:tc>
        <w:tc>
          <w:tcPr>
            <w:tcW w:w="1366" w:type="dxa"/>
            <w:tcBorders>
              <w:top w:val="nil"/>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c>
          <w:tcPr>
            <w:tcW w:w="1182"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598"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23</w:t>
            </w:r>
          </w:p>
        </w:tc>
        <w:tc>
          <w:tcPr>
            <w:tcW w:w="4070" w:type="dxa"/>
            <w:tcBorders>
              <w:top w:val="single" w:color="000000" w:sz="4" w:space="0"/>
              <w:left w:val="single" w:color="000000" w:sz="4" w:space="0"/>
              <w:bottom w:val="single" w:color="000000" w:sz="4" w:space="0"/>
              <w:right w:val="single" w:color="000000" w:sz="4" w:space="0"/>
            </w:tcBorders>
            <w:shd w:val="clear" w:color="auto" w:fill="FFFFFF"/>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减：青商聚丰公司228套住宅的担保债权</w:t>
            </w:r>
          </w:p>
        </w:tc>
        <w:tc>
          <w:tcPr>
            <w:tcW w:w="1677" w:type="dxa"/>
            <w:tcBorders>
              <w:top w:val="nil"/>
              <w:left w:val="nil"/>
              <w:bottom w:val="single" w:color="000000" w:sz="4" w:space="0"/>
              <w:right w:val="nil"/>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-33720280.9</w:t>
            </w:r>
          </w:p>
        </w:tc>
        <w:tc>
          <w:tcPr>
            <w:tcW w:w="1366" w:type="dxa"/>
            <w:tcBorders>
              <w:top w:val="nil"/>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8334531.107</w:t>
            </w:r>
          </w:p>
        </w:tc>
        <w:tc>
          <w:tcPr>
            <w:tcW w:w="1182" w:type="dxa"/>
            <w:tcBorders>
              <w:top w:val="single" w:color="000000" w:sz="4" w:space="0"/>
              <w:left w:val="single" w:color="000000" w:sz="4" w:space="0"/>
              <w:bottom w:val="single" w:color="000000" w:sz="4" w:space="0"/>
              <w:right w:val="single" w:color="000000" w:sz="4" w:space="0"/>
            </w:tcBorders>
            <w:shd w:val="clear" w:color="auto" w:fill="FFFFFF"/>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-24.72%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598"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24</w:t>
            </w:r>
          </w:p>
        </w:tc>
        <w:tc>
          <w:tcPr>
            <w:tcW w:w="4070" w:type="dxa"/>
            <w:tcBorders>
              <w:top w:val="single" w:color="000000" w:sz="4" w:space="0"/>
              <w:left w:val="single" w:color="000000" w:sz="4" w:space="0"/>
              <w:bottom w:val="single" w:color="000000" w:sz="4" w:space="0"/>
              <w:right w:val="single" w:color="000000" w:sz="4" w:space="0"/>
            </w:tcBorders>
            <w:shd w:val="clear" w:color="auto" w:fill="FFFFFF"/>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青商聚丰担保债权转为普通债权金额（22+23）</w:t>
            </w:r>
          </w:p>
        </w:tc>
        <w:tc>
          <w:tcPr>
            <w:tcW w:w="1677" w:type="dxa"/>
            <w:tcBorders>
              <w:top w:val="single" w:color="000000" w:sz="4" w:space="0"/>
              <w:left w:val="nil"/>
              <w:bottom w:val="nil"/>
              <w:right w:val="nil"/>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-25385749.79</w:t>
            </w:r>
          </w:p>
        </w:tc>
        <w:tc>
          <w:tcPr>
            <w:tcW w:w="1366" w:type="dxa"/>
            <w:tcBorders>
              <w:top w:val="nil"/>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c>
          <w:tcPr>
            <w:tcW w:w="1182" w:type="dxa"/>
            <w:tcBorders>
              <w:top w:val="single" w:color="000000" w:sz="4" w:space="0"/>
              <w:left w:val="single" w:color="000000" w:sz="4" w:space="0"/>
              <w:bottom w:val="single" w:color="000000" w:sz="4" w:space="0"/>
              <w:right w:val="single" w:color="000000" w:sz="4" w:space="0"/>
            </w:tcBorders>
            <w:shd w:val="clear" w:color="auto" w:fill="FFFFFF"/>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598"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25</w:t>
            </w:r>
          </w:p>
        </w:tc>
        <w:tc>
          <w:tcPr>
            <w:tcW w:w="4070" w:type="dxa"/>
            <w:tcBorders>
              <w:top w:val="single" w:color="000000" w:sz="4" w:space="0"/>
              <w:left w:val="single" w:color="000000" w:sz="4" w:space="0"/>
              <w:bottom w:val="single" w:color="000000" w:sz="4" w:space="0"/>
              <w:right w:val="single" w:color="000000" w:sz="4" w:space="0"/>
            </w:tcBorders>
            <w:shd w:val="clear" w:color="auto" w:fill="FFFFFF"/>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西藏自治区投资公司担保债权资产评估价值</w:t>
            </w:r>
          </w:p>
        </w:tc>
        <w:tc>
          <w:tcPr>
            <w:tcW w:w="167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59674165</w:t>
            </w:r>
          </w:p>
        </w:tc>
        <w:tc>
          <w:tcPr>
            <w:tcW w:w="1366"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c>
          <w:tcPr>
            <w:tcW w:w="1182" w:type="dxa"/>
            <w:tcBorders>
              <w:top w:val="single" w:color="000000" w:sz="4" w:space="0"/>
              <w:left w:val="single" w:color="000000" w:sz="4" w:space="0"/>
              <w:bottom w:val="single" w:color="000000" w:sz="4" w:space="0"/>
              <w:right w:val="single" w:color="000000" w:sz="4" w:space="0"/>
            </w:tcBorders>
            <w:shd w:val="clear" w:color="auto" w:fill="FFFFFF"/>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598"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26</w:t>
            </w:r>
          </w:p>
        </w:tc>
        <w:tc>
          <w:tcPr>
            <w:tcW w:w="4070" w:type="dxa"/>
            <w:tcBorders>
              <w:top w:val="single" w:color="000000" w:sz="4" w:space="0"/>
              <w:left w:val="single" w:color="000000" w:sz="4" w:space="0"/>
              <w:bottom w:val="single" w:color="000000" w:sz="4" w:space="0"/>
              <w:right w:val="single" w:color="000000" w:sz="4" w:space="0"/>
            </w:tcBorders>
            <w:shd w:val="clear" w:color="auto" w:fill="FFFFFF"/>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西藏自治区投资公司抵押的资产中国扣减工程款优先债权数额（26*19）</w:t>
            </w:r>
          </w:p>
        </w:tc>
        <w:tc>
          <w:tcPr>
            <w:tcW w:w="167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-18703809.88</w:t>
            </w:r>
          </w:p>
        </w:tc>
        <w:tc>
          <w:tcPr>
            <w:tcW w:w="1366"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c>
          <w:tcPr>
            <w:tcW w:w="1182" w:type="dxa"/>
            <w:tcBorders>
              <w:top w:val="single" w:color="000000" w:sz="4" w:space="0"/>
              <w:left w:val="single" w:color="000000" w:sz="4" w:space="0"/>
              <w:bottom w:val="single" w:color="000000" w:sz="4" w:space="0"/>
              <w:right w:val="single" w:color="000000" w:sz="4" w:space="0"/>
            </w:tcBorders>
            <w:shd w:val="clear" w:color="auto" w:fill="FFFFFF"/>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598"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27</w:t>
            </w:r>
          </w:p>
        </w:tc>
        <w:tc>
          <w:tcPr>
            <w:tcW w:w="4070" w:type="dxa"/>
            <w:tcBorders>
              <w:top w:val="single" w:color="000000" w:sz="4" w:space="0"/>
              <w:left w:val="single" w:color="000000" w:sz="4" w:space="0"/>
              <w:bottom w:val="single" w:color="000000" w:sz="4" w:space="0"/>
              <w:right w:val="single" w:color="000000" w:sz="4" w:space="0"/>
            </w:tcBorders>
            <w:shd w:val="clear" w:color="auto" w:fill="FFFFFF"/>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西藏自治区投资公司中抵押部分剩余资产（25+26）</w:t>
            </w:r>
          </w:p>
        </w:tc>
        <w:tc>
          <w:tcPr>
            <w:tcW w:w="167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40970355.12</w:t>
            </w:r>
          </w:p>
        </w:tc>
        <w:tc>
          <w:tcPr>
            <w:tcW w:w="1366"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c>
          <w:tcPr>
            <w:tcW w:w="1182"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598"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28</w:t>
            </w: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减：西藏自治区投资公司的担保债权</w:t>
            </w:r>
          </w:p>
        </w:tc>
        <w:tc>
          <w:tcPr>
            <w:tcW w:w="167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-71723043.68</w:t>
            </w:r>
          </w:p>
        </w:tc>
        <w:tc>
          <w:tcPr>
            <w:tcW w:w="1366"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40970355.12</w:t>
            </w:r>
          </w:p>
        </w:tc>
        <w:tc>
          <w:tcPr>
            <w:tcW w:w="1182" w:type="dxa"/>
            <w:tcBorders>
              <w:top w:val="single" w:color="000000" w:sz="4" w:space="0"/>
              <w:left w:val="single" w:color="000000" w:sz="4" w:space="0"/>
              <w:bottom w:val="single" w:color="000000" w:sz="4" w:space="0"/>
              <w:right w:val="single" w:color="000000" w:sz="4" w:space="0"/>
            </w:tcBorders>
            <w:shd w:val="clear" w:color="auto" w:fill="FFFFFF"/>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-57.12%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598"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29</w:t>
            </w: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西藏自治区投资公司担保债权转为普通债权金额（27+28）</w:t>
            </w:r>
          </w:p>
        </w:tc>
        <w:tc>
          <w:tcPr>
            <w:tcW w:w="167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-30752688.56</w:t>
            </w:r>
          </w:p>
        </w:tc>
        <w:tc>
          <w:tcPr>
            <w:tcW w:w="1366"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c>
          <w:tcPr>
            <w:tcW w:w="1182"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98"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30</w:t>
            </w: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乌当农商行担保债权资产评估价值</w:t>
            </w:r>
          </w:p>
        </w:tc>
        <w:tc>
          <w:tcPr>
            <w:tcW w:w="167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39499754</w:t>
            </w:r>
          </w:p>
        </w:tc>
        <w:tc>
          <w:tcPr>
            <w:tcW w:w="1366"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c>
          <w:tcPr>
            <w:tcW w:w="1182"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598"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31</w:t>
            </w: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乌当农商行抵押的资产中扣减工程款优先权数额（30*19）</w:t>
            </w:r>
          </w:p>
        </w:tc>
        <w:tc>
          <w:tcPr>
            <w:tcW w:w="167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-12380498.14</w:t>
            </w:r>
          </w:p>
        </w:tc>
        <w:tc>
          <w:tcPr>
            <w:tcW w:w="1366"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c>
          <w:tcPr>
            <w:tcW w:w="1182"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598"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32</w:t>
            </w: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乌当农商行抵押资产剩余财产（30+31）</w:t>
            </w:r>
          </w:p>
        </w:tc>
        <w:tc>
          <w:tcPr>
            <w:tcW w:w="167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27119255.86</w:t>
            </w:r>
          </w:p>
        </w:tc>
        <w:tc>
          <w:tcPr>
            <w:tcW w:w="1366"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c>
          <w:tcPr>
            <w:tcW w:w="1182" w:type="dxa"/>
            <w:tcBorders>
              <w:top w:val="single" w:color="000000" w:sz="4" w:space="0"/>
              <w:left w:val="single" w:color="000000" w:sz="4" w:space="0"/>
              <w:bottom w:val="single" w:color="000000" w:sz="4" w:space="0"/>
              <w:right w:val="single" w:color="000000" w:sz="4" w:space="0"/>
            </w:tcBorders>
            <w:shd w:val="clear" w:color="auto" w:fill="FFFFFF"/>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598"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33</w:t>
            </w:r>
          </w:p>
        </w:tc>
        <w:tc>
          <w:tcPr>
            <w:tcW w:w="4070" w:type="dxa"/>
            <w:tcBorders>
              <w:top w:val="single" w:color="000000" w:sz="4" w:space="0"/>
              <w:left w:val="single" w:color="000000" w:sz="4" w:space="0"/>
              <w:bottom w:val="single" w:color="000000" w:sz="4" w:space="0"/>
              <w:right w:val="single" w:color="000000" w:sz="4" w:space="0"/>
            </w:tcBorders>
            <w:shd w:val="clear" w:color="auto" w:fill="FFFFFF"/>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减：乌当农商行的担保债权</w:t>
            </w:r>
          </w:p>
        </w:tc>
        <w:tc>
          <w:tcPr>
            <w:tcW w:w="167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-88371464.59</w:t>
            </w:r>
          </w:p>
        </w:tc>
        <w:tc>
          <w:tcPr>
            <w:tcW w:w="1366"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27119255.86</w:t>
            </w:r>
          </w:p>
        </w:tc>
        <w:tc>
          <w:tcPr>
            <w:tcW w:w="1182" w:type="dxa"/>
            <w:tcBorders>
              <w:top w:val="single" w:color="000000" w:sz="4" w:space="0"/>
              <w:left w:val="single" w:color="000000" w:sz="4" w:space="0"/>
              <w:bottom w:val="single" w:color="000000" w:sz="4" w:space="0"/>
              <w:right w:val="single" w:color="000000" w:sz="4" w:space="0"/>
            </w:tcBorders>
            <w:shd w:val="clear" w:color="auto" w:fill="FFFFFF"/>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-30.69%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598"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34</w:t>
            </w: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乌当农商行担保债权转为普通债权金额（32+33）</w:t>
            </w:r>
          </w:p>
        </w:tc>
        <w:tc>
          <w:tcPr>
            <w:tcW w:w="167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-61252208.73</w:t>
            </w:r>
          </w:p>
        </w:tc>
        <w:tc>
          <w:tcPr>
            <w:tcW w:w="1366"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c>
          <w:tcPr>
            <w:tcW w:w="1182"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598"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35</w:t>
            </w: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修文农商行担保债权资产评估价值</w:t>
            </w:r>
          </w:p>
        </w:tc>
        <w:tc>
          <w:tcPr>
            <w:tcW w:w="167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21470806</w:t>
            </w:r>
          </w:p>
        </w:tc>
        <w:tc>
          <w:tcPr>
            <w:tcW w:w="1366" w:type="dxa"/>
            <w:tcBorders>
              <w:top w:val="single" w:color="000000" w:sz="4" w:space="0"/>
              <w:left w:val="single" w:color="000000" w:sz="4" w:space="0"/>
              <w:bottom w:val="nil"/>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c>
          <w:tcPr>
            <w:tcW w:w="1182"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98"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36</w:t>
            </w: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修文农商行抵押的资产中扣减工程款优先权数额（35*19）</w:t>
            </w:r>
          </w:p>
        </w:tc>
        <w:tc>
          <w:tcPr>
            <w:tcW w:w="1677" w:type="dxa"/>
            <w:tcBorders>
              <w:top w:val="nil"/>
              <w:left w:val="nil"/>
              <w:bottom w:val="single" w:color="000000" w:sz="4" w:space="0"/>
              <w:right w:val="nil"/>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-6729643.78</w:t>
            </w:r>
          </w:p>
        </w:tc>
        <w:tc>
          <w:tcPr>
            <w:tcW w:w="1366" w:type="dxa"/>
            <w:tcBorders>
              <w:top w:val="nil"/>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0</w:t>
            </w:r>
          </w:p>
        </w:tc>
        <w:tc>
          <w:tcPr>
            <w:tcW w:w="1182"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98"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37</w:t>
            </w: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修文农商行抵押资产剩余财产（36+37）</w:t>
            </w:r>
          </w:p>
        </w:tc>
        <w:tc>
          <w:tcPr>
            <w:tcW w:w="1677" w:type="dxa"/>
            <w:tcBorders>
              <w:top w:val="single" w:color="000000" w:sz="4" w:space="0"/>
              <w:left w:val="nil"/>
              <w:bottom w:val="nil"/>
              <w:right w:val="nil"/>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14741162.22</w:t>
            </w:r>
          </w:p>
        </w:tc>
        <w:tc>
          <w:tcPr>
            <w:tcW w:w="1366"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c>
          <w:tcPr>
            <w:tcW w:w="1182"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598"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38</w:t>
            </w:r>
          </w:p>
        </w:tc>
        <w:tc>
          <w:tcPr>
            <w:tcW w:w="4070" w:type="dxa"/>
            <w:tcBorders>
              <w:top w:val="single" w:color="000000" w:sz="4" w:space="0"/>
              <w:left w:val="single" w:color="000000" w:sz="4" w:space="0"/>
              <w:bottom w:val="single" w:color="000000" w:sz="4" w:space="0"/>
              <w:right w:val="single" w:color="000000" w:sz="4" w:space="0"/>
            </w:tcBorders>
            <w:shd w:val="clear" w:color="auto" w:fill="FFFFFF"/>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减：修文农商行的担保债权</w:t>
            </w:r>
          </w:p>
        </w:tc>
        <w:tc>
          <w:tcPr>
            <w:tcW w:w="167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-29783536.69</w:t>
            </w:r>
          </w:p>
        </w:tc>
        <w:tc>
          <w:tcPr>
            <w:tcW w:w="1366"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14741162.22</w:t>
            </w:r>
          </w:p>
        </w:tc>
        <w:tc>
          <w:tcPr>
            <w:tcW w:w="1182" w:type="dxa"/>
            <w:tcBorders>
              <w:top w:val="single" w:color="000000" w:sz="4" w:space="0"/>
              <w:left w:val="single" w:color="000000" w:sz="4" w:space="0"/>
              <w:bottom w:val="single" w:color="000000" w:sz="4" w:space="0"/>
              <w:right w:val="single" w:color="000000" w:sz="4" w:space="0"/>
            </w:tcBorders>
            <w:shd w:val="clear" w:color="auto" w:fill="FFFFFF"/>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-49.49%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98"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39</w:t>
            </w: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修文农商行担保债权转为普通债权金额（38+39）</w:t>
            </w:r>
          </w:p>
        </w:tc>
        <w:tc>
          <w:tcPr>
            <w:tcW w:w="167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-15042374.47</w:t>
            </w:r>
          </w:p>
        </w:tc>
        <w:tc>
          <w:tcPr>
            <w:tcW w:w="1366"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c>
          <w:tcPr>
            <w:tcW w:w="1182"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598"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40</w:t>
            </w: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兆源融资公司担保债权资产评估价值</w:t>
            </w:r>
          </w:p>
        </w:tc>
        <w:tc>
          <w:tcPr>
            <w:tcW w:w="167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11495904</w:t>
            </w:r>
          </w:p>
        </w:tc>
        <w:tc>
          <w:tcPr>
            <w:tcW w:w="1366"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c>
          <w:tcPr>
            <w:tcW w:w="1182"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598"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default" w:ascii="仿宋" w:hAnsi="仿宋" w:eastAsia="仿宋" w:cs="仿宋"/>
                <w:color w:val="333333"/>
                <w:spacing w:val="8"/>
                <w:sz w:val="21"/>
                <w:szCs w:val="21"/>
                <w:lang w:val="en-US" w:eastAsia="zh-CN"/>
              </w:rPr>
            </w:pPr>
            <w:r>
              <w:rPr>
                <w:rFonts w:hint="eastAsia" w:ascii="仿宋" w:hAnsi="仿宋" w:eastAsia="仿宋" w:cs="仿宋"/>
                <w:color w:val="333333"/>
                <w:spacing w:val="8"/>
                <w:sz w:val="21"/>
                <w:szCs w:val="21"/>
                <w:lang w:val="en-US" w:eastAsia="zh-CN"/>
              </w:rPr>
              <w:t>41</w:t>
            </w: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兆源融资公司抵押的资产中扣减工程款优先权数额（40*19）</w:t>
            </w:r>
          </w:p>
        </w:tc>
        <w:tc>
          <w:tcPr>
            <w:tcW w:w="167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-3603187.456</w:t>
            </w:r>
          </w:p>
        </w:tc>
        <w:tc>
          <w:tcPr>
            <w:tcW w:w="1366"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c>
          <w:tcPr>
            <w:tcW w:w="1182"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98"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42</w:t>
            </w: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兆源融资公司抵押资产剩余财产（40+41）</w:t>
            </w:r>
          </w:p>
        </w:tc>
        <w:tc>
          <w:tcPr>
            <w:tcW w:w="167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7892716.544</w:t>
            </w:r>
          </w:p>
        </w:tc>
        <w:tc>
          <w:tcPr>
            <w:tcW w:w="1366"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c>
          <w:tcPr>
            <w:tcW w:w="1182"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98"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43</w:t>
            </w:r>
          </w:p>
        </w:tc>
        <w:tc>
          <w:tcPr>
            <w:tcW w:w="4070" w:type="dxa"/>
            <w:tcBorders>
              <w:top w:val="single" w:color="000000" w:sz="4" w:space="0"/>
              <w:left w:val="single" w:color="000000" w:sz="4" w:space="0"/>
              <w:bottom w:val="single" w:color="000000" w:sz="4" w:space="0"/>
              <w:right w:val="single" w:color="000000" w:sz="4" w:space="0"/>
            </w:tcBorders>
            <w:shd w:val="clear" w:color="auto" w:fill="FFFFFF"/>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减：兆源融资公司的担保债权</w:t>
            </w:r>
          </w:p>
        </w:tc>
        <w:tc>
          <w:tcPr>
            <w:tcW w:w="167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-23680800</w:t>
            </w:r>
          </w:p>
        </w:tc>
        <w:tc>
          <w:tcPr>
            <w:tcW w:w="1366"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7892716.544</w:t>
            </w:r>
          </w:p>
        </w:tc>
        <w:tc>
          <w:tcPr>
            <w:tcW w:w="1182" w:type="dxa"/>
            <w:tcBorders>
              <w:top w:val="single" w:color="000000" w:sz="4" w:space="0"/>
              <w:left w:val="single" w:color="000000" w:sz="4" w:space="0"/>
              <w:bottom w:val="single" w:color="000000" w:sz="4" w:space="0"/>
              <w:right w:val="single" w:color="000000" w:sz="4" w:space="0"/>
            </w:tcBorders>
            <w:shd w:val="clear" w:color="auto" w:fill="FFFFFF"/>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-33.33%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98"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44</w:t>
            </w: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兆源融资公司担保债权转为普通债权金额（42+43）</w:t>
            </w:r>
          </w:p>
        </w:tc>
        <w:tc>
          <w:tcPr>
            <w:tcW w:w="167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-15788083.46</w:t>
            </w:r>
          </w:p>
        </w:tc>
        <w:tc>
          <w:tcPr>
            <w:tcW w:w="1366"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c>
          <w:tcPr>
            <w:tcW w:w="1182"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98"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45</w:t>
            </w: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资产合计余额</w:t>
            </w:r>
          </w:p>
        </w:tc>
        <w:tc>
          <w:tcPr>
            <w:tcW w:w="167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10331873.41</w:t>
            </w:r>
          </w:p>
        </w:tc>
        <w:tc>
          <w:tcPr>
            <w:tcW w:w="1366"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c>
          <w:tcPr>
            <w:tcW w:w="1182"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98"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46</w:t>
            </w: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职工债权</w:t>
            </w:r>
          </w:p>
        </w:tc>
        <w:tc>
          <w:tcPr>
            <w:tcW w:w="167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-896552</w:t>
            </w:r>
          </w:p>
        </w:tc>
        <w:tc>
          <w:tcPr>
            <w:tcW w:w="1366"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-896552</w:t>
            </w:r>
          </w:p>
        </w:tc>
        <w:tc>
          <w:tcPr>
            <w:tcW w:w="1182" w:type="dxa"/>
            <w:tcBorders>
              <w:top w:val="single" w:color="000000" w:sz="4" w:space="0"/>
              <w:left w:val="single" w:color="000000" w:sz="4" w:space="0"/>
              <w:bottom w:val="single" w:color="000000" w:sz="4" w:space="0"/>
              <w:right w:val="single" w:color="000000" w:sz="4" w:space="0"/>
            </w:tcBorders>
            <w:shd w:val="clear" w:color="auto" w:fill="FFFFFF"/>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98"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47</w:t>
            </w: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税金债权</w:t>
            </w:r>
          </w:p>
        </w:tc>
        <w:tc>
          <w:tcPr>
            <w:tcW w:w="167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-3443945.16</w:t>
            </w:r>
          </w:p>
        </w:tc>
        <w:tc>
          <w:tcPr>
            <w:tcW w:w="1366"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16"/>
                <w:szCs w:val="16"/>
                <w:lang w:val="en-US" w:eastAsia="zh-CN"/>
              </w:rPr>
              <w:t>-3443945.16</w:t>
            </w:r>
          </w:p>
        </w:tc>
        <w:tc>
          <w:tcPr>
            <w:tcW w:w="1182" w:type="dxa"/>
            <w:tcBorders>
              <w:top w:val="single" w:color="000000" w:sz="4" w:space="0"/>
              <w:left w:val="single" w:color="000000" w:sz="4" w:space="0"/>
              <w:bottom w:val="single" w:color="000000" w:sz="4" w:space="0"/>
              <w:right w:val="single" w:color="000000" w:sz="4" w:space="0"/>
            </w:tcBorders>
            <w:shd w:val="clear" w:color="auto" w:fill="FFFFFF"/>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98"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48</w:t>
            </w: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资产余额（45+46+47）</w:t>
            </w:r>
          </w:p>
        </w:tc>
        <w:tc>
          <w:tcPr>
            <w:tcW w:w="167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5991376.25</w:t>
            </w:r>
          </w:p>
        </w:tc>
        <w:tc>
          <w:tcPr>
            <w:tcW w:w="1366"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c>
          <w:tcPr>
            <w:tcW w:w="1182"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98"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49</w:t>
            </w: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普通债权</w:t>
            </w:r>
          </w:p>
        </w:tc>
        <w:tc>
          <w:tcPr>
            <w:tcW w:w="167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-611674789.7</w:t>
            </w:r>
          </w:p>
        </w:tc>
        <w:tc>
          <w:tcPr>
            <w:tcW w:w="1366"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c>
          <w:tcPr>
            <w:tcW w:w="1182"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598"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default" w:ascii="仿宋" w:hAnsi="仿宋" w:eastAsia="仿宋" w:cs="仿宋"/>
                <w:color w:val="333333"/>
                <w:spacing w:val="8"/>
                <w:sz w:val="21"/>
                <w:szCs w:val="21"/>
                <w:lang w:val="en-US" w:eastAsia="zh-CN"/>
              </w:rPr>
            </w:pPr>
            <w:r>
              <w:rPr>
                <w:rFonts w:hint="eastAsia" w:ascii="仿宋" w:hAnsi="仿宋" w:eastAsia="仿宋" w:cs="仿宋"/>
                <w:color w:val="333333"/>
                <w:spacing w:val="8"/>
                <w:sz w:val="21"/>
                <w:szCs w:val="21"/>
                <w:lang w:val="en-US" w:eastAsia="zh-CN"/>
              </w:rPr>
              <w:t>50</w:t>
            </w: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普通债权合计</w:t>
            </w:r>
          </w:p>
        </w:tc>
        <w:tc>
          <w:tcPr>
            <w:tcW w:w="1677"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-759895894.7</w:t>
            </w:r>
          </w:p>
        </w:tc>
        <w:tc>
          <w:tcPr>
            <w:tcW w:w="1366"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18"/>
                <w:szCs w:val="18"/>
                <w:lang w:val="en-US" w:eastAsia="zh-CN"/>
              </w:rPr>
              <w:t>5991376.25</w:t>
            </w:r>
          </w:p>
        </w:tc>
        <w:tc>
          <w:tcPr>
            <w:tcW w:w="1182"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-0.79%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598"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default" w:ascii="仿宋" w:hAnsi="仿宋" w:eastAsia="仿宋" w:cs="仿宋"/>
                <w:color w:val="333333"/>
                <w:spacing w:val="8"/>
                <w:sz w:val="21"/>
                <w:szCs w:val="21"/>
                <w:lang w:val="en-US" w:eastAsia="zh-CN"/>
              </w:rPr>
            </w:pPr>
            <w:r>
              <w:rPr>
                <w:rFonts w:hint="eastAsia" w:ascii="仿宋" w:hAnsi="仿宋" w:eastAsia="仿宋" w:cs="仿宋"/>
                <w:color w:val="333333"/>
                <w:spacing w:val="8"/>
                <w:sz w:val="21"/>
                <w:szCs w:val="21"/>
                <w:lang w:val="en-US" w:eastAsia="zh-CN"/>
              </w:rPr>
              <w:t>1</w:t>
            </w:r>
          </w:p>
        </w:tc>
        <w:tc>
          <w:tcPr>
            <w:tcW w:w="4070" w:type="dxa"/>
            <w:tcBorders>
              <w:top w:val="nil"/>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c>
          <w:tcPr>
            <w:tcW w:w="1677" w:type="dxa"/>
            <w:tcBorders>
              <w:top w:val="nil"/>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c>
          <w:tcPr>
            <w:tcW w:w="1366" w:type="dxa"/>
            <w:tcBorders>
              <w:top w:val="nil"/>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c>
          <w:tcPr>
            <w:tcW w:w="1182" w:type="dxa"/>
            <w:tcBorders>
              <w:top w:val="nil"/>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98" w:type="dxa"/>
            <w:tcBorders>
              <w:top w:val="single" w:color="000000" w:sz="4" w:space="0"/>
              <w:left w:val="single" w:color="000000" w:sz="4" w:space="0"/>
              <w:bottom w:val="single" w:color="000000" w:sz="4" w:space="0"/>
              <w:right w:val="single" w:color="000000" w:sz="4" w:space="0"/>
            </w:tcBorders>
            <w:shd w:val="clear" w:color="auto" w:fill="FFFFFF"/>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c>
          <w:tcPr>
            <w:tcW w:w="4070" w:type="dxa"/>
            <w:tcBorders>
              <w:top w:val="nil"/>
              <w:left w:val="single" w:color="000000" w:sz="4" w:space="0"/>
              <w:bottom w:val="single" w:color="000000" w:sz="4" w:space="0"/>
              <w:right w:val="single" w:color="000000" w:sz="4" w:space="0"/>
            </w:tcBorders>
            <w:shd w:val="clear" w:color="auto" w:fill="auto"/>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担保债权清偿总额</w:t>
            </w:r>
          </w:p>
        </w:tc>
        <w:tc>
          <w:tcPr>
            <w:tcW w:w="1677" w:type="dxa"/>
            <w:tcBorders>
              <w:top w:val="nil"/>
              <w:left w:val="single" w:color="000000" w:sz="4" w:space="0"/>
              <w:bottom w:val="single" w:color="000000" w:sz="4" w:space="0"/>
              <w:right w:val="single" w:color="000000" w:sz="4" w:space="0"/>
            </w:tcBorders>
            <w:shd w:val="clear" w:color="auto" w:fill="auto"/>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1"/>
                <w:szCs w:val="21"/>
                <w:lang w:eastAsia="zh-CN"/>
              </w:rPr>
            </w:pPr>
          </w:p>
        </w:tc>
        <w:tc>
          <w:tcPr>
            <w:tcW w:w="1366" w:type="dxa"/>
            <w:tcBorders>
              <w:top w:val="nil"/>
              <w:left w:val="single" w:color="000000" w:sz="4" w:space="0"/>
              <w:bottom w:val="single" w:color="000000" w:sz="4" w:space="0"/>
              <w:right w:val="single" w:color="000000" w:sz="4" w:space="0"/>
            </w:tcBorders>
            <w:shd w:val="clear" w:color="auto" w:fill="auto"/>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99058020.85</w:t>
            </w:r>
          </w:p>
        </w:tc>
        <w:tc>
          <w:tcPr>
            <w:tcW w:w="1182" w:type="dxa"/>
            <w:tcBorders>
              <w:top w:val="nil"/>
              <w:left w:val="single" w:color="000000" w:sz="4" w:space="0"/>
              <w:bottom w:val="single" w:color="000000" w:sz="4" w:space="0"/>
              <w:right w:val="single" w:color="000000" w:sz="4" w:space="0"/>
            </w:tcBorders>
            <w:shd w:val="clear" w:color="auto" w:fill="auto"/>
            <w:noWrap/>
            <w:vAlign w:val="top"/>
          </w:tcPr>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right="74"/>
              <w:jc w:val="both"/>
              <w:textAlignment w:val="auto"/>
              <w:rPr>
                <w:rFonts w:hint="eastAsia" w:ascii="仿宋" w:hAnsi="仿宋" w:eastAsia="仿宋" w:cs="仿宋"/>
                <w:color w:val="333333"/>
                <w:spacing w:val="8"/>
                <w:sz w:val="21"/>
                <w:szCs w:val="21"/>
                <w:lang w:eastAsia="zh-CN"/>
              </w:rPr>
            </w:pPr>
            <w:r>
              <w:rPr>
                <w:rFonts w:hint="eastAsia" w:ascii="仿宋" w:hAnsi="仿宋" w:eastAsia="仿宋" w:cs="仿宋"/>
                <w:color w:val="333333"/>
                <w:spacing w:val="8"/>
                <w:sz w:val="21"/>
                <w:szCs w:val="21"/>
                <w:lang w:val="en-US" w:eastAsia="zh-CN"/>
              </w:rPr>
              <w:t>99058020.85</w:t>
            </w:r>
          </w:p>
        </w:tc>
      </w:tr>
    </w:tbl>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eastAsia="zh-CN"/>
        </w:rPr>
      </w:pP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eastAsia="zh-CN"/>
        </w:rPr>
      </w:pPr>
      <w:r>
        <w:rPr>
          <w:rFonts w:hint="eastAsia" w:ascii="仿宋" w:hAnsi="仿宋" w:eastAsia="仿宋" w:cs="仿宋"/>
          <w:color w:val="333333"/>
          <w:spacing w:val="8"/>
          <w:sz w:val="24"/>
          <w:szCs w:val="24"/>
          <w:lang w:eastAsia="zh-CN"/>
        </w:rPr>
        <w:t>根据《企业破产法》第四十三条规定“破产费用和共益债务由债务人财产随时清偿”，同时按照法律规定，</w:t>
      </w:r>
      <w:r>
        <w:rPr>
          <w:rFonts w:hint="eastAsia" w:ascii="仿宋" w:hAnsi="仿宋" w:eastAsia="仿宋" w:cs="仿宋"/>
          <w:color w:val="333333"/>
          <w:spacing w:val="8"/>
          <w:sz w:val="24"/>
          <w:szCs w:val="24"/>
          <w:lang w:val="en-US" w:eastAsia="zh-CN"/>
        </w:rPr>
        <w:t>购房者债权属于优先债权，</w:t>
      </w:r>
      <w:r>
        <w:rPr>
          <w:rFonts w:hint="eastAsia" w:ascii="仿宋" w:hAnsi="仿宋" w:eastAsia="仿宋" w:cs="仿宋"/>
          <w:color w:val="333333"/>
          <w:spacing w:val="8"/>
          <w:sz w:val="24"/>
          <w:szCs w:val="24"/>
          <w:lang w:eastAsia="zh-CN"/>
        </w:rPr>
        <w:t>建设工程款优先债权能对建设工程拍卖或变卖价款主张优先受偿，担保债权人能对担保物的拍卖或变卖价款享有优先受偿权</w:t>
      </w:r>
      <w:r>
        <w:rPr>
          <w:rFonts w:hint="eastAsia" w:ascii="仿宋" w:hAnsi="仿宋" w:eastAsia="仿宋" w:cs="仿宋"/>
          <w:color w:val="333333"/>
          <w:spacing w:val="8"/>
          <w:sz w:val="24"/>
          <w:szCs w:val="24"/>
          <w:lang w:val="en-US" w:eastAsia="zh-CN"/>
        </w:rPr>
        <w:t>。</w:t>
      </w:r>
      <w:r>
        <w:rPr>
          <w:rFonts w:hint="eastAsia" w:ascii="仿宋" w:hAnsi="仿宋" w:eastAsia="仿宋" w:cs="仿宋"/>
          <w:color w:val="333333"/>
          <w:spacing w:val="8"/>
          <w:sz w:val="24"/>
          <w:szCs w:val="24"/>
          <w:lang w:eastAsia="zh-CN"/>
        </w:rPr>
        <w:t>本案中破产费用约为</w:t>
      </w:r>
      <w:r>
        <w:rPr>
          <w:rFonts w:hint="eastAsia" w:ascii="仿宋" w:hAnsi="仿宋" w:eastAsia="仿宋" w:cs="仿宋"/>
          <w:color w:val="333333"/>
          <w:spacing w:val="8"/>
          <w:sz w:val="24"/>
          <w:szCs w:val="24"/>
          <w:lang w:val="en-US" w:eastAsia="zh-CN"/>
        </w:rPr>
        <w:t>6</w:t>
      </w:r>
      <w:r>
        <w:rPr>
          <w:rFonts w:hint="eastAsia" w:ascii="仿宋" w:hAnsi="仿宋" w:eastAsia="仿宋" w:cs="仿宋"/>
          <w:color w:val="333333"/>
          <w:spacing w:val="8"/>
          <w:sz w:val="24"/>
          <w:szCs w:val="24"/>
          <w:lang w:eastAsia="zh-CN"/>
        </w:rPr>
        <w:t>,</w:t>
      </w:r>
      <w:r>
        <w:rPr>
          <w:rFonts w:hint="eastAsia" w:ascii="仿宋" w:hAnsi="仿宋" w:eastAsia="仿宋" w:cs="仿宋"/>
          <w:color w:val="333333"/>
          <w:spacing w:val="8"/>
          <w:sz w:val="24"/>
          <w:szCs w:val="24"/>
          <w:lang w:val="en-US" w:eastAsia="zh-CN"/>
        </w:rPr>
        <w:t>5</w:t>
      </w:r>
      <w:r>
        <w:rPr>
          <w:rFonts w:hint="eastAsia" w:ascii="仿宋" w:hAnsi="仿宋" w:eastAsia="仿宋" w:cs="仿宋"/>
          <w:color w:val="333333"/>
          <w:spacing w:val="8"/>
          <w:sz w:val="24"/>
          <w:szCs w:val="24"/>
          <w:lang w:eastAsia="zh-CN"/>
        </w:rPr>
        <w:t>00,000</w:t>
      </w:r>
      <w:r>
        <w:rPr>
          <w:rFonts w:hint="eastAsia" w:ascii="仿宋" w:hAnsi="仿宋" w:eastAsia="仿宋" w:cs="仿宋"/>
          <w:color w:val="333333"/>
          <w:spacing w:val="8"/>
          <w:sz w:val="24"/>
          <w:szCs w:val="24"/>
          <w:lang w:val="en-US" w:eastAsia="zh-CN"/>
        </w:rPr>
        <w:t>.00</w:t>
      </w:r>
      <w:r>
        <w:rPr>
          <w:rFonts w:hint="eastAsia" w:ascii="仿宋" w:hAnsi="仿宋" w:eastAsia="仿宋" w:cs="仿宋"/>
          <w:color w:val="333333"/>
          <w:spacing w:val="8"/>
          <w:sz w:val="24"/>
          <w:szCs w:val="24"/>
          <w:lang w:eastAsia="zh-CN"/>
        </w:rPr>
        <w:t>元；共益债务约</w:t>
      </w:r>
      <w:r>
        <w:rPr>
          <w:rFonts w:hint="eastAsia" w:ascii="仿宋" w:hAnsi="仿宋" w:eastAsia="仿宋" w:cs="仿宋"/>
          <w:color w:val="333333"/>
          <w:spacing w:val="8"/>
          <w:sz w:val="24"/>
          <w:szCs w:val="24"/>
          <w:lang w:val="en-US" w:eastAsia="zh-CN"/>
        </w:rPr>
        <w:t>1,5</w:t>
      </w:r>
      <w:r>
        <w:rPr>
          <w:rFonts w:hint="eastAsia" w:ascii="仿宋" w:hAnsi="仿宋" w:eastAsia="仿宋" w:cs="仿宋"/>
          <w:color w:val="333333"/>
          <w:spacing w:val="8"/>
          <w:sz w:val="24"/>
          <w:szCs w:val="24"/>
          <w:lang w:eastAsia="zh-CN"/>
        </w:rPr>
        <w:t>00,000</w:t>
      </w:r>
      <w:r>
        <w:rPr>
          <w:rFonts w:hint="eastAsia" w:ascii="仿宋" w:hAnsi="仿宋" w:eastAsia="仿宋" w:cs="仿宋"/>
          <w:color w:val="333333"/>
          <w:spacing w:val="8"/>
          <w:sz w:val="24"/>
          <w:szCs w:val="24"/>
          <w:lang w:val="en-US" w:eastAsia="zh-CN"/>
        </w:rPr>
        <w:t>.00</w:t>
      </w:r>
      <w:r>
        <w:rPr>
          <w:rFonts w:hint="eastAsia" w:ascii="仿宋" w:hAnsi="仿宋" w:eastAsia="仿宋" w:cs="仿宋"/>
          <w:color w:val="333333"/>
          <w:spacing w:val="8"/>
          <w:sz w:val="24"/>
          <w:szCs w:val="24"/>
          <w:lang w:eastAsia="zh-CN"/>
        </w:rPr>
        <w:t>元。根据《企业破产法》</w:t>
      </w:r>
      <w:r>
        <w:rPr>
          <w:rFonts w:hint="eastAsia" w:ascii="仿宋" w:hAnsi="仿宋" w:eastAsia="仿宋" w:cs="仿宋"/>
          <w:color w:val="333333"/>
          <w:spacing w:val="8"/>
          <w:sz w:val="24"/>
          <w:szCs w:val="24"/>
          <w:lang w:val="en-US" w:eastAsia="zh-CN"/>
        </w:rPr>
        <w:t>及相关司法解释规定</w:t>
      </w:r>
      <w:r>
        <w:rPr>
          <w:rFonts w:hint="eastAsia" w:ascii="仿宋" w:hAnsi="仿宋" w:eastAsia="仿宋" w:cs="仿宋"/>
          <w:color w:val="333333"/>
          <w:spacing w:val="8"/>
          <w:sz w:val="24"/>
          <w:szCs w:val="24"/>
          <w:lang w:eastAsia="zh-CN"/>
        </w:rPr>
        <w:t>，按照清算价值计算，如进行破产清算，清偿情况如下：</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eastAsia="zh-CN"/>
        </w:rPr>
      </w:pPr>
      <w:r>
        <w:rPr>
          <w:rFonts w:hint="eastAsia" w:ascii="仿宋" w:hAnsi="仿宋" w:eastAsia="仿宋" w:cs="仿宋"/>
          <w:color w:val="333333"/>
          <w:spacing w:val="8"/>
          <w:sz w:val="24"/>
          <w:szCs w:val="24"/>
          <w:lang w:eastAsia="zh-CN"/>
        </w:rPr>
        <w:t>（1）破产费用、共益债务支付比例为100%；</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val="en-US" w:eastAsia="zh-CN"/>
        </w:rPr>
      </w:pPr>
      <w:r>
        <w:rPr>
          <w:rFonts w:hint="eastAsia" w:ascii="仿宋" w:hAnsi="仿宋" w:eastAsia="仿宋" w:cs="仿宋"/>
          <w:color w:val="333333"/>
          <w:spacing w:val="8"/>
          <w:sz w:val="24"/>
          <w:szCs w:val="24"/>
          <w:lang w:eastAsia="zh-CN"/>
        </w:rPr>
        <w:t>（</w:t>
      </w:r>
      <w:r>
        <w:rPr>
          <w:rFonts w:hint="eastAsia" w:ascii="仿宋" w:hAnsi="仿宋" w:eastAsia="仿宋" w:cs="仿宋"/>
          <w:color w:val="333333"/>
          <w:spacing w:val="8"/>
          <w:sz w:val="24"/>
          <w:szCs w:val="24"/>
          <w:lang w:val="en-US" w:eastAsia="zh-CN"/>
        </w:rPr>
        <w:t>2</w:t>
      </w:r>
      <w:r>
        <w:rPr>
          <w:rFonts w:hint="eastAsia" w:ascii="仿宋" w:hAnsi="仿宋" w:eastAsia="仿宋" w:cs="仿宋"/>
          <w:color w:val="333333"/>
          <w:spacing w:val="8"/>
          <w:sz w:val="24"/>
          <w:szCs w:val="24"/>
          <w:lang w:eastAsia="zh-CN"/>
        </w:rPr>
        <w:t>）</w:t>
      </w:r>
      <w:r>
        <w:rPr>
          <w:rFonts w:hint="eastAsia" w:ascii="仿宋" w:hAnsi="仿宋" w:eastAsia="仿宋" w:cs="仿宋"/>
          <w:color w:val="333333"/>
          <w:spacing w:val="8"/>
          <w:sz w:val="24"/>
          <w:szCs w:val="24"/>
          <w:lang w:val="en-US" w:eastAsia="zh-CN"/>
        </w:rPr>
        <w:t>购房者债权清偿比例为100%；</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val="en-US" w:eastAsia="zh-CN"/>
        </w:rPr>
      </w:pPr>
      <w:r>
        <w:rPr>
          <w:rFonts w:hint="eastAsia" w:ascii="仿宋" w:hAnsi="仿宋" w:eastAsia="仿宋" w:cs="仿宋"/>
          <w:color w:val="333333"/>
          <w:spacing w:val="8"/>
          <w:sz w:val="24"/>
          <w:szCs w:val="24"/>
          <w:lang w:val="en-US" w:eastAsia="zh-CN"/>
        </w:rPr>
        <w:t>（3）工程款优先债权清偿比例为100%；</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eastAsia="zh-CN"/>
        </w:rPr>
      </w:pPr>
      <w:r>
        <w:rPr>
          <w:rFonts w:hint="eastAsia" w:ascii="仿宋" w:hAnsi="仿宋" w:eastAsia="仿宋" w:cs="仿宋"/>
          <w:color w:val="333333"/>
          <w:spacing w:val="8"/>
          <w:sz w:val="24"/>
          <w:szCs w:val="24"/>
          <w:lang w:eastAsia="zh-CN"/>
        </w:rPr>
        <w:t>（4）担保债权清偿情况为西藏投资公司为</w:t>
      </w:r>
      <w:r>
        <w:rPr>
          <w:rFonts w:hint="eastAsia" w:ascii="仿宋" w:hAnsi="仿宋" w:eastAsia="仿宋" w:cs="仿宋"/>
          <w:color w:val="333333"/>
          <w:spacing w:val="8"/>
          <w:sz w:val="24"/>
          <w:szCs w:val="24"/>
          <w:lang w:val="en-US" w:eastAsia="zh-CN"/>
        </w:rPr>
        <w:t>57.12</w:t>
      </w:r>
      <w:r>
        <w:rPr>
          <w:rFonts w:hint="eastAsia" w:ascii="仿宋" w:hAnsi="仿宋" w:eastAsia="仿宋" w:cs="仿宋"/>
          <w:color w:val="333333"/>
          <w:spacing w:val="8"/>
          <w:sz w:val="24"/>
          <w:szCs w:val="24"/>
          <w:lang w:eastAsia="zh-CN"/>
        </w:rPr>
        <w:t>%、青商聚丰公司为</w:t>
      </w:r>
      <w:r>
        <w:rPr>
          <w:rFonts w:hint="eastAsia" w:ascii="仿宋" w:hAnsi="仿宋" w:eastAsia="仿宋" w:cs="仿宋"/>
          <w:color w:val="333333"/>
          <w:spacing w:val="8"/>
          <w:sz w:val="24"/>
          <w:szCs w:val="24"/>
          <w:lang w:val="en-US" w:eastAsia="zh-CN"/>
        </w:rPr>
        <w:t>24.72%、乌当农商行为30.69%、修文农商行为49.49%、兆源公司为33.33%</w:t>
      </w:r>
      <w:r>
        <w:rPr>
          <w:rFonts w:hint="eastAsia" w:ascii="仿宋" w:hAnsi="仿宋" w:eastAsia="仿宋" w:cs="仿宋"/>
          <w:color w:val="333333"/>
          <w:spacing w:val="8"/>
          <w:sz w:val="24"/>
          <w:szCs w:val="24"/>
          <w:lang w:eastAsia="zh-CN"/>
        </w:rPr>
        <w:t>；</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eastAsia="zh-CN"/>
        </w:rPr>
      </w:pPr>
      <w:r>
        <w:rPr>
          <w:rFonts w:hint="eastAsia" w:ascii="仿宋" w:hAnsi="仿宋" w:eastAsia="仿宋" w:cs="仿宋"/>
          <w:color w:val="333333"/>
          <w:spacing w:val="8"/>
          <w:sz w:val="24"/>
          <w:szCs w:val="24"/>
          <w:lang w:eastAsia="zh-CN"/>
        </w:rPr>
        <w:t>（</w:t>
      </w:r>
      <w:r>
        <w:rPr>
          <w:rFonts w:hint="eastAsia" w:ascii="仿宋" w:hAnsi="仿宋" w:eastAsia="仿宋" w:cs="仿宋"/>
          <w:color w:val="333333"/>
          <w:spacing w:val="8"/>
          <w:sz w:val="24"/>
          <w:szCs w:val="24"/>
          <w:lang w:val="en-US" w:eastAsia="zh-CN"/>
        </w:rPr>
        <w:t>5</w:t>
      </w:r>
      <w:r>
        <w:rPr>
          <w:rFonts w:hint="eastAsia" w:ascii="仿宋" w:hAnsi="仿宋" w:eastAsia="仿宋" w:cs="仿宋"/>
          <w:color w:val="333333"/>
          <w:spacing w:val="8"/>
          <w:sz w:val="24"/>
          <w:szCs w:val="24"/>
          <w:lang w:eastAsia="zh-CN"/>
        </w:rPr>
        <w:t>）</w:t>
      </w:r>
      <w:r>
        <w:rPr>
          <w:rFonts w:hint="eastAsia" w:ascii="仿宋" w:hAnsi="仿宋" w:eastAsia="仿宋" w:cs="仿宋"/>
          <w:color w:val="333333"/>
          <w:spacing w:val="8"/>
          <w:sz w:val="24"/>
          <w:szCs w:val="24"/>
          <w:lang w:val="en-US" w:eastAsia="zh-CN"/>
        </w:rPr>
        <w:t>职工债权清偿比例为100%</w:t>
      </w:r>
      <w:r>
        <w:rPr>
          <w:rFonts w:hint="eastAsia" w:ascii="仿宋" w:hAnsi="仿宋" w:eastAsia="仿宋" w:cs="仿宋"/>
          <w:color w:val="333333"/>
          <w:spacing w:val="8"/>
          <w:sz w:val="24"/>
          <w:szCs w:val="24"/>
          <w:lang w:eastAsia="zh-CN"/>
        </w:rPr>
        <w:t>；</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val="en-US" w:eastAsia="zh-CN"/>
        </w:rPr>
      </w:pPr>
      <w:r>
        <w:rPr>
          <w:rFonts w:hint="eastAsia" w:ascii="仿宋" w:hAnsi="仿宋" w:eastAsia="仿宋" w:cs="仿宋"/>
          <w:color w:val="333333"/>
          <w:spacing w:val="8"/>
          <w:sz w:val="24"/>
          <w:szCs w:val="24"/>
          <w:lang w:val="en-US" w:eastAsia="zh-CN"/>
        </w:rPr>
        <w:t>（6）税金债权清偿比例为100%</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eastAsia="zh-CN"/>
        </w:rPr>
      </w:pPr>
      <w:r>
        <w:rPr>
          <w:rFonts w:hint="eastAsia" w:ascii="仿宋" w:hAnsi="仿宋" w:eastAsia="仿宋" w:cs="仿宋"/>
          <w:color w:val="333333"/>
          <w:spacing w:val="8"/>
          <w:sz w:val="24"/>
          <w:szCs w:val="24"/>
          <w:lang w:eastAsia="zh-CN"/>
        </w:rPr>
        <w:t>（</w:t>
      </w:r>
      <w:r>
        <w:rPr>
          <w:rFonts w:hint="eastAsia" w:ascii="仿宋" w:hAnsi="仿宋" w:eastAsia="仿宋" w:cs="仿宋"/>
          <w:color w:val="333333"/>
          <w:spacing w:val="8"/>
          <w:sz w:val="24"/>
          <w:szCs w:val="24"/>
          <w:lang w:val="en-US" w:eastAsia="zh-CN"/>
        </w:rPr>
        <w:t>7</w:t>
      </w:r>
      <w:r>
        <w:rPr>
          <w:rFonts w:hint="eastAsia" w:ascii="仿宋" w:hAnsi="仿宋" w:eastAsia="仿宋" w:cs="仿宋"/>
          <w:color w:val="333333"/>
          <w:spacing w:val="8"/>
          <w:sz w:val="24"/>
          <w:szCs w:val="24"/>
          <w:lang w:eastAsia="zh-CN"/>
        </w:rPr>
        <w:t>）普通债权清偿比例为</w:t>
      </w:r>
      <w:r>
        <w:rPr>
          <w:rFonts w:hint="eastAsia" w:ascii="仿宋" w:hAnsi="仿宋" w:eastAsia="仿宋" w:cs="仿宋"/>
          <w:color w:val="333333"/>
          <w:spacing w:val="8"/>
          <w:sz w:val="24"/>
          <w:szCs w:val="24"/>
          <w:lang w:val="en-US" w:eastAsia="zh-CN"/>
        </w:rPr>
        <w:t>0.79%</w:t>
      </w:r>
      <w:r>
        <w:rPr>
          <w:rFonts w:hint="eastAsia" w:ascii="仿宋" w:hAnsi="仿宋" w:eastAsia="仿宋" w:cs="仿宋"/>
          <w:color w:val="333333"/>
          <w:spacing w:val="8"/>
          <w:sz w:val="24"/>
          <w:szCs w:val="24"/>
          <w:lang w:eastAsia="zh-CN"/>
        </w:rPr>
        <w:t>。</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eastAsia="zh-CN"/>
        </w:rPr>
      </w:pPr>
      <w:r>
        <w:rPr>
          <w:rFonts w:hint="eastAsia" w:ascii="仿宋" w:hAnsi="仿宋" w:eastAsia="仿宋" w:cs="仿宋"/>
          <w:color w:val="333333"/>
          <w:spacing w:val="8"/>
          <w:sz w:val="24"/>
          <w:szCs w:val="24"/>
          <w:lang w:eastAsia="zh-CN"/>
        </w:rPr>
        <w:t>破产清算状态下，</w:t>
      </w:r>
      <w:r>
        <w:rPr>
          <w:rFonts w:hint="eastAsia" w:ascii="仿宋" w:hAnsi="仿宋" w:eastAsia="仿宋" w:cs="仿宋"/>
          <w:color w:val="333333"/>
          <w:spacing w:val="8"/>
          <w:sz w:val="24"/>
          <w:szCs w:val="24"/>
          <w:lang w:val="en-US" w:eastAsia="zh-CN"/>
        </w:rPr>
        <w:t>川嘉公司已销售的房产无法通过房地产建设综合验收，无法办理产权登记等，剩余已建房屋很难进行销售及变价处置，剩余土地无法继续开发建设，土地价值得不到充分利用开发。存在的各种因素，会导致川嘉公司的资产价值比评估价值低，从而债权的清偿比例较低，债权的实际清偿率可能比评估机构测算的还低</w:t>
      </w:r>
      <w:r>
        <w:rPr>
          <w:rFonts w:hint="eastAsia" w:ascii="仿宋" w:hAnsi="仿宋" w:eastAsia="仿宋" w:cs="仿宋"/>
          <w:color w:val="333333"/>
          <w:spacing w:val="8"/>
          <w:sz w:val="24"/>
          <w:szCs w:val="24"/>
          <w:lang w:eastAsia="zh-CN"/>
        </w:rPr>
        <w:t>。如债务人资产以评估价首次拍卖不成功，则其资产极有可能低于评估价值</w:t>
      </w:r>
      <w:r>
        <w:rPr>
          <w:rFonts w:hint="eastAsia" w:ascii="仿宋" w:hAnsi="仿宋" w:eastAsia="仿宋" w:cs="仿宋"/>
          <w:color w:val="333333"/>
          <w:spacing w:val="8"/>
          <w:sz w:val="24"/>
          <w:szCs w:val="24"/>
          <w:lang w:val="en-US" w:eastAsia="zh-CN"/>
        </w:rPr>
        <w:t>70%</w:t>
      </w:r>
      <w:r>
        <w:rPr>
          <w:rFonts w:hint="eastAsia" w:ascii="仿宋" w:hAnsi="仿宋" w:eastAsia="仿宋" w:cs="仿宋"/>
          <w:color w:val="333333"/>
          <w:spacing w:val="8"/>
          <w:sz w:val="24"/>
          <w:szCs w:val="24"/>
          <w:lang w:eastAsia="zh-CN"/>
        </w:rPr>
        <w:t>拍卖，</w:t>
      </w:r>
      <w:r>
        <w:rPr>
          <w:rFonts w:hint="eastAsia" w:ascii="仿宋" w:hAnsi="仿宋" w:eastAsia="仿宋" w:cs="仿宋"/>
          <w:color w:val="333333"/>
          <w:spacing w:val="8"/>
          <w:sz w:val="24"/>
          <w:szCs w:val="24"/>
          <w:lang w:val="en-US" w:eastAsia="zh-CN"/>
        </w:rPr>
        <w:t>变现率</w:t>
      </w:r>
      <w:r>
        <w:rPr>
          <w:rFonts w:hint="eastAsia" w:ascii="仿宋" w:hAnsi="仿宋" w:eastAsia="仿宋" w:cs="仿宋"/>
          <w:color w:val="333333"/>
          <w:spacing w:val="8"/>
          <w:sz w:val="24"/>
          <w:szCs w:val="24"/>
          <w:lang w:eastAsia="zh-CN"/>
        </w:rPr>
        <w:t>及清偿率更低，且资产处置时间</w:t>
      </w:r>
      <w:r>
        <w:rPr>
          <w:rFonts w:hint="eastAsia" w:ascii="仿宋" w:hAnsi="仿宋" w:eastAsia="仿宋" w:cs="仿宋"/>
          <w:color w:val="333333"/>
          <w:spacing w:val="8"/>
          <w:sz w:val="24"/>
          <w:szCs w:val="24"/>
          <w:lang w:val="en-US" w:eastAsia="zh-CN"/>
        </w:rPr>
        <w:t>较</w:t>
      </w:r>
      <w:r>
        <w:rPr>
          <w:rFonts w:hint="eastAsia" w:ascii="仿宋" w:hAnsi="仿宋" w:eastAsia="仿宋" w:cs="仿宋"/>
          <w:color w:val="333333"/>
          <w:spacing w:val="8"/>
          <w:sz w:val="24"/>
          <w:szCs w:val="24"/>
          <w:lang w:eastAsia="zh-CN"/>
        </w:rPr>
        <w:t>长。</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eastAsia="zh-CN"/>
        </w:rPr>
      </w:pPr>
      <w:r>
        <w:rPr>
          <w:rFonts w:hint="eastAsia" w:ascii="仿宋" w:hAnsi="仿宋" w:eastAsia="仿宋" w:cs="仿宋"/>
          <w:color w:val="333333"/>
          <w:spacing w:val="8"/>
          <w:sz w:val="24"/>
          <w:szCs w:val="24"/>
          <w:lang w:eastAsia="zh-CN"/>
        </w:rPr>
        <w:t>若</w:t>
      </w:r>
      <w:r>
        <w:rPr>
          <w:rFonts w:hint="eastAsia" w:ascii="仿宋" w:hAnsi="仿宋" w:eastAsia="仿宋" w:cs="仿宋"/>
          <w:color w:val="333333"/>
          <w:spacing w:val="8"/>
          <w:sz w:val="24"/>
          <w:szCs w:val="24"/>
          <w:lang w:val="en-US" w:eastAsia="zh-CN"/>
        </w:rPr>
        <w:t>川嘉公司</w:t>
      </w:r>
      <w:r>
        <w:rPr>
          <w:rFonts w:hint="eastAsia" w:ascii="仿宋" w:hAnsi="仿宋" w:eastAsia="仿宋" w:cs="仿宋"/>
          <w:color w:val="333333"/>
          <w:spacing w:val="8"/>
          <w:sz w:val="24"/>
          <w:szCs w:val="24"/>
          <w:lang w:eastAsia="zh-CN"/>
        </w:rPr>
        <w:t>进行</w:t>
      </w:r>
      <w:r>
        <w:rPr>
          <w:rFonts w:hint="eastAsia" w:ascii="仿宋" w:hAnsi="仿宋" w:eastAsia="仿宋" w:cs="仿宋"/>
          <w:color w:val="333333"/>
          <w:spacing w:val="8"/>
          <w:sz w:val="24"/>
          <w:szCs w:val="24"/>
          <w:lang w:val="en-US" w:eastAsia="zh-CN"/>
        </w:rPr>
        <w:t>破产</w:t>
      </w:r>
      <w:r>
        <w:rPr>
          <w:rFonts w:hint="eastAsia" w:ascii="仿宋" w:hAnsi="仿宋" w:eastAsia="仿宋" w:cs="仿宋"/>
          <w:color w:val="333333"/>
          <w:spacing w:val="8"/>
          <w:sz w:val="24"/>
          <w:szCs w:val="24"/>
          <w:lang w:eastAsia="zh-CN"/>
        </w:rPr>
        <w:t>重整，</w:t>
      </w:r>
      <w:r>
        <w:rPr>
          <w:rFonts w:hint="eastAsia" w:ascii="仿宋" w:hAnsi="仿宋" w:eastAsia="仿宋" w:cs="仿宋"/>
          <w:color w:val="333333"/>
          <w:spacing w:val="8"/>
          <w:sz w:val="24"/>
          <w:szCs w:val="24"/>
          <w:lang w:val="en-US" w:eastAsia="zh-CN"/>
        </w:rPr>
        <w:t>通过在已建成的一期完善房开义务、投资打造专业化市场、投资开发二期建设项目。购房者已经购买的房屋可以办理产权登记，一期已建成商业满足招商条件，一期项目资产价值将得到大幅提高，债务人偿债能力增强，债权获得清偿比例将提高。</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rPr>
      </w:pPr>
      <w:r>
        <w:rPr>
          <w:rFonts w:hint="eastAsia" w:ascii="仿宋" w:hAnsi="仿宋" w:eastAsia="仿宋" w:cs="仿宋"/>
          <w:b/>
          <w:bCs/>
          <w:color w:val="333333"/>
          <w:sz w:val="24"/>
          <w:szCs w:val="24"/>
        </w:rPr>
        <w:t>四、重整投资人条件</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rPr>
      </w:pPr>
      <w:r>
        <w:rPr>
          <w:rFonts w:hint="eastAsia" w:ascii="仿宋" w:hAnsi="仿宋" w:eastAsia="仿宋" w:cs="仿宋"/>
          <w:color w:val="333333"/>
          <w:spacing w:val="8"/>
          <w:sz w:val="24"/>
          <w:szCs w:val="24"/>
        </w:rPr>
        <w:t>1、拥有足够的资金实力进行重整投资，并提供相应的资信证明或其他履约能力证明；拥有与</w:t>
      </w:r>
      <w:r>
        <w:rPr>
          <w:rFonts w:hint="eastAsia" w:ascii="仿宋" w:hAnsi="仿宋" w:eastAsia="仿宋" w:cs="仿宋"/>
          <w:color w:val="333333"/>
          <w:spacing w:val="8"/>
          <w:sz w:val="24"/>
          <w:szCs w:val="24"/>
          <w:lang w:val="en-US" w:eastAsia="zh-CN"/>
        </w:rPr>
        <w:t>川嘉</w:t>
      </w:r>
      <w:r>
        <w:rPr>
          <w:rFonts w:hint="eastAsia" w:ascii="仿宋" w:hAnsi="仿宋" w:eastAsia="仿宋" w:cs="仿宋"/>
          <w:color w:val="333333"/>
          <w:spacing w:val="8"/>
          <w:sz w:val="24"/>
          <w:szCs w:val="24"/>
        </w:rPr>
        <w:t>公司经营规模相适应的经营管理能力。</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rPr>
      </w:pPr>
      <w:r>
        <w:rPr>
          <w:rFonts w:hint="eastAsia" w:ascii="仿宋" w:hAnsi="仿宋" w:eastAsia="仿宋" w:cs="仿宋"/>
          <w:color w:val="333333"/>
          <w:spacing w:val="8"/>
          <w:sz w:val="24"/>
          <w:szCs w:val="24"/>
        </w:rPr>
        <w:t>2、无数额较大到期未清偿债务，无作为被执行人的案件；最近三年无重大违法行为；最近三年未列入失信行为人等。</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rPr>
      </w:pPr>
      <w:r>
        <w:rPr>
          <w:rFonts w:hint="eastAsia" w:ascii="仿宋" w:hAnsi="仿宋" w:eastAsia="仿宋" w:cs="仿宋"/>
          <w:color w:val="333333"/>
          <w:spacing w:val="8"/>
          <w:sz w:val="24"/>
          <w:szCs w:val="24"/>
        </w:rPr>
        <w:t>3、两个或两个以上主体联合参与投资的，需书面说明各自的角色分工、权利义务等，联合主体需至少有一家符合上述第1项资格条件，且需同时符合上述第2项资格条件。</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rPr>
      </w:pPr>
      <w:r>
        <w:rPr>
          <w:rFonts w:hint="eastAsia" w:ascii="仿宋" w:hAnsi="仿宋" w:eastAsia="仿宋" w:cs="仿宋"/>
          <w:color w:val="333333"/>
          <w:spacing w:val="8"/>
          <w:sz w:val="24"/>
          <w:szCs w:val="24"/>
        </w:rPr>
        <w:t>4、意向投资人及/或其控股股东、实际控制人财务状况或信用记录不良的，管理人有权认定意向投资人不具备重整投资人资格。</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rPr>
      </w:pPr>
      <w:r>
        <w:rPr>
          <w:rFonts w:hint="eastAsia" w:ascii="仿宋" w:hAnsi="仿宋" w:eastAsia="仿宋" w:cs="仿宋"/>
          <w:b/>
          <w:bCs/>
          <w:color w:val="333333"/>
          <w:sz w:val="24"/>
          <w:szCs w:val="24"/>
        </w:rPr>
        <w:t>五、招募流程</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rPr>
      </w:pPr>
      <w:r>
        <w:rPr>
          <w:rFonts w:hint="eastAsia" w:ascii="仿宋" w:hAnsi="仿宋" w:eastAsia="仿宋" w:cs="仿宋"/>
          <w:color w:val="333333"/>
          <w:spacing w:val="8"/>
          <w:sz w:val="24"/>
          <w:szCs w:val="24"/>
        </w:rPr>
        <w:t>（一）报名阶段</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rPr>
      </w:pPr>
      <w:r>
        <w:rPr>
          <w:rFonts w:hint="eastAsia" w:ascii="仿宋" w:hAnsi="仿宋" w:eastAsia="仿宋" w:cs="仿宋"/>
          <w:color w:val="333333"/>
          <w:spacing w:val="8"/>
          <w:sz w:val="24"/>
          <w:szCs w:val="24"/>
        </w:rPr>
        <w:t>1、报名时间、地点及联系人</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val="en-US" w:eastAsia="zh-CN"/>
        </w:rPr>
      </w:pPr>
      <w:r>
        <w:rPr>
          <w:rFonts w:hint="eastAsia" w:ascii="仿宋" w:hAnsi="仿宋" w:eastAsia="仿宋" w:cs="仿宋"/>
          <w:color w:val="333333"/>
          <w:spacing w:val="8"/>
          <w:sz w:val="24"/>
          <w:szCs w:val="24"/>
        </w:rPr>
        <w:t>报名时间：202</w:t>
      </w:r>
      <w:r>
        <w:rPr>
          <w:rFonts w:hint="eastAsia" w:ascii="仿宋" w:hAnsi="仿宋" w:eastAsia="仿宋" w:cs="仿宋"/>
          <w:color w:val="333333"/>
          <w:spacing w:val="8"/>
          <w:sz w:val="24"/>
          <w:szCs w:val="24"/>
          <w:lang w:val="en-US" w:eastAsia="zh-CN"/>
        </w:rPr>
        <w:t>2</w:t>
      </w:r>
      <w:r>
        <w:rPr>
          <w:rFonts w:hint="eastAsia" w:ascii="仿宋" w:hAnsi="仿宋" w:eastAsia="仿宋" w:cs="仿宋"/>
          <w:color w:val="333333"/>
          <w:spacing w:val="8"/>
          <w:sz w:val="24"/>
          <w:szCs w:val="24"/>
        </w:rPr>
        <w:t>年</w:t>
      </w:r>
      <w:r>
        <w:rPr>
          <w:rFonts w:hint="eastAsia" w:ascii="仿宋" w:hAnsi="仿宋" w:eastAsia="仿宋" w:cs="仿宋"/>
          <w:color w:val="333333"/>
          <w:spacing w:val="8"/>
          <w:sz w:val="24"/>
          <w:szCs w:val="24"/>
          <w:lang w:val="en-US" w:eastAsia="zh-CN"/>
        </w:rPr>
        <w:t>6</w:t>
      </w:r>
      <w:r>
        <w:rPr>
          <w:rFonts w:hint="eastAsia" w:ascii="仿宋" w:hAnsi="仿宋" w:eastAsia="仿宋" w:cs="仿宋"/>
          <w:color w:val="333333"/>
          <w:spacing w:val="8"/>
          <w:sz w:val="24"/>
          <w:szCs w:val="24"/>
        </w:rPr>
        <w:t>月</w:t>
      </w:r>
      <w:r>
        <w:rPr>
          <w:rFonts w:hint="eastAsia" w:ascii="仿宋" w:hAnsi="仿宋" w:eastAsia="仿宋" w:cs="仿宋"/>
          <w:color w:val="333333"/>
          <w:spacing w:val="8"/>
          <w:sz w:val="24"/>
          <w:szCs w:val="24"/>
          <w:lang w:val="en-US" w:eastAsia="zh-CN"/>
        </w:rPr>
        <w:t>2</w:t>
      </w:r>
      <w:r>
        <w:rPr>
          <w:rFonts w:hint="eastAsia" w:ascii="仿宋" w:hAnsi="仿宋" w:eastAsia="仿宋" w:cs="仿宋"/>
          <w:color w:val="333333"/>
          <w:spacing w:val="8"/>
          <w:sz w:val="24"/>
          <w:szCs w:val="24"/>
        </w:rPr>
        <w:t>日</w:t>
      </w:r>
      <w:r>
        <w:rPr>
          <w:rFonts w:hint="eastAsia" w:ascii="仿宋" w:hAnsi="仿宋" w:eastAsia="仿宋" w:cs="仿宋"/>
          <w:color w:val="333333"/>
          <w:spacing w:val="8"/>
          <w:sz w:val="24"/>
          <w:szCs w:val="24"/>
          <w:lang w:eastAsia="zh-CN"/>
        </w:rPr>
        <w:t>至</w:t>
      </w:r>
      <w:r>
        <w:rPr>
          <w:rFonts w:hint="eastAsia" w:ascii="仿宋" w:hAnsi="仿宋" w:eastAsia="仿宋" w:cs="仿宋"/>
          <w:color w:val="333333"/>
          <w:spacing w:val="8"/>
          <w:sz w:val="24"/>
          <w:szCs w:val="24"/>
          <w:lang w:val="en-US" w:eastAsia="zh-CN"/>
        </w:rPr>
        <w:t>2022年7月1日止</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rPr>
      </w:pPr>
      <w:r>
        <w:rPr>
          <w:rFonts w:hint="eastAsia" w:ascii="仿宋" w:hAnsi="仿宋" w:eastAsia="仿宋" w:cs="仿宋"/>
          <w:color w:val="333333"/>
          <w:spacing w:val="8"/>
          <w:sz w:val="24"/>
          <w:szCs w:val="24"/>
        </w:rPr>
        <w:t>报名地点:</w:t>
      </w:r>
      <w:r>
        <w:rPr>
          <w:rFonts w:hint="eastAsia" w:ascii="仿宋" w:hAnsi="仿宋" w:eastAsia="仿宋" w:cs="仿宋"/>
          <w:color w:val="333333"/>
          <w:spacing w:val="8"/>
          <w:sz w:val="24"/>
          <w:szCs w:val="24"/>
          <w:lang w:eastAsia="zh-CN"/>
        </w:rPr>
        <w:t>贵州省金沙县鼓场街道长江大道西段美丽星城二单元</w:t>
      </w:r>
      <w:r>
        <w:rPr>
          <w:rFonts w:hint="eastAsia" w:ascii="仿宋" w:hAnsi="仿宋" w:eastAsia="仿宋" w:cs="仿宋"/>
          <w:color w:val="333333"/>
          <w:spacing w:val="8"/>
          <w:sz w:val="24"/>
          <w:szCs w:val="24"/>
          <w:lang w:val="en-US" w:eastAsia="zh-CN"/>
        </w:rPr>
        <w:t>6-1,6-2号房{贵州名城（金沙）律师事务所}，办公电话：08577222005。</w:t>
      </w:r>
      <w:r>
        <w:rPr>
          <w:rFonts w:hint="eastAsia" w:ascii="仿宋" w:hAnsi="仿宋" w:eastAsia="仿宋" w:cs="仿宋"/>
          <w:color w:val="333333"/>
          <w:spacing w:val="8"/>
          <w:sz w:val="24"/>
          <w:szCs w:val="24"/>
        </w:rPr>
        <w:t xml:space="preserve"> </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default" w:ascii="仿宋" w:hAnsi="仿宋" w:eastAsia="仿宋" w:cs="仿宋"/>
          <w:color w:val="333333"/>
          <w:spacing w:val="8"/>
          <w:sz w:val="24"/>
          <w:szCs w:val="24"/>
          <w:lang w:val="en-US" w:eastAsia="zh-CN"/>
        </w:rPr>
      </w:pPr>
      <w:r>
        <w:rPr>
          <w:rFonts w:hint="eastAsia" w:ascii="仿宋" w:hAnsi="仿宋" w:eastAsia="仿宋" w:cs="仿宋"/>
          <w:color w:val="333333"/>
          <w:spacing w:val="8"/>
          <w:sz w:val="24"/>
          <w:szCs w:val="24"/>
        </w:rPr>
        <w:t>联系人:</w:t>
      </w:r>
      <w:r>
        <w:rPr>
          <w:rFonts w:hint="eastAsia" w:ascii="仿宋" w:hAnsi="仿宋" w:eastAsia="仿宋" w:cs="仿宋"/>
          <w:color w:val="333333"/>
          <w:spacing w:val="8"/>
          <w:sz w:val="24"/>
          <w:szCs w:val="24"/>
          <w:lang w:eastAsia="zh-CN"/>
        </w:rPr>
        <w:t>赖辉</w:t>
      </w:r>
      <w:r>
        <w:rPr>
          <w:rFonts w:hint="eastAsia" w:ascii="仿宋" w:hAnsi="仿宋" w:eastAsia="仿宋" w:cs="仿宋"/>
          <w:color w:val="333333"/>
          <w:spacing w:val="8"/>
          <w:sz w:val="24"/>
          <w:szCs w:val="24"/>
          <w:lang w:val="en-US" w:eastAsia="zh-CN"/>
        </w:rPr>
        <w:t xml:space="preserve">  联系电话：15885241366，QQ邮箱：45245074@qq.com</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rPr>
      </w:pPr>
      <w:r>
        <w:rPr>
          <w:rFonts w:hint="eastAsia" w:ascii="仿宋" w:hAnsi="仿宋" w:eastAsia="仿宋" w:cs="仿宋"/>
          <w:color w:val="333333"/>
          <w:spacing w:val="8"/>
          <w:sz w:val="24"/>
          <w:szCs w:val="24"/>
        </w:rPr>
        <w:t>2、报名时提交的材料，包括但不限于：</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rPr>
      </w:pPr>
      <w:r>
        <w:rPr>
          <w:rFonts w:hint="eastAsia" w:ascii="仿宋" w:hAnsi="仿宋" w:eastAsia="仿宋" w:cs="仿宋"/>
          <w:color w:val="333333"/>
          <w:spacing w:val="8"/>
          <w:sz w:val="24"/>
          <w:szCs w:val="24"/>
        </w:rPr>
        <w:t>（1）投资意向书（内容包括但不限于意向投资人情况介绍、投资意向、主营业务、财务状况和资金实力、资金来源，如为联合投资人，需说明各主体角色分工、权利义务等，联合投资人相互之间应承担连带责任）；</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rPr>
      </w:pPr>
      <w:r>
        <w:rPr>
          <w:rFonts w:hint="eastAsia" w:ascii="仿宋" w:hAnsi="仿宋" w:eastAsia="仿宋" w:cs="仿宋"/>
          <w:color w:val="333333"/>
          <w:spacing w:val="8"/>
          <w:sz w:val="24"/>
          <w:szCs w:val="24"/>
        </w:rPr>
        <w:t>（2）企业法人或非法人组织报名参与重整的应根据章程要求提交股东会决议、董事会决议等有权机关决议；</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rPr>
      </w:pPr>
      <w:r>
        <w:rPr>
          <w:rFonts w:hint="eastAsia" w:ascii="仿宋" w:hAnsi="仿宋" w:eastAsia="仿宋" w:cs="仿宋"/>
          <w:color w:val="333333"/>
          <w:spacing w:val="8"/>
          <w:sz w:val="24"/>
          <w:szCs w:val="24"/>
        </w:rPr>
        <w:t>（3）企业法人或非法人组织应提供营业执照复印件、最近三年度财务报表（有最近三年的年度审计报告的提供审计报告）；</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rPr>
      </w:pPr>
      <w:r>
        <w:rPr>
          <w:rFonts w:hint="eastAsia" w:ascii="仿宋" w:hAnsi="仿宋" w:eastAsia="仿宋" w:cs="仿宋"/>
          <w:color w:val="333333"/>
          <w:spacing w:val="8"/>
          <w:sz w:val="24"/>
          <w:szCs w:val="24"/>
        </w:rPr>
        <w:t>（4）保密承诺函，至少承诺：对于在参与本次意向投资人招募活动（包括但不限于尽职调查、与债务人或者管理人或者其他参与方进行接洽和交流等活动）而知悉的债务人的商业秘密和资料负有保密义务，非依法定义务或者非经管理人同意，不得将此商业秘密和资料泄露给第三方，否则赔偿债务人因此遭受的全部经济损失；</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rPr>
      </w:pPr>
      <w:r>
        <w:rPr>
          <w:rFonts w:hint="eastAsia" w:ascii="仿宋" w:hAnsi="仿宋" w:eastAsia="仿宋" w:cs="仿宋"/>
          <w:color w:val="333333"/>
          <w:spacing w:val="8"/>
          <w:sz w:val="24"/>
          <w:szCs w:val="24"/>
        </w:rPr>
        <w:t>（5）载明联系人、联系电话、电子邮箱、通信地址；</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rPr>
      </w:pPr>
      <w:r>
        <w:rPr>
          <w:rFonts w:hint="eastAsia" w:ascii="仿宋" w:hAnsi="仿宋" w:eastAsia="仿宋" w:cs="仿宋"/>
          <w:color w:val="333333"/>
          <w:spacing w:val="8"/>
          <w:sz w:val="24"/>
          <w:szCs w:val="24"/>
        </w:rPr>
        <w:t>（6）如有受托人，载明受托人姓名、联系方式、授权范围的书面授权委托书及受托人身份证复印件。</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rPr>
      </w:pPr>
      <w:r>
        <w:rPr>
          <w:rFonts w:hint="eastAsia" w:ascii="仿宋" w:hAnsi="仿宋" w:eastAsia="仿宋" w:cs="仿宋"/>
          <w:color w:val="333333"/>
          <w:spacing w:val="8"/>
          <w:sz w:val="24"/>
          <w:szCs w:val="24"/>
        </w:rPr>
        <w:t>对上述报名材料应加盖投资人印章；自然人报名的应签署本人姓名。意向投资人未按本公告要求提交完整报名材料的，管理人有权不予接收。</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rPr>
      </w:pPr>
      <w:r>
        <w:rPr>
          <w:rFonts w:hint="eastAsia" w:ascii="仿宋" w:hAnsi="仿宋" w:eastAsia="仿宋" w:cs="仿宋"/>
          <w:color w:val="333333"/>
          <w:spacing w:val="8"/>
          <w:sz w:val="24"/>
          <w:szCs w:val="24"/>
        </w:rPr>
        <w:t>（二）选拔阶段</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rPr>
      </w:pPr>
      <w:r>
        <w:rPr>
          <w:rFonts w:hint="eastAsia" w:ascii="仿宋" w:hAnsi="仿宋" w:eastAsia="仿宋" w:cs="仿宋"/>
          <w:color w:val="333333"/>
          <w:spacing w:val="8"/>
          <w:sz w:val="24"/>
          <w:szCs w:val="24"/>
        </w:rPr>
        <w:t>管理人可要求投资人对报名材料有关内容进行解释或说明。在全部报名结束后，管理人将根据报名情况筛选出合格的意向投资人入围下一步遴选阶段。</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rPr>
      </w:pPr>
      <w:r>
        <w:rPr>
          <w:rFonts w:hint="eastAsia" w:ascii="仿宋" w:hAnsi="仿宋" w:eastAsia="仿宋" w:cs="仿宋"/>
          <w:color w:val="333333"/>
          <w:spacing w:val="8"/>
          <w:sz w:val="24"/>
          <w:szCs w:val="24"/>
        </w:rPr>
        <w:t>（三）后续工作安排</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rPr>
      </w:pPr>
      <w:r>
        <w:rPr>
          <w:rFonts w:hint="eastAsia" w:ascii="仿宋" w:hAnsi="仿宋" w:eastAsia="仿宋" w:cs="仿宋"/>
          <w:color w:val="333333"/>
          <w:spacing w:val="8"/>
          <w:sz w:val="24"/>
          <w:szCs w:val="24"/>
        </w:rPr>
        <w:t>1.尽职调查。意向投资人根据管理人安排，对</w:t>
      </w:r>
      <w:r>
        <w:rPr>
          <w:rFonts w:hint="eastAsia" w:ascii="仿宋" w:hAnsi="仿宋" w:eastAsia="仿宋" w:cs="仿宋"/>
          <w:color w:val="333333"/>
          <w:spacing w:val="8"/>
          <w:sz w:val="24"/>
          <w:szCs w:val="24"/>
          <w:lang w:val="en-US" w:eastAsia="zh-CN"/>
        </w:rPr>
        <w:t>川嘉</w:t>
      </w:r>
      <w:r>
        <w:rPr>
          <w:rFonts w:hint="eastAsia" w:ascii="仿宋" w:hAnsi="仿宋" w:eastAsia="仿宋" w:cs="仿宋"/>
          <w:color w:val="333333"/>
          <w:spacing w:val="8"/>
          <w:sz w:val="24"/>
          <w:szCs w:val="24"/>
        </w:rPr>
        <w:t>公司开展尽职调查，并根据管理人要求缴纳50万元尽调保证金（账户名：</w:t>
      </w:r>
      <w:r>
        <w:rPr>
          <w:rFonts w:hint="eastAsia" w:ascii="仿宋" w:hAnsi="仿宋" w:eastAsia="仿宋" w:cs="仿宋"/>
          <w:color w:val="333333"/>
          <w:spacing w:val="8"/>
          <w:sz w:val="24"/>
          <w:szCs w:val="24"/>
          <w:lang w:val="en-US" w:eastAsia="zh-CN"/>
        </w:rPr>
        <w:t>重庆川嘉房地产开发</w:t>
      </w:r>
      <w:r>
        <w:rPr>
          <w:rFonts w:hint="eastAsia" w:ascii="仿宋" w:hAnsi="仿宋" w:eastAsia="仿宋" w:cs="仿宋"/>
          <w:color w:val="333333"/>
          <w:spacing w:val="8"/>
          <w:sz w:val="24"/>
          <w:szCs w:val="24"/>
        </w:rPr>
        <w:t>有限公司管理人；</w:t>
      </w:r>
      <w:r>
        <w:rPr>
          <w:rFonts w:hint="eastAsia" w:ascii="仿宋" w:hAnsi="仿宋" w:eastAsia="仿宋" w:cs="仿宋"/>
          <w:color w:val="auto"/>
          <w:spacing w:val="8"/>
          <w:sz w:val="24"/>
          <w:szCs w:val="24"/>
        </w:rPr>
        <w:t>开户行：</w:t>
      </w:r>
      <w:r>
        <w:rPr>
          <w:rFonts w:hint="eastAsia" w:ascii="仿宋" w:hAnsi="仿宋" w:eastAsia="仿宋" w:cs="仿宋"/>
          <w:color w:val="auto"/>
          <w:spacing w:val="8"/>
          <w:sz w:val="24"/>
          <w:szCs w:val="24"/>
          <w:lang w:eastAsia="zh-CN"/>
        </w:rPr>
        <w:t>中国工商银行股份有限公司金沙支行</w:t>
      </w:r>
      <w:r>
        <w:rPr>
          <w:rFonts w:hint="eastAsia" w:ascii="仿宋" w:hAnsi="仿宋" w:eastAsia="仿宋" w:cs="仿宋"/>
          <w:color w:val="auto"/>
          <w:spacing w:val="8"/>
          <w:sz w:val="24"/>
          <w:szCs w:val="24"/>
        </w:rPr>
        <w:t>；账号：</w:t>
      </w:r>
      <w:r>
        <w:rPr>
          <w:rFonts w:hint="eastAsia" w:ascii="仿宋" w:hAnsi="仿宋" w:eastAsia="仿宋" w:cs="仿宋"/>
          <w:color w:val="auto"/>
          <w:spacing w:val="8"/>
          <w:sz w:val="24"/>
          <w:szCs w:val="24"/>
          <w:lang w:val="en-US" w:eastAsia="zh-CN"/>
        </w:rPr>
        <w:t>2406075039200112434</w:t>
      </w:r>
      <w:r>
        <w:rPr>
          <w:rFonts w:hint="eastAsia" w:ascii="仿宋" w:hAnsi="仿宋" w:eastAsia="仿宋" w:cs="仿宋"/>
          <w:color w:val="333333"/>
          <w:spacing w:val="8"/>
          <w:sz w:val="24"/>
          <w:szCs w:val="24"/>
        </w:rPr>
        <w:t>）。意向投资人开展尽调所需费用由意向投资人自行承担。</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rPr>
      </w:pPr>
      <w:r>
        <w:rPr>
          <w:rFonts w:hint="eastAsia" w:ascii="仿宋" w:hAnsi="仿宋" w:eastAsia="仿宋" w:cs="仿宋"/>
          <w:color w:val="333333"/>
          <w:spacing w:val="8"/>
          <w:sz w:val="24"/>
          <w:szCs w:val="24"/>
        </w:rPr>
        <w:t>如意向投资人未缴纳50万元尽调保证金，但仍愿按本招募公告提交方案，则提交方案视为其同意完全按</w:t>
      </w:r>
      <w:r>
        <w:rPr>
          <w:rFonts w:hint="eastAsia" w:ascii="仿宋" w:hAnsi="仿宋" w:eastAsia="仿宋" w:cs="仿宋"/>
          <w:color w:val="333333"/>
          <w:spacing w:val="8"/>
          <w:sz w:val="24"/>
          <w:szCs w:val="24"/>
          <w:lang w:val="en-US" w:eastAsia="zh-CN"/>
        </w:rPr>
        <w:t>川嘉</w:t>
      </w:r>
      <w:r>
        <w:rPr>
          <w:rFonts w:hint="eastAsia" w:ascii="仿宋" w:hAnsi="仿宋" w:eastAsia="仿宋" w:cs="仿宋"/>
          <w:color w:val="333333"/>
          <w:spacing w:val="8"/>
          <w:sz w:val="24"/>
          <w:szCs w:val="24"/>
        </w:rPr>
        <w:t>公司现状投资且不提任何异议。</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rPr>
      </w:pPr>
      <w:r>
        <w:rPr>
          <w:rFonts w:hint="eastAsia" w:ascii="仿宋" w:hAnsi="仿宋" w:eastAsia="仿宋" w:cs="仿宋"/>
          <w:color w:val="333333"/>
          <w:spacing w:val="8"/>
          <w:sz w:val="24"/>
          <w:szCs w:val="24"/>
        </w:rPr>
        <w:t>2.提交方案。意向投资人应根据管理人要求提交投资方案，内容包括但不限于：投资方案、偿债金额及偿债方案、资金来源、经营方案、职工安置方案等。</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rPr>
      </w:pPr>
      <w:r>
        <w:rPr>
          <w:rFonts w:hint="eastAsia" w:ascii="仿宋" w:hAnsi="仿宋" w:eastAsia="仿宋" w:cs="仿宋"/>
          <w:color w:val="333333"/>
          <w:spacing w:val="8"/>
          <w:sz w:val="24"/>
          <w:szCs w:val="24"/>
        </w:rPr>
        <w:t>3.遴选。管理人在法院监督指导下组织遴选工作，拟通过商业谈判、竞争性遴选方式（包括网络拍卖平台公开竞价方式，具体由管理人确定）、或组织有关各方组建遴选委员会等方式最终确定重整投资人。</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lang w:eastAsia="zh-CN"/>
        </w:rPr>
      </w:pPr>
      <w:r>
        <w:rPr>
          <w:rFonts w:hint="eastAsia" w:ascii="仿宋" w:hAnsi="仿宋" w:eastAsia="仿宋" w:cs="仿宋"/>
          <w:color w:val="333333"/>
          <w:spacing w:val="8"/>
          <w:sz w:val="24"/>
          <w:szCs w:val="24"/>
        </w:rPr>
        <w:t>4.</w:t>
      </w:r>
      <w:r>
        <w:rPr>
          <w:rFonts w:hint="eastAsia" w:ascii="仿宋" w:hAnsi="仿宋" w:eastAsia="仿宋" w:cs="仿宋"/>
          <w:color w:val="333333"/>
          <w:spacing w:val="8"/>
          <w:sz w:val="24"/>
          <w:szCs w:val="24"/>
          <w:lang w:eastAsia="zh-CN"/>
        </w:rPr>
        <w:t>进入</w:t>
      </w:r>
      <w:r>
        <w:rPr>
          <w:rFonts w:hint="eastAsia" w:ascii="仿宋" w:hAnsi="仿宋" w:eastAsia="仿宋" w:cs="仿宋"/>
          <w:color w:val="333333"/>
          <w:spacing w:val="8"/>
          <w:sz w:val="24"/>
          <w:szCs w:val="24"/>
        </w:rPr>
        <w:t>遴选</w:t>
      </w:r>
      <w:r>
        <w:rPr>
          <w:rFonts w:hint="eastAsia" w:ascii="仿宋" w:hAnsi="仿宋" w:eastAsia="仿宋" w:cs="仿宋"/>
          <w:color w:val="333333"/>
          <w:spacing w:val="8"/>
          <w:sz w:val="24"/>
          <w:szCs w:val="24"/>
          <w:lang w:eastAsia="zh-CN"/>
        </w:rPr>
        <w:t>的意向投资人，需要管理人或</w:t>
      </w:r>
      <w:r>
        <w:rPr>
          <w:rFonts w:hint="eastAsia" w:ascii="仿宋" w:hAnsi="仿宋" w:eastAsia="仿宋" w:cs="仿宋"/>
          <w:color w:val="333333"/>
          <w:spacing w:val="8"/>
          <w:sz w:val="24"/>
          <w:szCs w:val="24"/>
        </w:rPr>
        <w:t>遴选</w:t>
      </w:r>
      <w:r>
        <w:rPr>
          <w:rFonts w:hint="eastAsia" w:ascii="仿宋" w:hAnsi="仿宋" w:eastAsia="仿宋" w:cs="仿宋"/>
          <w:color w:val="333333"/>
          <w:spacing w:val="8"/>
          <w:sz w:val="24"/>
          <w:szCs w:val="24"/>
          <w:lang w:eastAsia="zh-CN"/>
        </w:rPr>
        <w:t>委员会进行必要尽职调查的，所需交通费、住宿费等必要费用应由意向投资人承担。无论</w:t>
      </w:r>
      <w:r>
        <w:rPr>
          <w:rFonts w:hint="eastAsia" w:ascii="仿宋" w:hAnsi="仿宋" w:eastAsia="仿宋" w:cs="仿宋"/>
          <w:color w:val="333333"/>
          <w:spacing w:val="8"/>
          <w:sz w:val="24"/>
          <w:szCs w:val="24"/>
        </w:rPr>
        <w:t>遴选</w:t>
      </w:r>
      <w:r>
        <w:rPr>
          <w:rFonts w:hint="eastAsia" w:ascii="仿宋" w:hAnsi="仿宋" w:eastAsia="仿宋" w:cs="仿宋"/>
          <w:color w:val="333333"/>
          <w:spacing w:val="8"/>
          <w:sz w:val="24"/>
          <w:szCs w:val="24"/>
          <w:lang w:eastAsia="zh-CN"/>
        </w:rPr>
        <w:t>成功与否，该费用均系意向投资人自愿承担，意向投资人不得以任何理由提出抗辩。</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rPr>
      </w:pPr>
      <w:r>
        <w:rPr>
          <w:rFonts w:hint="eastAsia" w:ascii="仿宋" w:hAnsi="仿宋" w:eastAsia="仿宋" w:cs="仿宋"/>
          <w:color w:val="333333"/>
          <w:spacing w:val="8"/>
          <w:sz w:val="24"/>
          <w:szCs w:val="24"/>
          <w:lang w:val="en-US" w:eastAsia="zh-CN"/>
        </w:rPr>
        <w:t>5.</w:t>
      </w:r>
      <w:r>
        <w:rPr>
          <w:rFonts w:hint="eastAsia" w:ascii="仿宋" w:hAnsi="仿宋" w:eastAsia="仿宋" w:cs="仿宋"/>
          <w:color w:val="333333"/>
          <w:spacing w:val="8"/>
          <w:sz w:val="24"/>
          <w:szCs w:val="24"/>
        </w:rPr>
        <w:t>签署协议。重整投资人确定后，应按管理人要求签署相关协议并缴纳不少于500万元的履约保证金，</w:t>
      </w:r>
      <w:r>
        <w:rPr>
          <w:rFonts w:hint="eastAsia" w:ascii="仿宋" w:hAnsi="仿宋" w:eastAsia="仿宋" w:cs="仿宋"/>
          <w:color w:val="333333"/>
          <w:spacing w:val="8"/>
          <w:sz w:val="24"/>
          <w:szCs w:val="24"/>
          <w:lang w:val="en-US" w:eastAsia="zh-CN"/>
        </w:rPr>
        <w:t>如已经缴纳</w:t>
      </w:r>
      <w:r>
        <w:rPr>
          <w:rFonts w:hint="eastAsia" w:ascii="仿宋" w:hAnsi="仿宋" w:eastAsia="仿宋" w:cs="仿宋"/>
          <w:color w:val="333333"/>
          <w:spacing w:val="8"/>
          <w:sz w:val="24"/>
          <w:szCs w:val="24"/>
        </w:rPr>
        <w:t>尽调保证金（不含利息，下同）</w:t>
      </w:r>
      <w:r>
        <w:rPr>
          <w:rFonts w:hint="eastAsia" w:ascii="仿宋" w:hAnsi="仿宋" w:eastAsia="仿宋" w:cs="仿宋"/>
          <w:color w:val="333333"/>
          <w:spacing w:val="8"/>
          <w:sz w:val="24"/>
          <w:szCs w:val="24"/>
          <w:lang w:val="en-US" w:eastAsia="zh-CN"/>
        </w:rPr>
        <w:t>的，</w:t>
      </w:r>
      <w:r>
        <w:rPr>
          <w:rFonts w:hint="eastAsia" w:ascii="仿宋" w:hAnsi="仿宋" w:eastAsia="仿宋" w:cs="仿宋"/>
          <w:color w:val="333333"/>
          <w:spacing w:val="8"/>
          <w:sz w:val="24"/>
          <w:szCs w:val="24"/>
        </w:rPr>
        <w:t>自动转为履约保证金，相关履约保证金将在重整计划（草案）获得法院裁定批准后转为投资款项。重整计划（草案）经法院裁定批准后，各方应按相关协议及重整计划的内容履行。</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rPr>
      </w:pPr>
      <w:r>
        <w:rPr>
          <w:rFonts w:hint="eastAsia" w:ascii="仿宋" w:hAnsi="仿宋" w:eastAsia="仿宋" w:cs="仿宋"/>
          <w:color w:val="333333"/>
          <w:spacing w:val="8"/>
          <w:sz w:val="24"/>
          <w:szCs w:val="24"/>
          <w:lang w:val="en-US" w:eastAsia="zh-CN"/>
        </w:rPr>
        <w:t>6</w:t>
      </w:r>
      <w:r>
        <w:rPr>
          <w:rFonts w:hint="eastAsia" w:ascii="仿宋" w:hAnsi="仿宋" w:eastAsia="仿宋" w:cs="仿宋"/>
          <w:color w:val="333333"/>
          <w:spacing w:val="8"/>
          <w:sz w:val="24"/>
          <w:szCs w:val="24"/>
        </w:rPr>
        <w:t>.退款安排。原则上，未被确定为重整投资人的其他意向投资人，管理人将在遴选结果确定后退还其尽调保证金（无息），具体退款事宜由管理人另行通知。</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b/>
          <w:bCs/>
          <w:color w:val="333333"/>
          <w:sz w:val="24"/>
          <w:szCs w:val="24"/>
        </w:rPr>
      </w:pPr>
      <w:r>
        <w:rPr>
          <w:rFonts w:hint="eastAsia" w:ascii="仿宋" w:hAnsi="仿宋" w:eastAsia="仿宋" w:cs="仿宋"/>
          <w:b/>
          <w:bCs/>
          <w:color w:val="333333"/>
          <w:sz w:val="24"/>
          <w:szCs w:val="24"/>
        </w:rPr>
        <w:t>六、其他事项</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rPr>
      </w:pPr>
      <w:r>
        <w:rPr>
          <w:rFonts w:hint="eastAsia" w:ascii="仿宋" w:hAnsi="仿宋" w:eastAsia="仿宋" w:cs="仿宋"/>
          <w:color w:val="333333"/>
          <w:spacing w:val="8"/>
          <w:sz w:val="24"/>
          <w:szCs w:val="24"/>
        </w:rPr>
        <w:t>本公告由</w:t>
      </w:r>
      <w:r>
        <w:rPr>
          <w:rFonts w:hint="eastAsia" w:ascii="仿宋" w:hAnsi="仿宋" w:eastAsia="仿宋" w:cs="仿宋"/>
          <w:color w:val="333333"/>
          <w:spacing w:val="8"/>
          <w:sz w:val="24"/>
          <w:szCs w:val="24"/>
          <w:lang w:val="en-US" w:eastAsia="zh-CN"/>
        </w:rPr>
        <w:t>重庆川嘉房地产开发有限</w:t>
      </w:r>
      <w:r>
        <w:rPr>
          <w:rFonts w:hint="eastAsia" w:ascii="仿宋" w:hAnsi="仿宋" w:eastAsia="仿宋" w:cs="仿宋"/>
          <w:color w:val="333333"/>
          <w:spacing w:val="8"/>
          <w:sz w:val="24"/>
          <w:szCs w:val="24"/>
        </w:rPr>
        <w:t>公司管理人编制，由管理人负责解释。</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rPr>
      </w:pPr>
      <w:r>
        <w:rPr>
          <w:rFonts w:hint="eastAsia" w:ascii="仿宋" w:hAnsi="仿宋" w:eastAsia="仿宋" w:cs="仿宋"/>
          <w:color w:val="333333"/>
          <w:spacing w:val="8"/>
          <w:sz w:val="24"/>
          <w:szCs w:val="24"/>
        </w:rPr>
        <w:t>热忱欢迎各地单位、各界人士报名参与本重整投资项目。</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rPr>
      </w:pP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firstLine="480"/>
        <w:jc w:val="both"/>
        <w:textAlignment w:val="auto"/>
        <w:rPr>
          <w:rFonts w:hint="eastAsia" w:ascii="仿宋" w:hAnsi="仿宋" w:eastAsia="仿宋" w:cs="仿宋"/>
          <w:color w:val="333333"/>
          <w:spacing w:val="8"/>
          <w:sz w:val="24"/>
          <w:szCs w:val="24"/>
        </w:rPr>
      </w:pP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jc w:val="right"/>
        <w:textAlignment w:val="auto"/>
        <w:rPr>
          <w:rFonts w:hint="eastAsia" w:ascii="仿宋" w:hAnsi="仿宋" w:eastAsia="仿宋" w:cs="仿宋"/>
          <w:color w:val="333333"/>
          <w:spacing w:val="8"/>
          <w:sz w:val="24"/>
          <w:szCs w:val="24"/>
        </w:rPr>
      </w:pPr>
      <w:r>
        <w:rPr>
          <w:rFonts w:hint="eastAsia" w:ascii="仿宋" w:hAnsi="仿宋" w:eastAsia="仿宋" w:cs="仿宋"/>
          <w:color w:val="333333"/>
          <w:spacing w:val="8"/>
          <w:sz w:val="24"/>
          <w:szCs w:val="24"/>
          <w:lang w:val="en-US" w:eastAsia="zh-CN"/>
        </w:rPr>
        <w:t>重庆川嘉房地产开发</w:t>
      </w:r>
      <w:r>
        <w:rPr>
          <w:rFonts w:hint="eastAsia" w:ascii="仿宋" w:hAnsi="仿宋" w:eastAsia="仿宋" w:cs="仿宋"/>
          <w:color w:val="333333"/>
          <w:spacing w:val="8"/>
          <w:sz w:val="24"/>
          <w:szCs w:val="24"/>
        </w:rPr>
        <w:t>有限公司</w:t>
      </w:r>
      <w:r>
        <w:rPr>
          <w:rFonts w:hint="eastAsia" w:ascii="仿宋" w:hAnsi="仿宋" w:eastAsia="仿宋" w:cs="仿宋"/>
          <w:color w:val="333333"/>
          <w:spacing w:val="8"/>
          <w:sz w:val="24"/>
          <w:szCs w:val="24"/>
          <w:lang w:eastAsia="zh-CN"/>
        </w:rPr>
        <w:t>破产</w:t>
      </w:r>
      <w:r>
        <w:rPr>
          <w:rFonts w:hint="eastAsia" w:ascii="仿宋" w:hAnsi="仿宋" w:eastAsia="仿宋" w:cs="仿宋"/>
          <w:color w:val="333333"/>
          <w:spacing w:val="8"/>
          <w:sz w:val="24"/>
          <w:szCs w:val="24"/>
        </w:rPr>
        <w:t>管理人</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74" w:right="74"/>
        <w:jc w:val="center"/>
        <w:textAlignment w:val="auto"/>
        <w:rPr>
          <w:rFonts w:hint="eastAsia" w:ascii="仿宋" w:hAnsi="仿宋" w:eastAsia="仿宋" w:cs="仿宋"/>
          <w:color w:val="333333"/>
          <w:spacing w:val="8"/>
          <w:sz w:val="24"/>
          <w:szCs w:val="24"/>
        </w:rPr>
      </w:pPr>
      <w:r>
        <w:rPr>
          <w:rFonts w:hint="eastAsia" w:ascii="仿宋" w:hAnsi="仿宋" w:eastAsia="仿宋" w:cs="仿宋"/>
          <w:color w:val="333333"/>
          <w:spacing w:val="8"/>
          <w:sz w:val="24"/>
          <w:szCs w:val="24"/>
          <w:lang w:val="en-US" w:eastAsia="zh-CN"/>
        </w:rPr>
        <w:t xml:space="preserve">                          </w:t>
      </w:r>
      <w:r>
        <w:rPr>
          <w:rFonts w:hint="eastAsia" w:ascii="仿宋" w:hAnsi="仿宋" w:eastAsia="仿宋" w:cs="仿宋"/>
          <w:color w:val="333333"/>
          <w:spacing w:val="8"/>
          <w:sz w:val="24"/>
          <w:szCs w:val="24"/>
        </w:rPr>
        <w:t>二〇二</w:t>
      </w:r>
      <w:r>
        <w:rPr>
          <w:rFonts w:hint="eastAsia" w:ascii="仿宋" w:hAnsi="仿宋" w:eastAsia="仿宋" w:cs="仿宋"/>
          <w:color w:val="333333"/>
          <w:spacing w:val="8"/>
          <w:sz w:val="24"/>
          <w:szCs w:val="24"/>
          <w:lang w:val="en-US" w:eastAsia="zh-CN"/>
        </w:rPr>
        <w:t>二</w:t>
      </w:r>
      <w:r>
        <w:rPr>
          <w:rFonts w:hint="eastAsia" w:ascii="仿宋" w:hAnsi="仿宋" w:eastAsia="仿宋" w:cs="仿宋"/>
          <w:color w:val="333333"/>
          <w:spacing w:val="8"/>
          <w:sz w:val="24"/>
          <w:szCs w:val="24"/>
        </w:rPr>
        <w:t>年</w:t>
      </w:r>
      <w:r>
        <w:rPr>
          <w:rFonts w:hint="eastAsia" w:ascii="仿宋" w:hAnsi="仿宋" w:eastAsia="仿宋" w:cs="仿宋"/>
          <w:color w:val="333333"/>
          <w:spacing w:val="8"/>
          <w:sz w:val="24"/>
          <w:szCs w:val="24"/>
          <w:lang w:eastAsia="zh-CN"/>
        </w:rPr>
        <w:t>六</w:t>
      </w:r>
      <w:r>
        <w:rPr>
          <w:rFonts w:hint="eastAsia" w:ascii="仿宋" w:hAnsi="仿宋" w:eastAsia="仿宋" w:cs="仿宋"/>
          <w:color w:val="333333"/>
          <w:spacing w:val="8"/>
          <w:sz w:val="24"/>
          <w:szCs w:val="24"/>
        </w:rPr>
        <w:t>月</w:t>
      </w:r>
      <w:r>
        <w:rPr>
          <w:rFonts w:hint="eastAsia" w:ascii="仿宋" w:hAnsi="仿宋" w:eastAsia="仿宋" w:cs="仿宋"/>
          <w:color w:val="333333"/>
          <w:spacing w:val="8"/>
          <w:sz w:val="24"/>
          <w:szCs w:val="24"/>
          <w:lang w:eastAsia="zh-CN"/>
        </w:rPr>
        <w:t>二</w:t>
      </w:r>
      <w:r>
        <w:rPr>
          <w:rFonts w:hint="eastAsia" w:ascii="仿宋" w:hAnsi="仿宋" w:eastAsia="仿宋" w:cs="仿宋"/>
          <w:color w:val="333333"/>
          <w:spacing w:val="8"/>
          <w:sz w:val="24"/>
          <w:szCs w:val="24"/>
        </w:rPr>
        <w:t>日</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rPr>
      </w:pPr>
    </w:p>
    <w:sectPr>
      <w:footerReference r:id="rId3" w:type="default"/>
      <w:pgSz w:w="11906" w:h="16838"/>
      <w:pgMar w:top="1440" w:right="1797" w:bottom="1440" w:left="179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等线">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ZhZmI4YjRkYWMyM2QzNDVjOGNhZDY2YjUwNTJjNzcifQ=="/>
  </w:docVars>
  <w:rsids>
    <w:rsidRoot w:val="004157A8"/>
    <w:rsid w:val="001B48D3"/>
    <w:rsid w:val="00243848"/>
    <w:rsid w:val="00336FBF"/>
    <w:rsid w:val="004157A8"/>
    <w:rsid w:val="00596788"/>
    <w:rsid w:val="00A45748"/>
    <w:rsid w:val="00B53B72"/>
    <w:rsid w:val="00C62278"/>
    <w:rsid w:val="00E601F9"/>
    <w:rsid w:val="00E75B12"/>
    <w:rsid w:val="00F518EF"/>
    <w:rsid w:val="024C6BE5"/>
    <w:rsid w:val="11AE2F10"/>
    <w:rsid w:val="17625827"/>
    <w:rsid w:val="179606CE"/>
    <w:rsid w:val="197E766C"/>
    <w:rsid w:val="207277FE"/>
    <w:rsid w:val="26F947D6"/>
    <w:rsid w:val="280B47C0"/>
    <w:rsid w:val="2D880661"/>
    <w:rsid w:val="2E9D013C"/>
    <w:rsid w:val="303B7C0D"/>
    <w:rsid w:val="3F2C52F0"/>
    <w:rsid w:val="413B7A6D"/>
    <w:rsid w:val="45132AAF"/>
    <w:rsid w:val="456B4699"/>
    <w:rsid w:val="4C0F3FD0"/>
    <w:rsid w:val="535449BE"/>
    <w:rsid w:val="56B063AF"/>
    <w:rsid w:val="5C983B6D"/>
    <w:rsid w:val="63B23767"/>
    <w:rsid w:val="63E458EA"/>
    <w:rsid w:val="643C74D4"/>
    <w:rsid w:val="65CE0600"/>
    <w:rsid w:val="66D65EBA"/>
    <w:rsid w:val="67CB3049"/>
    <w:rsid w:val="68E343C2"/>
    <w:rsid w:val="68E5013A"/>
    <w:rsid w:val="6A837C0B"/>
    <w:rsid w:val="6CDC1854"/>
    <w:rsid w:val="6CE369E0"/>
    <w:rsid w:val="6D54588F"/>
    <w:rsid w:val="76C92634"/>
    <w:rsid w:val="780F0D30"/>
    <w:rsid w:val="7C06244A"/>
    <w:rsid w:val="7C2964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ody Text First Indent"/>
    <w:basedOn w:val="3"/>
    <w:qFormat/>
    <w:uiPriority w:val="0"/>
    <w:pPr>
      <w:widowControl/>
      <w:spacing w:line="360" w:lineRule="auto"/>
      <w:ind w:firstLine="420" w:firstLineChars="100"/>
      <w:jc w:val="left"/>
    </w:pPr>
    <w:rPr>
      <w:rFonts w:ascii="宋体" w:hAnsi="Times New Roman" w:eastAsia="宋体" w:cs="Times New Roman"/>
      <w:kern w:val="0"/>
      <w:sz w:val="24"/>
      <w:szCs w:val="20"/>
      <w:lang w:val="en-US" w:eastAsia="zh-CN" w:bidi="ar-SA"/>
    </w:rPr>
  </w:style>
  <w:style w:type="paragraph" w:styleId="3">
    <w:name w:val="Body Text"/>
    <w:basedOn w:val="1"/>
    <w:qFormat/>
    <w:uiPriority w:val="1"/>
    <w:rPr>
      <w:rFonts w:ascii="仿宋" w:hAnsi="仿宋" w:eastAsia="仿宋" w:cs="仿宋"/>
      <w:sz w:val="24"/>
      <w:szCs w:val="24"/>
      <w:lang w:val="zh-CN" w:eastAsia="zh-CN" w:bidi="zh-CN"/>
    </w:rPr>
  </w:style>
  <w:style w:type="paragraph" w:styleId="4">
    <w:name w:val="footer"/>
    <w:basedOn w:val="1"/>
    <w:semiHidden/>
    <w:unhideWhenUsed/>
    <w:uiPriority w:val="99"/>
    <w:pPr>
      <w:tabs>
        <w:tab w:val="center" w:pos="4153"/>
        <w:tab w:val="right" w:pos="8306"/>
      </w:tabs>
      <w:snapToGrid w:val="0"/>
      <w:jc w:val="left"/>
    </w:pPr>
    <w:rPr>
      <w:sz w:val="18"/>
    </w:rPr>
  </w:style>
  <w:style w:type="paragraph" w:styleId="5">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Strong"/>
    <w:basedOn w:val="8"/>
    <w:qFormat/>
    <w:uiPriority w:val="22"/>
    <w:rPr>
      <w:b/>
      <w:bC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5661</Words>
  <Characters>7150</Characters>
  <Lines>25</Lines>
  <Paragraphs>7</Paragraphs>
  <TotalTime>68</TotalTime>
  <ScaleCrop>false</ScaleCrop>
  <LinksUpToDate>false</LinksUpToDate>
  <CharactersWithSpaces>7193</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2020-10-18T03:33:00Z</dcterms:created>
  <dc:creator>倪律师</dc:creator>
  <cp:lastModifiedBy>Stay With Me .</cp:lastModifiedBy>
  <dcterms:modified xsi:type="dcterms:W3CDTF">2022-06-02T04:32:52Z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D2FD1F69005F4DFC8F0340BF5BFB06D9</vt:lpwstr>
  </property>
</Properties>
</file>