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D27B8" w14:textId="64C396A9" w:rsidR="00072FE9" w:rsidRPr="00DF4EF8" w:rsidRDefault="003E07DF" w:rsidP="00072FE9">
      <w:pPr>
        <w:jc w:val="center"/>
        <w:rPr>
          <w:rFonts w:ascii="仿宋" w:eastAsia="仿宋" w:hAnsi="仿宋"/>
          <w:b/>
          <w:bCs/>
          <w:sz w:val="32"/>
          <w:szCs w:val="32"/>
        </w:rPr>
      </w:pPr>
      <w:bookmarkStart w:id="0" w:name="_Hlk113883775"/>
      <w:r>
        <w:rPr>
          <w:rFonts w:ascii="仿宋" w:eastAsia="仿宋" w:hAnsi="仿宋" w:hint="eastAsia"/>
          <w:b/>
          <w:bCs/>
          <w:sz w:val="32"/>
          <w:szCs w:val="32"/>
        </w:rPr>
        <w:t>登封市玉</w:t>
      </w:r>
      <w:proofErr w:type="gramStart"/>
      <w:r>
        <w:rPr>
          <w:rFonts w:ascii="仿宋" w:eastAsia="仿宋" w:hAnsi="仿宋" w:hint="eastAsia"/>
          <w:b/>
          <w:bCs/>
          <w:sz w:val="32"/>
          <w:szCs w:val="32"/>
        </w:rPr>
        <w:t>鑫</w:t>
      </w:r>
      <w:proofErr w:type="gramEnd"/>
      <w:r>
        <w:rPr>
          <w:rFonts w:ascii="仿宋" w:eastAsia="仿宋" w:hAnsi="仿宋" w:hint="eastAsia"/>
          <w:b/>
          <w:bCs/>
          <w:sz w:val="32"/>
          <w:szCs w:val="32"/>
        </w:rPr>
        <w:t>棕刚玉有限公司</w:t>
      </w:r>
      <w:bookmarkEnd w:id="0"/>
      <w:r w:rsidR="00072FE9" w:rsidRPr="00DF4EF8">
        <w:rPr>
          <w:rFonts w:ascii="仿宋" w:eastAsia="仿宋" w:hAnsi="仿宋" w:hint="eastAsia"/>
          <w:b/>
          <w:bCs/>
          <w:sz w:val="32"/>
          <w:szCs w:val="32"/>
        </w:rPr>
        <w:t>债权审查规则</w:t>
      </w:r>
    </w:p>
    <w:p w14:paraId="60C971B1"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第一节</w:t>
      </w:r>
      <w:r>
        <w:rPr>
          <w:rStyle w:val="a8"/>
          <w:rFonts w:ascii="Calibri" w:eastAsia="仿宋" w:hAnsi="Calibri" w:cs="Calibri"/>
          <w:color w:val="000000" w:themeColor="text1"/>
          <w:spacing w:val="8"/>
          <w:sz w:val="32"/>
          <w:szCs w:val="32"/>
        </w:rPr>
        <w:t>  </w:t>
      </w:r>
      <w:r>
        <w:rPr>
          <w:rStyle w:val="a8"/>
          <w:rFonts w:ascii="仿宋" w:eastAsia="仿宋" w:hAnsi="仿宋" w:cs="仿宋" w:hint="eastAsia"/>
          <w:color w:val="000000" w:themeColor="text1"/>
          <w:spacing w:val="8"/>
          <w:sz w:val="32"/>
          <w:szCs w:val="32"/>
        </w:rPr>
        <w:t>债权审查的基本原则</w:t>
      </w:r>
    </w:p>
    <w:p w14:paraId="2B1B87D1" w14:textId="0A8D3C89"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第一条【债权审查的定义】</w:t>
      </w:r>
      <w:r>
        <w:rPr>
          <w:rFonts w:ascii="仿宋" w:eastAsia="仿宋" w:hAnsi="仿宋" w:cs="仿宋" w:hint="eastAsia"/>
          <w:color w:val="000000" w:themeColor="text1"/>
          <w:spacing w:val="8"/>
          <w:sz w:val="32"/>
          <w:szCs w:val="32"/>
        </w:rPr>
        <w:t>本规则所称的破产债权审查，是指</w:t>
      </w:r>
      <w:r w:rsidR="003E07DF" w:rsidRPr="003E07DF">
        <w:rPr>
          <w:rFonts w:ascii="仿宋" w:eastAsia="仿宋" w:hAnsi="仿宋" w:cs="仿宋" w:hint="eastAsia"/>
          <w:color w:val="000000" w:themeColor="text1"/>
          <w:spacing w:val="8"/>
          <w:sz w:val="32"/>
          <w:szCs w:val="32"/>
        </w:rPr>
        <w:t>登封市玉</w:t>
      </w:r>
      <w:proofErr w:type="gramStart"/>
      <w:r w:rsidR="003E07DF" w:rsidRPr="003E07DF">
        <w:rPr>
          <w:rFonts w:ascii="仿宋" w:eastAsia="仿宋" w:hAnsi="仿宋" w:cs="仿宋" w:hint="eastAsia"/>
          <w:color w:val="000000" w:themeColor="text1"/>
          <w:spacing w:val="8"/>
          <w:sz w:val="32"/>
          <w:szCs w:val="32"/>
        </w:rPr>
        <w:t>鑫</w:t>
      </w:r>
      <w:proofErr w:type="gramEnd"/>
      <w:r w:rsidR="003E07DF" w:rsidRPr="003E07DF">
        <w:rPr>
          <w:rFonts w:ascii="仿宋" w:eastAsia="仿宋" w:hAnsi="仿宋" w:cs="仿宋" w:hint="eastAsia"/>
          <w:color w:val="000000" w:themeColor="text1"/>
          <w:spacing w:val="8"/>
          <w:sz w:val="32"/>
          <w:szCs w:val="32"/>
        </w:rPr>
        <w:t>棕刚玉有限公司</w:t>
      </w:r>
      <w:r>
        <w:rPr>
          <w:rFonts w:ascii="仿宋" w:eastAsia="仿宋" w:hAnsi="仿宋" w:cs="仿宋" w:hint="eastAsia"/>
          <w:color w:val="000000" w:themeColor="text1"/>
          <w:spacing w:val="8"/>
          <w:sz w:val="32"/>
          <w:szCs w:val="32"/>
        </w:rPr>
        <w:t>管理人对</w:t>
      </w:r>
      <w:r w:rsidR="003E07DF" w:rsidRPr="003E07DF">
        <w:rPr>
          <w:rFonts w:ascii="仿宋" w:eastAsia="仿宋" w:hAnsi="仿宋" w:cs="仿宋" w:hint="eastAsia"/>
          <w:color w:val="000000" w:themeColor="text1"/>
          <w:spacing w:val="8"/>
          <w:sz w:val="32"/>
          <w:szCs w:val="32"/>
        </w:rPr>
        <w:t>登封市玉</w:t>
      </w:r>
      <w:proofErr w:type="gramStart"/>
      <w:r w:rsidR="003E07DF" w:rsidRPr="003E07DF">
        <w:rPr>
          <w:rFonts w:ascii="仿宋" w:eastAsia="仿宋" w:hAnsi="仿宋" w:cs="仿宋" w:hint="eastAsia"/>
          <w:color w:val="000000" w:themeColor="text1"/>
          <w:spacing w:val="8"/>
          <w:sz w:val="32"/>
          <w:szCs w:val="32"/>
        </w:rPr>
        <w:t>鑫</w:t>
      </w:r>
      <w:proofErr w:type="gramEnd"/>
      <w:r w:rsidR="003E07DF" w:rsidRPr="003E07DF">
        <w:rPr>
          <w:rFonts w:ascii="仿宋" w:eastAsia="仿宋" w:hAnsi="仿宋" w:cs="仿宋" w:hint="eastAsia"/>
          <w:color w:val="000000" w:themeColor="text1"/>
          <w:spacing w:val="8"/>
          <w:sz w:val="32"/>
          <w:szCs w:val="32"/>
        </w:rPr>
        <w:t>棕刚玉有限公司</w:t>
      </w:r>
      <w:r>
        <w:rPr>
          <w:rFonts w:ascii="仿宋" w:eastAsia="仿宋" w:hAnsi="仿宋" w:cs="仿宋" w:hint="eastAsia"/>
          <w:color w:val="000000" w:themeColor="text1"/>
          <w:spacing w:val="8"/>
          <w:sz w:val="32"/>
          <w:szCs w:val="32"/>
        </w:rPr>
        <w:t>破产案件中债权人申报债权的真实性、合法性、时效性以及性质、金额等进行审查的过程。</w:t>
      </w:r>
    </w:p>
    <w:p w14:paraId="5A3621B5"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管理人对债权的审查，是债权人会议核查以及人民法院裁定确认债权的前置程序。</w:t>
      </w:r>
    </w:p>
    <w:p w14:paraId="69B81337"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第二条【实质审查原则】</w:t>
      </w:r>
      <w:r>
        <w:rPr>
          <w:rFonts w:ascii="仿宋" w:eastAsia="仿宋" w:hAnsi="仿宋" w:cs="仿宋" w:hint="eastAsia"/>
          <w:color w:val="000000" w:themeColor="text1"/>
          <w:spacing w:val="8"/>
          <w:sz w:val="32"/>
          <w:szCs w:val="32"/>
        </w:rPr>
        <w:t>管理人在审查债权时应当坚持实质审查原则，不仅要审查债权申报主体、债权申报材料的形式要件是否符合法律规定，还需要对债权形成的相关事实及证据、债权的性质、债权金额、债权的时效性、担保情况、是否存在欺诈、可撤销情形等内容进行实质审查。</w:t>
      </w:r>
    </w:p>
    <w:p w14:paraId="55C6057D"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管理人可以根据审查需要通知债权人补充材料或者说明情况。</w:t>
      </w:r>
    </w:p>
    <w:p w14:paraId="28CD6474"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第三条【公平原则】</w:t>
      </w:r>
      <w:r>
        <w:rPr>
          <w:rFonts w:ascii="仿宋" w:eastAsia="仿宋" w:hAnsi="仿宋" w:cs="仿宋" w:hint="eastAsia"/>
          <w:color w:val="000000" w:themeColor="text1"/>
          <w:spacing w:val="8"/>
          <w:sz w:val="32"/>
          <w:szCs w:val="32"/>
        </w:rPr>
        <w:t>破产案件债权审查认定应当遵循统一标准、实体与程序并重、保障实质公平。</w:t>
      </w:r>
    </w:p>
    <w:p w14:paraId="6A937A06"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第四条【自愿处分原则】</w:t>
      </w:r>
      <w:r>
        <w:rPr>
          <w:rFonts w:ascii="仿宋" w:eastAsia="仿宋" w:hAnsi="仿宋" w:cs="仿宋" w:hint="eastAsia"/>
          <w:color w:val="000000" w:themeColor="text1"/>
          <w:spacing w:val="8"/>
          <w:sz w:val="32"/>
          <w:szCs w:val="32"/>
        </w:rPr>
        <w:t>审查认定债权应当在债权人申报的范围之内，不得超出债权人申报的金额和范围。</w:t>
      </w:r>
    </w:p>
    <w:p w14:paraId="36BD27C0"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第五条【法律适用原则】</w:t>
      </w:r>
      <w:r>
        <w:rPr>
          <w:rFonts w:ascii="仿宋" w:eastAsia="仿宋" w:hAnsi="仿宋" w:cs="仿宋" w:hint="eastAsia"/>
          <w:color w:val="000000" w:themeColor="text1"/>
          <w:spacing w:val="8"/>
          <w:sz w:val="32"/>
          <w:szCs w:val="32"/>
        </w:rPr>
        <w:t>审查认定债权适用法律、法规，应当查明效力和适用范围，遵守上位法优于下位法、特别法优于一般法的原理，优先适用《企业破产法》和相关司法解释。</w:t>
      </w:r>
    </w:p>
    <w:p w14:paraId="11AAB5FD"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部门规章、地方政府规章、行业监督管理机构或者具备行业监督管理职能的机构制定的规则及其他规范性文件，不违反上位法规定的，可以参照适用。</w:t>
      </w:r>
    </w:p>
    <w:p w14:paraId="5D145817"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Calibri" w:eastAsia="仿宋" w:hAnsi="Calibri" w:cs="Calibri"/>
          <w:color w:val="000000" w:themeColor="text1"/>
          <w:spacing w:val="8"/>
          <w:sz w:val="32"/>
          <w:szCs w:val="32"/>
        </w:rPr>
        <w:lastRenderedPageBreak/>
        <w:t> </w:t>
      </w:r>
    </w:p>
    <w:p w14:paraId="7084587F"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第二节</w:t>
      </w:r>
      <w:r>
        <w:rPr>
          <w:rStyle w:val="a8"/>
          <w:rFonts w:ascii="Calibri" w:eastAsia="仿宋" w:hAnsi="Calibri" w:cs="Calibri"/>
          <w:color w:val="000000" w:themeColor="text1"/>
          <w:spacing w:val="8"/>
          <w:sz w:val="32"/>
          <w:szCs w:val="32"/>
        </w:rPr>
        <w:t>  </w:t>
      </w:r>
      <w:r>
        <w:rPr>
          <w:rStyle w:val="a8"/>
          <w:rFonts w:ascii="仿宋" w:eastAsia="仿宋" w:hAnsi="仿宋" w:cs="仿宋" w:hint="eastAsia"/>
          <w:color w:val="000000" w:themeColor="text1"/>
          <w:spacing w:val="8"/>
          <w:sz w:val="32"/>
          <w:szCs w:val="32"/>
        </w:rPr>
        <w:t>债权审查的对象、方法</w:t>
      </w:r>
    </w:p>
    <w:p w14:paraId="204400CA"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第六条【审查对象】</w:t>
      </w:r>
      <w:r>
        <w:rPr>
          <w:rFonts w:ascii="仿宋" w:eastAsia="仿宋" w:hAnsi="仿宋" w:cs="仿宋" w:hint="eastAsia"/>
          <w:color w:val="000000" w:themeColor="text1"/>
          <w:spacing w:val="8"/>
          <w:sz w:val="32"/>
          <w:szCs w:val="32"/>
        </w:rPr>
        <w:t>管理人在审查债权人申报的债权时，应当审查申报债权是否具有执行依据。</w:t>
      </w:r>
    </w:p>
    <w:p w14:paraId="6BDF1A93"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已经生效法律文书（如法院生效判决书、裁定书、调解书，仲裁机构、劳动仲裁机关生效裁决书、调解书等）确定的债权，管理人应予确认。</w:t>
      </w:r>
    </w:p>
    <w:p w14:paraId="690B6765"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经管理人审查，发现债权人据以申报债权的生效法律文书确定的债权错误，或者有证据证明债权人与债务人恶意通过诉讼、仲裁或公证机关赋予强制执行力公证文书的形式虚构债权债务的，将依法通过审判监督程序向</w:t>
      </w:r>
      <w:proofErr w:type="gramStart"/>
      <w:r>
        <w:rPr>
          <w:rFonts w:ascii="仿宋" w:eastAsia="仿宋" w:hAnsi="仿宋" w:cs="仿宋" w:hint="eastAsia"/>
          <w:color w:val="000000" w:themeColor="text1"/>
          <w:spacing w:val="8"/>
          <w:sz w:val="32"/>
          <w:szCs w:val="32"/>
        </w:rPr>
        <w:t>作出</w:t>
      </w:r>
      <w:proofErr w:type="gramEnd"/>
      <w:r>
        <w:rPr>
          <w:rFonts w:ascii="仿宋" w:eastAsia="仿宋" w:hAnsi="仿宋" w:cs="仿宋" w:hint="eastAsia"/>
          <w:color w:val="000000" w:themeColor="text1"/>
          <w:spacing w:val="8"/>
          <w:sz w:val="32"/>
          <w:szCs w:val="32"/>
        </w:rPr>
        <w:t>判决、裁定、调解书的人民法院或者上一级人民法院申请撤销生效法律文书，或者向受理破产申请的人民法院申请撤销或不予执行仲裁裁决、不予执行公证债权文书后，重新确定债权。</w:t>
      </w:r>
    </w:p>
    <w:p w14:paraId="758A8067"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第七条【审查方法】</w:t>
      </w:r>
      <w:r>
        <w:rPr>
          <w:rFonts w:ascii="仿宋" w:eastAsia="仿宋" w:hAnsi="仿宋" w:cs="仿宋" w:hint="eastAsia"/>
          <w:color w:val="000000" w:themeColor="text1"/>
          <w:spacing w:val="8"/>
          <w:sz w:val="32"/>
          <w:szCs w:val="32"/>
        </w:rPr>
        <w:t>管理人按照以下方法审查债权：</w:t>
      </w:r>
    </w:p>
    <w:p w14:paraId="5D6CF324"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（一）债权人提交的债权申报材料与原件进行核对；</w:t>
      </w:r>
    </w:p>
    <w:p w14:paraId="37B89282"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（二）证据材料保存在政府有关部门的，管理人可以向有关政府部门调查核实；</w:t>
      </w:r>
    </w:p>
    <w:p w14:paraId="3ED94451"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（三）对于复杂、疑难的债权，可聘请注册会计师就申报债权相关的财务资料进行审计和调查；</w:t>
      </w:r>
    </w:p>
    <w:p w14:paraId="301EAF05"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（四）要求债务人通过自查方式提交债权审查意见；</w:t>
      </w:r>
    </w:p>
    <w:p w14:paraId="242D1342"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（五）必要时可以向债务人的法定代表人、企业管理人员、财务人员进行必要的询问，并制作询问笔录；</w:t>
      </w:r>
    </w:p>
    <w:p w14:paraId="7048868B"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（六）要求债权人提供补充资料及书面说明；</w:t>
      </w:r>
    </w:p>
    <w:p w14:paraId="295E6BD9"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lastRenderedPageBreak/>
        <w:t>（七）向债权人进行调查和询问，并制作调查或询问笔录；</w:t>
      </w:r>
    </w:p>
    <w:p w14:paraId="265C264C"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（八）要求债权人与管理人、债务人进行对账；</w:t>
      </w:r>
    </w:p>
    <w:p w14:paraId="3835E982"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（九）向有关部门和单位发出《征询函》；</w:t>
      </w:r>
    </w:p>
    <w:p w14:paraId="074BE70A"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（十）可以聘请相关的专业咨询机构提供有关认定债权的参考意见；</w:t>
      </w:r>
    </w:p>
    <w:p w14:paraId="05EB10B3"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（十一）其他有利于查明债权的方法。</w:t>
      </w:r>
    </w:p>
    <w:p w14:paraId="25EC60FF"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债务人相关人员下落不明、不反馈意见、不提交证据材料，或者财务记录不明的债权，管理人可以根据债权人申报材料和管理人依法取得的其他材料予以审查认定。</w:t>
      </w:r>
    </w:p>
    <w:p w14:paraId="7851D26D"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第八条【债权审查举证规则】</w:t>
      </w:r>
      <w:r>
        <w:rPr>
          <w:rFonts w:ascii="仿宋" w:eastAsia="仿宋" w:hAnsi="仿宋" w:cs="仿宋" w:hint="eastAsia"/>
          <w:color w:val="000000" w:themeColor="text1"/>
          <w:spacing w:val="8"/>
          <w:sz w:val="32"/>
          <w:szCs w:val="32"/>
        </w:rPr>
        <w:t>管理人对破产债权的审查不应完全依赖债权人提供的证据，管理人为审查债权有权自行调查与收集、整理证据。</w:t>
      </w:r>
      <w:r>
        <w:rPr>
          <w:rStyle w:val="a8"/>
          <w:rFonts w:ascii="Calibri" w:eastAsia="仿宋" w:hAnsi="Calibri" w:cs="Calibri"/>
          <w:color w:val="000000" w:themeColor="text1"/>
          <w:spacing w:val="8"/>
          <w:sz w:val="32"/>
          <w:szCs w:val="32"/>
        </w:rPr>
        <w:t> </w:t>
      </w:r>
    </w:p>
    <w:p w14:paraId="76029DD9" w14:textId="77777777" w:rsidR="00072FE9" w:rsidRDefault="00072FE9" w:rsidP="00072FE9">
      <w:pPr>
        <w:pStyle w:val="a7"/>
        <w:shd w:val="clear" w:color="auto" w:fill="FFFFFF"/>
        <w:spacing w:before="0" w:beforeAutospacing="0" w:after="0" w:afterAutospacing="0" w:line="520" w:lineRule="exact"/>
        <w:ind w:firstLine="435"/>
        <w:jc w:val="both"/>
        <w:rPr>
          <w:rStyle w:val="a8"/>
          <w:rFonts w:ascii="仿宋" w:eastAsia="仿宋" w:hAnsi="仿宋" w:cs="仿宋"/>
          <w:color w:val="000000" w:themeColor="text1"/>
          <w:spacing w:val="8"/>
          <w:sz w:val="32"/>
          <w:szCs w:val="32"/>
        </w:rPr>
      </w:pPr>
    </w:p>
    <w:p w14:paraId="5D6E9095"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第三节</w:t>
      </w:r>
      <w:r>
        <w:rPr>
          <w:rStyle w:val="a8"/>
          <w:rFonts w:ascii="Calibri" w:eastAsia="仿宋" w:hAnsi="Calibri" w:cs="Calibri"/>
          <w:color w:val="000000" w:themeColor="text1"/>
          <w:spacing w:val="8"/>
          <w:sz w:val="32"/>
          <w:szCs w:val="32"/>
        </w:rPr>
        <w:t>  </w:t>
      </w:r>
      <w:r>
        <w:rPr>
          <w:rStyle w:val="a8"/>
          <w:rFonts w:ascii="仿宋" w:eastAsia="仿宋" w:hAnsi="仿宋" w:cs="仿宋" w:hint="eastAsia"/>
          <w:color w:val="000000" w:themeColor="text1"/>
          <w:spacing w:val="8"/>
          <w:sz w:val="32"/>
          <w:szCs w:val="32"/>
        </w:rPr>
        <w:t>债权审查的内容</w:t>
      </w:r>
    </w:p>
    <w:p w14:paraId="75AD7C9E"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第九条【主体审查】</w:t>
      </w:r>
      <w:r>
        <w:rPr>
          <w:rFonts w:ascii="仿宋" w:eastAsia="仿宋" w:hAnsi="仿宋" w:cs="仿宋" w:hint="eastAsia"/>
          <w:color w:val="000000" w:themeColor="text1"/>
          <w:spacing w:val="8"/>
          <w:sz w:val="32"/>
          <w:szCs w:val="32"/>
        </w:rPr>
        <w:t>管理人对债权申报主体进行审查，重点审查债权申报主体是否适格。</w:t>
      </w:r>
    </w:p>
    <w:p w14:paraId="1B92A719"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通过债权转让等</w:t>
      </w:r>
      <w:proofErr w:type="gramStart"/>
      <w:r>
        <w:rPr>
          <w:rFonts w:ascii="仿宋" w:eastAsia="仿宋" w:hAnsi="仿宋" w:cs="仿宋" w:hint="eastAsia"/>
          <w:color w:val="000000" w:themeColor="text1"/>
          <w:spacing w:val="8"/>
          <w:sz w:val="32"/>
          <w:szCs w:val="32"/>
        </w:rPr>
        <w:t>方式继</w:t>
      </w:r>
      <w:proofErr w:type="gramEnd"/>
      <w:r>
        <w:rPr>
          <w:rFonts w:ascii="仿宋" w:eastAsia="仿宋" w:hAnsi="仿宋" w:cs="仿宋" w:hint="eastAsia"/>
          <w:color w:val="000000" w:themeColor="text1"/>
          <w:spacing w:val="8"/>
          <w:sz w:val="32"/>
          <w:szCs w:val="32"/>
        </w:rPr>
        <w:t>受取得债权的，管理人还需要审查债权转让协议和债权转让通知书是否真实，是否已对债务人发生法律效力。</w:t>
      </w:r>
    </w:p>
    <w:p w14:paraId="64211A8F"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第十条</w:t>
      </w:r>
      <w:r>
        <w:rPr>
          <w:rStyle w:val="apple-converted-space"/>
          <w:rFonts w:ascii="Calibri" w:eastAsia="仿宋" w:hAnsi="Calibri" w:cs="Calibri"/>
          <w:b/>
          <w:bCs/>
          <w:color w:val="000000" w:themeColor="text1"/>
          <w:spacing w:val="8"/>
          <w:sz w:val="32"/>
          <w:szCs w:val="32"/>
        </w:rPr>
        <w:t> </w:t>
      </w:r>
      <w:r>
        <w:rPr>
          <w:rStyle w:val="a8"/>
          <w:rFonts w:ascii="仿宋" w:eastAsia="仿宋" w:hAnsi="仿宋" w:cs="仿宋" w:hint="eastAsia"/>
          <w:color w:val="000000" w:themeColor="text1"/>
          <w:spacing w:val="8"/>
          <w:sz w:val="32"/>
          <w:szCs w:val="32"/>
        </w:rPr>
        <w:t>【时效审查】</w:t>
      </w:r>
      <w:r>
        <w:rPr>
          <w:rFonts w:ascii="仿宋" w:eastAsia="仿宋" w:hAnsi="仿宋" w:cs="仿宋" w:hint="eastAsia"/>
          <w:color w:val="000000" w:themeColor="text1"/>
          <w:spacing w:val="8"/>
          <w:sz w:val="32"/>
          <w:szCs w:val="32"/>
        </w:rPr>
        <w:t>管理人需要审查申报债权的时效性，该时效包括诉讼时效和执行时效等。</w:t>
      </w:r>
    </w:p>
    <w:p w14:paraId="6504CDCB"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凡超过诉讼时效或执行时效又无时效中断或中止证据的债权，不予确认。</w:t>
      </w:r>
    </w:p>
    <w:p w14:paraId="0457C987"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第十一条【证据审查】</w:t>
      </w:r>
      <w:r>
        <w:rPr>
          <w:rFonts w:ascii="仿宋" w:eastAsia="仿宋" w:hAnsi="仿宋" w:cs="仿宋" w:hint="eastAsia"/>
          <w:color w:val="000000" w:themeColor="text1"/>
          <w:spacing w:val="8"/>
          <w:sz w:val="32"/>
          <w:szCs w:val="32"/>
        </w:rPr>
        <w:t>管理人将依照民事诉讼证据的相关规定对债权人的申报材料、债务人的反馈材料和财务账</w:t>
      </w:r>
      <w:r>
        <w:rPr>
          <w:rFonts w:ascii="仿宋" w:eastAsia="仿宋" w:hAnsi="仿宋" w:cs="仿宋" w:hint="eastAsia"/>
          <w:color w:val="000000" w:themeColor="text1"/>
          <w:spacing w:val="8"/>
          <w:sz w:val="32"/>
          <w:szCs w:val="32"/>
        </w:rPr>
        <w:lastRenderedPageBreak/>
        <w:t>册以及管理人取得的其他证据材料进行审查，必要时可以申请法院调查取证。</w:t>
      </w:r>
    </w:p>
    <w:p w14:paraId="36DAFF49"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管理人在审查证据时，还应注意以下事项：</w:t>
      </w:r>
    </w:p>
    <w:p w14:paraId="0A8052B0"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1.管理人对证据审查的范围包括债权人提供的证据和管理人从接管资料中获取的证据；</w:t>
      </w:r>
    </w:p>
    <w:p w14:paraId="77F0E221"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2.对人民法院的判决书、调解书和仲裁机构的裁决书进行审查，主要审查判决书、裁决书是否发生法律效力，判决书、裁决书是否已经送达给债务人，债务人是否提出上诉或者申诉，债权人是否申请了强制执行，第三人是否提起了撤销之诉等，必要时应向法院和仲裁机构进行核实。</w:t>
      </w:r>
    </w:p>
    <w:p w14:paraId="6F201508"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3.管理人对与债权申报审查有关的全部证据，应当从各证据与申报事实的关联性、各证据之间的联系、证据的真实性、合法性等方面进行综合审查判断。</w:t>
      </w:r>
    </w:p>
    <w:p w14:paraId="3CD3B64A"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第十二条【事实审查】</w:t>
      </w:r>
      <w:r>
        <w:rPr>
          <w:rFonts w:ascii="仿宋" w:eastAsia="仿宋" w:hAnsi="仿宋" w:cs="仿宋" w:hint="eastAsia"/>
          <w:color w:val="000000" w:themeColor="text1"/>
          <w:spacing w:val="8"/>
          <w:sz w:val="32"/>
          <w:szCs w:val="32"/>
        </w:rPr>
        <w:t>管理人在审查债权时，要根据债权人陈述，结合审查认定的证据，查明是否存在一定的法律事实，并确定该法律事实是否能引起债权的发生。</w:t>
      </w:r>
    </w:p>
    <w:p w14:paraId="2104FB64"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管理人应当通过查明的法律事实，确定债权的种类和性质。管理人查明的债权种类和性质与债权人申报的债权种类和性质不一致的，可以告知债权人变更申报。</w:t>
      </w:r>
      <w:r>
        <w:rPr>
          <w:rStyle w:val="a8"/>
          <w:rFonts w:ascii="Calibri" w:eastAsia="仿宋" w:hAnsi="Calibri" w:cs="Calibri"/>
          <w:color w:val="000000" w:themeColor="text1"/>
          <w:spacing w:val="8"/>
          <w:sz w:val="32"/>
          <w:szCs w:val="32"/>
        </w:rPr>
        <w:t> </w:t>
      </w:r>
    </w:p>
    <w:p w14:paraId="572D023E"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第十三条【金额审查】</w:t>
      </w:r>
      <w:r>
        <w:rPr>
          <w:rFonts w:ascii="仿宋" w:eastAsia="仿宋" w:hAnsi="仿宋" w:cs="仿宋" w:hint="eastAsia"/>
          <w:color w:val="000000" w:themeColor="text1"/>
          <w:spacing w:val="8"/>
          <w:sz w:val="32"/>
          <w:szCs w:val="32"/>
        </w:rPr>
        <w:t>管理人应当依据合同、判决书、裁定书等债权文书约定或确定的债权计算依据，对构成申报债权金额的本金、利息、违约金、定金、罚息、逾期付款利息、滞纳金等分别进行审查。</w:t>
      </w:r>
    </w:p>
    <w:p w14:paraId="74BBF955"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债权人未按照债权文书约定或确定的债权计算依据计算债权金额的，对于超出债权文书约定或确定的部分，管理人不予确认。</w:t>
      </w:r>
    </w:p>
    <w:p w14:paraId="6A5938E6"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lastRenderedPageBreak/>
        <w:t>债权人计算的破产申请受理后的利息、罚息、违约金、滞纳金，管理人不予确认。</w:t>
      </w:r>
    </w:p>
    <w:p w14:paraId="7BE8B5AE"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债权申报为外币的，以破产受理日市场汇率中间价为准进行折算。</w:t>
      </w:r>
    </w:p>
    <w:p w14:paraId="298EC428"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债权人申报的债权不是以金额计算的，管理人有权要求债权人按照市场价格重新申报。</w:t>
      </w:r>
    </w:p>
    <w:p w14:paraId="6507F464"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第十四条【不属于破产债权的情形】</w:t>
      </w:r>
      <w:r>
        <w:rPr>
          <w:rFonts w:ascii="仿宋" w:eastAsia="仿宋" w:hAnsi="仿宋" w:cs="仿宋" w:hint="eastAsia"/>
          <w:color w:val="000000" w:themeColor="text1"/>
          <w:spacing w:val="8"/>
          <w:sz w:val="32"/>
          <w:szCs w:val="32"/>
        </w:rPr>
        <w:t>债权人申报的下列债权不属于破产债权：</w:t>
      </w:r>
    </w:p>
    <w:p w14:paraId="7D379390"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（一）破产申请受理后，债务人欠缴款</w:t>
      </w:r>
      <w:proofErr w:type="gramStart"/>
      <w:r>
        <w:rPr>
          <w:rFonts w:ascii="仿宋" w:eastAsia="仿宋" w:hAnsi="仿宋" w:cs="仿宋" w:hint="eastAsia"/>
          <w:color w:val="000000" w:themeColor="text1"/>
          <w:spacing w:val="8"/>
          <w:sz w:val="32"/>
          <w:szCs w:val="32"/>
        </w:rPr>
        <w:t>项产生</w:t>
      </w:r>
      <w:proofErr w:type="gramEnd"/>
      <w:r>
        <w:rPr>
          <w:rFonts w:ascii="仿宋" w:eastAsia="仿宋" w:hAnsi="仿宋" w:cs="仿宋" w:hint="eastAsia"/>
          <w:color w:val="000000" w:themeColor="text1"/>
          <w:spacing w:val="8"/>
          <w:sz w:val="32"/>
          <w:szCs w:val="32"/>
        </w:rPr>
        <w:t>的滞纳金，包括债务人未履行生效法律文书应当加倍支付的迟延利息和劳动保险金的滞纳金；</w:t>
      </w:r>
    </w:p>
    <w:p w14:paraId="58250973"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（二）破产案件受理日以后的债务利息；</w:t>
      </w:r>
    </w:p>
    <w:p w14:paraId="1FE870A6"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（三）债权人参加破产程序所支出的费用；</w:t>
      </w:r>
    </w:p>
    <w:p w14:paraId="33364B0D"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（四）债务人的股权、股票持有人在股权、股票上的权利；</w:t>
      </w:r>
    </w:p>
    <w:p w14:paraId="44E9F4C9"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（五）超过诉讼时效的债权，超过法律规定的期限未申请强制执行的债权；</w:t>
      </w:r>
    </w:p>
    <w:p w14:paraId="5E608C4C"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（六）债务人开办单位对债务人未收取的管理费、承包费；</w:t>
      </w:r>
    </w:p>
    <w:p w14:paraId="38F3322D"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（七）管理人或债务人在破产程序内解除合同，合同相对方申报的超出实际损失的赔偿请求或者要求返还定金的加倍部分；</w:t>
      </w:r>
    </w:p>
    <w:p w14:paraId="64D8B7C5"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（八）政府无偿拨付给债务人的资金，但财政扶贫、科技管理等行政部门通过签订合同，按有偿使用、定期归还原则发放的款项除外；</w:t>
      </w:r>
    </w:p>
    <w:p w14:paraId="690EEF15"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（九）其他依据相关法律法规不属于破产债权的债权。</w:t>
      </w:r>
    </w:p>
    <w:p w14:paraId="7CF6F5C1" w14:textId="77777777" w:rsidR="00072FE9" w:rsidRDefault="00072FE9" w:rsidP="00072FE9">
      <w:pPr>
        <w:pStyle w:val="a7"/>
        <w:shd w:val="clear" w:color="auto" w:fill="FFFFFF"/>
        <w:spacing w:before="0" w:beforeAutospacing="0" w:after="0" w:afterAutospacing="0" w:line="520" w:lineRule="exact"/>
        <w:ind w:firstLine="435"/>
        <w:jc w:val="both"/>
        <w:rPr>
          <w:rStyle w:val="a8"/>
          <w:rFonts w:ascii="仿宋" w:eastAsia="仿宋" w:hAnsi="仿宋" w:cs="仿宋"/>
          <w:color w:val="000000" w:themeColor="text1"/>
          <w:spacing w:val="8"/>
          <w:sz w:val="32"/>
          <w:szCs w:val="32"/>
        </w:rPr>
      </w:pPr>
    </w:p>
    <w:p w14:paraId="293EFA5B"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第四节</w:t>
      </w:r>
      <w:r>
        <w:rPr>
          <w:rStyle w:val="a8"/>
          <w:rFonts w:ascii="Calibri" w:eastAsia="仿宋" w:hAnsi="Calibri" w:cs="Calibri"/>
          <w:color w:val="000000" w:themeColor="text1"/>
          <w:spacing w:val="8"/>
          <w:sz w:val="32"/>
          <w:szCs w:val="32"/>
        </w:rPr>
        <w:t>  </w:t>
      </w:r>
      <w:r>
        <w:rPr>
          <w:rStyle w:val="a8"/>
          <w:rFonts w:ascii="仿宋" w:eastAsia="仿宋" w:hAnsi="仿宋" w:cs="仿宋" w:hint="eastAsia"/>
          <w:color w:val="000000" w:themeColor="text1"/>
          <w:spacing w:val="8"/>
          <w:sz w:val="32"/>
          <w:szCs w:val="32"/>
        </w:rPr>
        <w:t>类型化债权审查</w:t>
      </w:r>
    </w:p>
    <w:p w14:paraId="701737AB"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第十五条【侵权之债】</w:t>
      </w:r>
      <w:r>
        <w:rPr>
          <w:rFonts w:ascii="仿宋" w:eastAsia="仿宋" w:hAnsi="仿宋" w:cs="仿宋" w:hint="eastAsia"/>
          <w:color w:val="000000" w:themeColor="text1"/>
          <w:spacing w:val="8"/>
          <w:sz w:val="32"/>
          <w:szCs w:val="32"/>
        </w:rPr>
        <w:t>债权人申报侵权之债的，管理人应当查明债务人行为的违法性、债权人受损害事实和损害后果、因果关系和债务人过错的情况。</w:t>
      </w:r>
      <w:r>
        <w:rPr>
          <w:rStyle w:val="a8"/>
          <w:rFonts w:ascii="Calibri" w:eastAsia="仿宋" w:hAnsi="Calibri" w:cs="Calibri"/>
          <w:color w:val="000000" w:themeColor="text1"/>
          <w:spacing w:val="8"/>
          <w:sz w:val="32"/>
          <w:szCs w:val="32"/>
        </w:rPr>
        <w:t> </w:t>
      </w:r>
    </w:p>
    <w:p w14:paraId="45BF8751"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第十六条【不当得利之债】</w:t>
      </w:r>
      <w:r>
        <w:rPr>
          <w:rFonts w:ascii="仿宋" w:eastAsia="仿宋" w:hAnsi="仿宋" w:cs="仿宋" w:hint="eastAsia"/>
          <w:color w:val="000000" w:themeColor="text1"/>
          <w:spacing w:val="8"/>
          <w:sz w:val="32"/>
          <w:szCs w:val="32"/>
        </w:rPr>
        <w:t>债权人申报不当得利之债的，管理人应当查明债权人受损与债务人获益之间的因果关系、债务人获益有无法律或者合同依据的情况。</w:t>
      </w:r>
    </w:p>
    <w:p w14:paraId="5FB7135A"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人民法院受理破产申请后，因债务人不当得利所产生的债务，属于共益债务。</w:t>
      </w:r>
    </w:p>
    <w:p w14:paraId="0D6E573D"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第十七条【无因管理之债】</w:t>
      </w:r>
      <w:r>
        <w:rPr>
          <w:rFonts w:ascii="仿宋" w:eastAsia="仿宋" w:hAnsi="仿宋" w:cs="仿宋" w:hint="eastAsia"/>
          <w:color w:val="000000" w:themeColor="text1"/>
          <w:spacing w:val="8"/>
          <w:sz w:val="32"/>
          <w:szCs w:val="32"/>
        </w:rPr>
        <w:t>债权人申报无因管理之债的，管理人应当查明债权人管理债务人的事务、债权人确无法定或者约定义务的情况。</w:t>
      </w:r>
    </w:p>
    <w:p w14:paraId="5D157615"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人民法院受理破产申请后，因债务人财产无因管理产生的债务，属于共益债务。</w:t>
      </w:r>
    </w:p>
    <w:p w14:paraId="1B5FE2F1"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第十八条【财产担保之债】</w:t>
      </w:r>
      <w:r>
        <w:rPr>
          <w:rFonts w:ascii="仿宋" w:eastAsia="仿宋" w:hAnsi="仿宋" w:cs="仿宋" w:hint="eastAsia"/>
          <w:color w:val="000000" w:themeColor="text1"/>
          <w:spacing w:val="8"/>
          <w:sz w:val="32"/>
          <w:szCs w:val="32"/>
        </w:rPr>
        <w:t>对于债权人申报的对债务人的特定财产享有担保权的债权的审查，包括但不限于：</w:t>
      </w:r>
    </w:p>
    <w:p w14:paraId="4891ECD3"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（一）债权人申报主体的资格、申报人与债务人之间的债权债务关系、债权担保是否合法、是否进行财产担保登记，应到相关登记部门调查核实。</w:t>
      </w:r>
    </w:p>
    <w:p w14:paraId="21373A1D"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（二）同一担保财产有多项担保权存在的受偿顺序。</w:t>
      </w:r>
    </w:p>
    <w:p w14:paraId="5EBD2DBF"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（三）在人民法院受理破产申请前一年内，债务人有无对没有财产担保的债务提供财产担保，若有，管理人应依法行使撤销权。</w:t>
      </w:r>
    </w:p>
    <w:p w14:paraId="1A90CF9B"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（四）担保财产的价值。</w:t>
      </w:r>
    </w:p>
    <w:p w14:paraId="40793145"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（五）担保权的受偿范围。</w:t>
      </w:r>
    </w:p>
    <w:p w14:paraId="0463F43E"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lastRenderedPageBreak/>
        <w:t>依法应当办理登记的担保物权，未办理登记的，作为普通债权审查认定。</w:t>
      </w:r>
    </w:p>
    <w:p w14:paraId="099DAFA4"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以动产设定抵押的，未登记或者登记不符合法律、法规规定的，不得对抗已经对动产取得相应权利的善意第三人。</w:t>
      </w:r>
    </w:p>
    <w:p w14:paraId="0167D424"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债权人对担保财产的优先受偿权，及于担保财产的保险赔偿金、损害赔偿金、征收款、拆迁补偿金，以及担保财产变价所得的价款。上述资金在破产案件受理前取得的，债权人主张优先受偿需符合独立存放且未被挪用的条件。</w:t>
      </w:r>
    </w:p>
    <w:p w14:paraId="074206FA"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第十九条【抵押权的审查】</w:t>
      </w:r>
      <w:r>
        <w:rPr>
          <w:rFonts w:ascii="仿宋" w:eastAsia="仿宋" w:hAnsi="仿宋" w:cs="仿宋" w:hint="eastAsia"/>
          <w:color w:val="000000" w:themeColor="text1"/>
          <w:spacing w:val="8"/>
          <w:sz w:val="32"/>
          <w:szCs w:val="32"/>
        </w:rPr>
        <w:t>以建筑物抵押的，该建筑物占用范围内的建设用地使用权一并抵押。以建设用地使用权抵押的，该土地上的建筑物一并抵押。</w:t>
      </w:r>
    </w:p>
    <w:p w14:paraId="0B126A82"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抵押人</w:t>
      </w:r>
      <w:proofErr w:type="gramStart"/>
      <w:r>
        <w:rPr>
          <w:rFonts w:ascii="仿宋" w:eastAsia="仿宋" w:hAnsi="仿宋" w:cs="仿宋" w:hint="eastAsia"/>
          <w:color w:val="000000" w:themeColor="text1"/>
          <w:spacing w:val="8"/>
          <w:sz w:val="32"/>
          <w:szCs w:val="32"/>
        </w:rPr>
        <w:t>未依据</w:t>
      </w:r>
      <w:proofErr w:type="gramEnd"/>
      <w:r>
        <w:rPr>
          <w:rFonts w:ascii="仿宋" w:eastAsia="仿宋" w:hAnsi="仿宋" w:cs="仿宋" w:hint="eastAsia"/>
          <w:color w:val="000000" w:themeColor="text1"/>
          <w:spacing w:val="8"/>
          <w:sz w:val="32"/>
          <w:szCs w:val="32"/>
        </w:rPr>
        <w:t>前款规定一并抵押的，未抵押的财产视为一并抵押。</w:t>
      </w:r>
    </w:p>
    <w:p w14:paraId="5C8CB95B"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以乡镇、村企业的厂房等建筑物抵押的，其占用范围内的建设用地使用权一并抵押。</w:t>
      </w:r>
    </w:p>
    <w:p w14:paraId="1DAFBC21"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建设用地使用权抵押后，该土地上新增的建筑物不属于抵押财产。该建设用地使用权实现抵押权时，应当将该土地上新增的建筑物与建设用地使用权一并处分。但是，新增建筑物所得的价款，抵押权人无权优先受偿。</w:t>
      </w:r>
    </w:p>
    <w:p w14:paraId="79D0F488"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第二十条【土地出让金债权】</w:t>
      </w:r>
      <w:r>
        <w:rPr>
          <w:rFonts w:ascii="仿宋" w:eastAsia="仿宋" w:hAnsi="仿宋" w:cs="仿宋" w:hint="eastAsia"/>
          <w:color w:val="000000" w:themeColor="text1"/>
          <w:spacing w:val="8"/>
          <w:sz w:val="32"/>
          <w:szCs w:val="32"/>
        </w:rPr>
        <w:t>土地出让金不属于法律、法规及司法解释规定的优先债权范畴亦不属于有特定财产担保债权，因此产生的债权应认定为普通债权。</w:t>
      </w:r>
    </w:p>
    <w:p w14:paraId="60420E99"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第二十一条【税收之债、划入职工个人账户以外的社会保险费用】</w:t>
      </w:r>
      <w:r>
        <w:rPr>
          <w:rFonts w:ascii="仿宋" w:eastAsia="仿宋" w:hAnsi="仿宋" w:cs="仿宋" w:hint="eastAsia"/>
          <w:color w:val="000000" w:themeColor="text1"/>
          <w:spacing w:val="8"/>
          <w:sz w:val="32"/>
          <w:szCs w:val="32"/>
        </w:rPr>
        <w:t>税务机关就债务人欠缴的税款（含教育费附加、地方教育附加）、滞纳金、罚款、因特别纳税调整产生的</w:t>
      </w:r>
      <w:r>
        <w:rPr>
          <w:rFonts w:ascii="仿宋" w:eastAsia="仿宋" w:hAnsi="仿宋" w:cs="仿宋" w:hint="eastAsia"/>
          <w:color w:val="000000" w:themeColor="text1"/>
          <w:spacing w:val="8"/>
          <w:sz w:val="32"/>
          <w:szCs w:val="32"/>
        </w:rPr>
        <w:lastRenderedPageBreak/>
        <w:t>利息、由税务机关征收的社会保险费及非税收入向管理人申报债权的，管理人应按照以下方法进行处理：</w:t>
      </w:r>
    </w:p>
    <w:p w14:paraId="6136F3E6"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（一）债务人欠缴税款以及欠缴税款对应的各类附加属于税款债权。</w:t>
      </w:r>
    </w:p>
    <w:p w14:paraId="1437A31D"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（二）债务人在人民法院裁定受理破产申请前所欠的滞纳金、罚款、因特别纳税调整产生的利息、由税务机关征收的非税收</w:t>
      </w:r>
      <w:proofErr w:type="gramStart"/>
      <w:r>
        <w:rPr>
          <w:rFonts w:ascii="仿宋" w:eastAsia="仿宋" w:hAnsi="仿宋" w:cs="仿宋" w:hint="eastAsia"/>
          <w:color w:val="000000" w:themeColor="text1"/>
          <w:spacing w:val="8"/>
          <w:sz w:val="32"/>
          <w:szCs w:val="32"/>
        </w:rPr>
        <w:t>入属于</w:t>
      </w:r>
      <w:proofErr w:type="gramEnd"/>
      <w:r>
        <w:rPr>
          <w:rFonts w:ascii="仿宋" w:eastAsia="仿宋" w:hAnsi="仿宋" w:cs="仿宋" w:hint="eastAsia"/>
          <w:color w:val="000000" w:themeColor="text1"/>
          <w:spacing w:val="8"/>
          <w:sz w:val="32"/>
          <w:szCs w:val="32"/>
        </w:rPr>
        <w:t>普通债权。对于破产案件受理后因欠缴税</w:t>
      </w:r>
      <w:proofErr w:type="gramStart"/>
      <w:r>
        <w:rPr>
          <w:rFonts w:ascii="仿宋" w:eastAsia="仿宋" w:hAnsi="仿宋" w:cs="仿宋" w:hint="eastAsia"/>
          <w:color w:val="000000" w:themeColor="text1"/>
          <w:spacing w:val="8"/>
          <w:sz w:val="32"/>
          <w:szCs w:val="32"/>
        </w:rPr>
        <w:t>款产生</w:t>
      </w:r>
      <w:proofErr w:type="gramEnd"/>
      <w:r>
        <w:rPr>
          <w:rFonts w:ascii="仿宋" w:eastAsia="仿宋" w:hAnsi="仿宋" w:cs="仿宋" w:hint="eastAsia"/>
          <w:color w:val="000000" w:themeColor="text1"/>
          <w:spacing w:val="8"/>
          <w:sz w:val="32"/>
          <w:szCs w:val="32"/>
        </w:rPr>
        <w:t>的滞纳金、罚款不列为破产债权，但管理人也应当对税务机关的申报进行登记。</w:t>
      </w:r>
    </w:p>
    <w:p w14:paraId="357939DF"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（三）由税务机关征收的社会保险费中除应当划入职工个人账户的基本养老保险、基本医疗保险费用以外的部分属于社会保险费用债权，与税款债权享有同样清偿顺序。</w:t>
      </w:r>
    </w:p>
    <w:p w14:paraId="06ADEB8B"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税务机关申报债权，管理人可以凭税务机关自己</w:t>
      </w:r>
      <w:proofErr w:type="gramStart"/>
      <w:r>
        <w:rPr>
          <w:rFonts w:ascii="仿宋" w:eastAsia="仿宋" w:hAnsi="仿宋" w:cs="仿宋" w:hint="eastAsia"/>
          <w:color w:val="000000" w:themeColor="text1"/>
          <w:spacing w:val="8"/>
          <w:sz w:val="32"/>
          <w:szCs w:val="32"/>
        </w:rPr>
        <w:t>作出</w:t>
      </w:r>
      <w:proofErr w:type="gramEnd"/>
      <w:r>
        <w:rPr>
          <w:rFonts w:ascii="仿宋" w:eastAsia="仿宋" w:hAnsi="仿宋" w:cs="仿宋" w:hint="eastAsia"/>
          <w:color w:val="000000" w:themeColor="text1"/>
          <w:spacing w:val="8"/>
          <w:sz w:val="32"/>
          <w:szCs w:val="32"/>
        </w:rPr>
        <w:t>的生效行政决定、上级机关做出的生效行政复议决定或者人民法院的生效行政裁判文书等依法确认。</w:t>
      </w:r>
    </w:p>
    <w:p w14:paraId="5931EA91"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第二十二条【优先权之债】</w:t>
      </w:r>
      <w:r>
        <w:rPr>
          <w:rFonts w:ascii="仿宋" w:eastAsia="仿宋" w:hAnsi="仿宋" w:cs="仿宋" w:hint="eastAsia"/>
          <w:color w:val="000000" w:themeColor="text1"/>
          <w:spacing w:val="8"/>
          <w:sz w:val="32"/>
          <w:szCs w:val="32"/>
        </w:rPr>
        <w:t>债权人申报建设工程价款优先受偿权优先权的，应当在法律规定的期限内申报或者提交在法律规定的期限内主张的证据。债权人未在法律规定的期限内申报或者不能提交在法律规定的期限内主张证据的，作为普通债权审查认定。</w:t>
      </w:r>
    </w:p>
    <w:p w14:paraId="6B00A9EB"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建设工程价款优先受偿权的审查认定，按照法律、司法解释等规定执行。消费者已支付商品房的全部或者大部分购买款项的，承包人就该商品房享有的工程价款优先受偿权不得对抗买受人。</w:t>
      </w:r>
    </w:p>
    <w:p w14:paraId="13839622"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建设工程价款优先受偿权的审查认定，应当参考相应建设工程的结算书。相应建设工程未结算的，可以暂缓认</w:t>
      </w:r>
      <w:r>
        <w:rPr>
          <w:rFonts w:ascii="仿宋" w:eastAsia="仿宋" w:hAnsi="仿宋" w:cs="仿宋" w:hint="eastAsia"/>
          <w:color w:val="000000" w:themeColor="text1"/>
          <w:spacing w:val="8"/>
          <w:sz w:val="32"/>
          <w:szCs w:val="32"/>
        </w:rPr>
        <w:lastRenderedPageBreak/>
        <w:t>定，待结算完成后认定；无法结算的，管理人根据债权人和债务人提供的证据材料审查认定，必要时可以选定有资质的机构进行工程造价专项鉴定。</w:t>
      </w:r>
      <w:r>
        <w:rPr>
          <w:rStyle w:val="a8"/>
          <w:rFonts w:ascii="Calibri" w:eastAsia="仿宋" w:hAnsi="Calibri" w:cs="Calibri"/>
          <w:color w:val="000000" w:themeColor="text1"/>
          <w:spacing w:val="8"/>
          <w:sz w:val="32"/>
          <w:szCs w:val="32"/>
        </w:rPr>
        <w:t> </w:t>
      </w:r>
    </w:p>
    <w:p w14:paraId="3A235046" w14:textId="77777777" w:rsidR="00072FE9" w:rsidRDefault="00072FE9" w:rsidP="00072FE9">
      <w:pPr>
        <w:spacing w:line="520" w:lineRule="exact"/>
        <w:ind w:firstLineChars="200" w:firstLine="674"/>
        <w:rPr>
          <w:rFonts w:ascii="仿宋" w:eastAsia="仿宋" w:hAnsi="仿宋" w:cs="仿宋"/>
          <w:color w:val="000000" w:themeColor="text1"/>
          <w:sz w:val="32"/>
          <w:szCs w:val="32"/>
        </w:rPr>
      </w:pPr>
      <w:r>
        <w:rPr>
          <w:rStyle w:val="a8"/>
          <w:rFonts w:ascii="仿宋" w:eastAsia="仿宋" w:hAnsi="仿宋" w:cs="仿宋" w:hint="eastAsia"/>
          <w:color w:val="000000" w:themeColor="text1"/>
          <w:spacing w:val="8"/>
          <w:sz w:val="32"/>
          <w:szCs w:val="32"/>
        </w:rPr>
        <w:t>第二十三条【职工债权】</w:t>
      </w:r>
      <w:r>
        <w:rPr>
          <w:rFonts w:ascii="仿宋" w:eastAsia="仿宋" w:hAnsi="仿宋" w:cs="仿宋" w:hint="eastAsia"/>
          <w:color w:val="000000" w:themeColor="text1"/>
          <w:sz w:val="32"/>
          <w:szCs w:val="32"/>
        </w:rPr>
        <w:t>1、管理人审核认定职工债权，应当调查债务人财务账册、审计报告、劳动合同、工资发放记录、社会保险和住房公积金缴纳记录、考勤记录、人事档案等证据材料。</w:t>
      </w:r>
    </w:p>
    <w:p w14:paraId="77CB5090" w14:textId="77777777" w:rsidR="00072FE9" w:rsidRDefault="00072FE9" w:rsidP="00072FE9">
      <w:pPr>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2、管理人可以向社会保险管理机构、住房公积金管理机构、劳动监察机构调取证据，必要时可以申请法院向上述机构调取证据。</w:t>
      </w:r>
    </w:p>
    <w:p w14:paraId="4DDE9AEC" w14:textId="77777777" w:rsidR="00072FE9" w:rsidRDefault="00072FE9" w:rsidP="00072FE9">
      <w:pPr>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管理人原则上应当在第一次债权人会议召开之前完成职工债权清单的编制并在债权申报地点、债务人住所地或者相关场地、网络平台进行公示，因特殊情况未完成职工债权清单编制并公示的，应当向债权人会议</w:t>
      </w:r>
      <w:proofErr w:type="gramStart"/>
      <w:r>
        <w:rPr>
          <w:rFonts w:ascii="仿宋" w:eastAsia="仿宋" w:hAnsi="仿宋" w:cs="仿宋" w:hint="eastAsia"/>
          <w:color w:val="000000" w:themeColor="text1"/>
          <w:sz w:val="32"/>
          <w:szCs w:val="32"/>
        </w:rPr>
        <w:t>作出</w:t>
      </w:r>
      <w:proofErr w:type="gramEnd"/>
      <w:r>
        <w:rPr>
          <w:rFonts w:ascii="仿宋" w:eastAsia="仿宋" w:hAnsi="仿宋" w:cs="仿宋" w:hint="eastAsia"/>
          <w:color w:val="000000" w:themeColor="text1"/>
          <w:sz w:val="32"/>
          <w:szCs w:val="32"/>
        </w:rPr>
        <w:t>书面说明。</w:t>
      </w:r>
    </w:p>
    <w:p w14:paraId="6FEA3E40" w14:textId="77777777" w:rsidR="00072FE9" w:rsidRDefault="00072FE9" w:rsidP="00072FE9">
      <w:pPr>
        <w:spacing w:line="52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管理人编制并公示的职工债权清单应当包括职工债权人的姓名、职工债权的类别、职工债权的数额。职工对职工债权清单记载有异议并要求更正的，管理人应当进行复核并将复核结论书面通知职工。管理人复核后不予更正的，职工应当在债权人会议核查结束后十五日内向人民法院提起债权确认的诉讼。逾期不起诉的，管理人可以按无异议处理。</w:t>
      </w:r>
    </w:p>
    <w:p w14:paraId="08631A62"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第二十四条【诉讼、仲裁未决之债】</w:t>
      </w:r>
      <w:r>
        <w:rPr>
          <w:rFonts w:ascii="仿宋" w:eastAsia="仿宋" w:hAnsi="仿宋" w:cs="仿宋" w:hint="eastAsia"/>
          <w:color w:val="000000" w:themeColor="text1"/>
          <w:spacing w:val="8"/>
          <w:sz w:val="32"/>
          <w:szCs w:val="32"/>
        </w:rPr>
        <w:t>对正在诉讼、仲裁尚未裁决的债权，管理人应积极应诉。债权人申报债权的，管理人对其进行申报登记并进行实质审查。债权人对审查结果无异议的，债权人可以撤回诉讼或仲裁申请。债权人对审查结果有异议的，待法院或仲裁机构</w:t>
      </w:r>
      <w:proofErr w:type="gramStart"/>
      <w:r>
        <w:rPr>
          <w:rFonts w:ascii="仿宋" w:eastAsia="仿宋" w:hAnsi="仿宋" w:cs="仿宋" w:hint="eastAsia"/>
          <w:color w:val="000000" w:themeColor="text1"/>
          <w:spacing w:val="8"/>
          <w:sz w:val="32"/>
          <w:szCs w:val="32"/>
        </w:rPr>
        <w:t>作出</w:t>
      </w:r>
      <w:proofErr w:type="gramEnd"/>
      <w:r>
        <w:rPr>
          <w:rFonts w:ascii="仿宋" w:eastAsia="仿宋" w:hAnsi="仿宋" w:cs="仿宋" w:hint="eastAsia"/>
          <w:color w:val="000000" w:themeColor="text1"/>
          <w:spacing w:val="8"/>
          <w:sz w:val="32"/>
          <w:szCs w:val="32"/>
        </w:rPr>
        <w:t>裁决后，管理人依据裁决结果认定其债权是否成立以及债权金额。</w:t>
      </w:r>
    </w:p>
    <w:p w14:paraId="5CF7E243"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lastRenderedPageBreak/>
        <w:t>对于上述债权，管理人可在债权人会议召开之前根据该债权人的具体情况向人民法院申请给予其临时表决权。</w:t>
      </w:r>
    </w:p>
    <w:p w14:paraId="2CB01B2D"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第二十五条【委托合同之债】</w:t>
      </w:r>
      <w:r>
        <w:rPr>
          <w:rFonts w:ascii="仿宋" w:eastAsia="仿宋" w:hAnsi="仿宋" w:cs="仿宋" w:hint="eastAsia"/>
          <w:color w:val="000000" w:themeColor="text1"/>
          <w:spacing w:val="8"/>
          <w:sz w:val="32"/>
          <w:szCs w:val="32"/>
        </w:rPr>
        <w:t>因债权人继续履行委托合同而产生的债权应同时符合以下条件：</w:t>
      </w:r>
    </w:p>
    <w:p w14:paraId="7B0F6A55"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（一）委托合同依法成立；</w:t>
      </w:r>
    </w:p>
    <w:p w14:paraId="196F28AE"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（二）受托人不知债务人破产之事实，或虽然知道该事实，但为了债务人的利益不得不继续处理委托事务；</w:t>
      </w:r>
    </w:p>
    <w:p w14:paraId="587860F8"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（三）受托人继续处理委托事务；</w:t>
      </w:r>
    </w:p>
    <w:p w14:paraId="1D2CE80E"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第二十六条【合同之债】</w:t>
      </w:r>
      <w:r>
        <w:rPr>
          <w:rFonts w:ascii="仿宋" w:eastAsia="仿宋" w:hAnsi="仿宋" w:cs="仿宋" w:hint="eastAsia"/>
          <w:color w:val="000000" w:themeColor="text1"/>
          <w:spacing w:val="8"/>
          <w:sz w:val="32"/>
          <w:szCs w:val="32"/>
        </w:rPr>
        <w:t>应审查证明债权发生的合同、协议是否成立、是否生效、有效及履行、违约情况等，如有需要应进行必要的调查、核实。</w:t>
      </w:r>
    </w:p>
    <w:p w14:paraId="5ECF3262"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第二十七条【连带债权】</w:t>
      </w:r>
      <w:r>
        <w:rPr>
          <w:rFonts w:ascii="仿宋" w:eastAsia="仿宋" w:hAnsi="仿宋" w:cs="仿宋" w:hint="eastAsia"/>
          <w:color w:val="000000" w:themeColor="text1"/>
          <w:spacing w:val="8"/>
          <w:sz w:val="32"/>
          <w:szCs w:val="32"/>
        </w:rPr>
        <w:t>申报的债权是连带债权的，应当说明：</w:t>
      </w:r>
    </w:p>
    <w:p w14:paraId="4DCCB683"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（一）连带债权人可以由其中一人代表全体连带债权人申报债权，也可以共同申报债权。连带债权人由其中一人代表全体连带债权人申报债权或者共同申报债权的，应当认定为一笔债权。</w:t>
      </w:r>
    </w:p>
    <w:p w14:paraId="4182A26C"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（二）债务人的连带债务人已经代替债务人清偿全部或者部分债务的，可以就其对债务人已清偿部分的求偿权向管理人申报债权。</w:t>
      </w:r>
    </w:p>
    <w:p w14:paraId="4B9DD31D"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（三）债务人的连带债务人尚未代替债务人清偿债务的，可以就其对债务人尚未清偿部分的将来求偿权向管理人申报债权。但债权人已经向管理人申报全部债权的除外。</w:t>
      </w:r>
    </w:p>
    <w:p w14:paraId="00B8DD20"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（四）债务人是连带债务人时，债权人可以向管理人申报债权。连带债务人数人被人民法院裁定受理破产申请的，债权人可以分别地向债务人和其他连带债务人的管理人</w:t>
      </w:r>
      <w:r>
        <w:rPr>
          <w:rFonts w:ascii="仿宋" w:eastAsia="仿宋" w:hAnsi="仿宋" w:cs="仿宋" w:hint="eastAsia"/>
          <w:color w:val="000000" w:themeColor="text1"/>
          <w:spacing w:val="8"/>
          <w:sz w:val="32"/>
          <w:szCs w:val="32"/>
        </w:rPr>
        <w:lastRenderedPageBreak/>
        <w:t>申报其全部债权。债权人未申报债权的，其他连带债务人可就将来可能承担的债务申报债权。</w:t>
      </w:r>
    </w:p>
    <w:p w14:paraId="4F07C314" w14:textId="77777777" w:rsidR="00072FE9" w:rsidRDefault="00072FE9" w:rsidP="00072FE9">
      <w:pPr>
        <w:pStyle w:val="a7"/>
        <w:shd w:val="clear" w:color="auto" w:fill="FFFFFF"/>
        <w:spacing w:before="0" w:beforeAutospacing="0" w:after="0" w:afterAutospacing="0" w:line="520" w:lineRule="exact"/>
        <w:ind w:firstLine="435"/>
        <w:jc w:val="both"/>
        <w:rPr>
          <w:rStyle w:val="a8"/>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第二十八条【购房债权】</w:t>
      </w:r>
    </w:p>
    <w:p w14:paraId="77D3C7C8" w14:textId="77777777" w:rsidR="00072FE9" w:rsidRDefault="00072FE9" w:rsidP="00072FE9">
      <w:pPr>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1、已办理预告登记的购房债权人，管理人应依法确认为有优先受偿权的购房债权。</w:t>
      </w:r>
    </w:p>
    <w:p w14:paraId="12A43015" w14:textId="77777777" w:rsidR="00072FE9" w:rsidRDefault="00072FE9" w:rsidP="00072FE9">
      <w:pPr>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2、未办理预告登记的购房债权</w:t>
      </w:r>
    </w:p>
    <w:p w14:paraId="3FD542D0" w14:textId="77777777" w:rsidR="00072FE9" w:rsidRDefault="00072FE9" w:rsidP="00072FE9">
      <w:pPr>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消费者购房人同债务人之间成立房屋买卖合同法律关系且支付全部或大部分购房款项，或者已按照合同约定支付部分价款且将剩余价款按要求交付的，其请求权优先于工程价款对建筑物的</w:t>
      </w:r>
      <w:proofErr w:type="gramStart"/>
      <w:r>
        <w:rPr>
          <w:rFonts w:ascii="仿宋" w:eastAsia="仿宋" w:hAnsi="仿宋" w:cs="仿宋" w:hint="eastAsia"/>
          <w:color w:val="000000" w:themeColor="text1"/>
          <w:sz w:val="32"/>
          <w:szCs w:val="32"/>
        </w:rPr>
        <w:t>的</w:t>
      </w:r>
      <w:proofErr w:type="gramEnd"/>
      <w:r>
        <w:rPr>
          <w:rFonts w:ascii="仿宋" w:eastAsia="仿宋" w:hAnsi="仿宋" w:cs="仿宋" w:hint="eastAsia"/>
          <w:color w:val="000000" w:themeColor="text1"/>
          <w:sz w:val="32"/>
          <w:szCs w:val="32"/>
        </w:rPr>
        <w:t>优先债权。</w:t>
      </w:r>
    </w:p>
    <w:p w14:paraId="7370ED57" w14:textId="77777777" w:rsidR="00072FE9" w:rsidRDefault="00072FE9" w:rsidP="00072FE9">
      <w:pPr>
        <w:pStyle w:val="a7"/>
        <w:shd w:val="clear" w:color="auto" w:fill="FFFFFF"/>
        <w:spacing w:before="0" w:beforeAutospacing="0" w:after="0" w:afterAutospacing="0" w:line="520" w:lineRule="exact"/>
        <w:ind w:firstLine="435"/>
        <w:jc w:val="both"/>
        <w:rPr>
          <w:rStyle w:val="a8"/>
          <w:rFonts w:ascii="仿宋" w:eastAsia="仿宋" w:hAnsi="仿宋" w:cs="仿宋"/>
          <w:b w:val="0"/>
          <w:bCs w:val="0"/>
          <w:color w:val="000000" w:themeColor="text1"/>
          <w:spacing w:val="8"/>
          <w:sz w:val="32"/>
          <w:szCs w:val="32"/>
        </w:rPr>
      </w:pPr>
      <w:r>
        <w:rPr>
          <w:rStyle w:val="a8"/>
          <w:rFonts w:ascii="仿宋" w:eastAsia="仿宋" w:hAnsi="仿宋" w:cs="仿宋" w:hint="eastAsia"/>
          <w:b w:val="0"/>
          <w:bCs w:val="0"/>
          <w:color w:val="000000" w:themeColor="text1"/>
          <w:spacing w:val="8"/>
          <w:sz w:val="32"/>
          <w:szCs w:val="32"/>
        </w:rPr>
        <w:t>购房人与债务人之间不成立房屋买卖合同法律关系但签署相关预约协议，并实际向债务人支付购房订金、认购金、</w:t>
      </w:r>
      <w:proofErr w:type="gramStart"/>
      <w:r>
        <w:rPr>
          <w:rStyle w:val="a8"/>
          <w:rFonts w:ascii="仿宋" w:eastAsia="仿宋" w:hAnsi="仿宋" w:cs="仿宋" w:hint="eastAsia"/>
          <w:b w:val="0"/>
          <w:bCs w:val="0"/>
          <w:color w:val="000000" w:themeColor="text1"/>
          <w:spacing w:val="8"/>
          <w:sz w:val="32"/>
          <w:szCs w:val="32"/>
        </w:rPr>
        <w:t>意向金</w:t>
      </w:r>
      <w:proofErr w:type="gramEnd"/>
      <w:r>
        <w:rPr>
          <w:rStyle w:val="a8"/>
          <w:rFonts w:ascii="仿宋" w:eastAsia="仿宋" w:hAnsi="仿宋" w:cs="仿宋" w:hint="eastAsia"/>
          <w:b w:val="0"/>
          <w:bCs w:val="0"/>
          <w:color w:val="000000" w:themeColor="text1"/>
          <w:spacing w:val="8"/>
          <w:sz w:val="32"/>
          <w:szCs w:val="32"/>
        </w:rPr>
        <w:t xml:space="preserve">的，管理人应解除双方签订的预约协议，购房人已付款项应认定为普通债权，违约金按合同约定及法律规定进行审核确认。 </w:t>
      </w:r>
    </w:p>
    <w:p w14:paraId="4E4E2342" w14:textId="77777777" w:rsidR="00072FE9" w:rsidRDefault="00072FE9" w:rsidP="00072FE9">
      <w:pPr>
        <w:pStyle w:val="a7"/>
        <w:shd w:val="clear" w:color="auto" w:fill="FFFFFF"/>
        <w:spacing w:before="0" w:beforeAutospacing="0" w:after="0" w:afterAutospacing="0" w:line="520" w:lineRule="exact"/>
        <w:ind w:firstLine="435"/>
        <w:jc w:val="both"/>
        <w:rPr>
          <w:rStyle w:val="a8"/>
          <w:rFonts w:ascii="仿宋" w:eastAsia="仿宋" w:hAnsi="仿宋" w:cs="仿宋"/>
          <w:b w:val="0"/>
          <w:bCs w:val="0"/>
          <w:color w:val="000000" w:themeColor="text1"/>
          <w:spacing w:val="8"/>
          <w:sz w:val="32"/>
          <w:szCs w:val="32"/>
        </w:rPr>
      </w:pPr>
      <w:r>
        <w:rPr>
          <w:rStyle w:val="a8"/>
          <w:rFonts w:ascii="仿宋" w:eastAsia="仿宋" w:hAnsi="仿宋" w:cs="仿宋" w:hint="eastAsia"/>
          <w:color w:val="000000" w:themeColor="text1"/>
          <w:spacing w:val="8"/>
          <w:sz w:val="32"/>
          <w:szCs w:val="32"/>
        </w:rPr>
        <w:t>第二十九条【以物抵债债权】</w:t>
      </w:r>
      <w:r>
        <w:rPr>
          <w:rStyle w:val="a8"/>
          <w:rFonts w:ascii="仿宋" w:eastAsia="仿宋" w:hAnsi="仿宋" w:cs="仿宋" w:hint="eastAsia"/>
          <w:b w:val="0"/>
          <w:bCs w:val="0"/>
          <w:color w:val="000000" w:themeColor="text1"/>
          <w:spacing w:val="8"/>
          <w:sz w:val="32"/>
          <w:szCs w:val="32"/>
        </w:rPr>
        <w:t>管理人根据债权人和债务人以物抵债协议达成时间分别认定：</w:t>
      </w:r>
    </w:p>
    <w:p w14:paraId="26AB702C" w14:textId="77777777" w:rsidR="00072FE9" w:rsidRDefault="00072FE9" w:rsidP="00072FE9">
      <w:pPr>
        <w:pStyle w:val="a7"/>
        <w:shd w:val="clear" w:color="auto" w:fill="FFFFFF"/>
        <w:spacing w:before="0" w:beforeAutospacing="0" w:after="0" w:afterAutospacing="0" w:line="520" w:lineRule="exact"/>
        <w:ind w:firstLine="435"/>
        <w:jc w:val="both"/>
        <w:rPr>
          <w:rStyle w:val="a8"/>
          <w:rFonts w:ascii="仿宋" w:eastAsia="仿宋" w:hAnsi="仿宋" w:cs="仿宋"/>
          <w:b w:val="0"/>
          <w:bCs w:val="0"/>
          <w:color w:val="000000" w:themeColor="text1"/>
          <w:spacing w:val="8"/>
          <w:sz w:val="32"/>
          <w:szCs w:val="32"/>
        </w:rPr>
      </w:pPr>
      <w:r>
        <w:rPr>
          <w:rStyle w:val="a8"/>
          <w:rFonts w:ascii="仿宋" w:eastAsia="仿宋" w:hAnsi="仿宋" w:cs="仿宋" w:hint="eastAsia"/>
          <w:b w:val="0"/>
          <w:bCs w:val="0"/>
          <w:color w:val="000000" w:themeColor="text1"/>
          <w:spacing w:val="8"/>
          <w:sz w:val="32"/>
          <w:szCs w:val="32"/>
        </w:rPr>
        <w:t>1、在债务履行期限届满后达成以物抵债协议的，抵债物所有权未转移且尚未交付债权人，管理人应着重审查以物抵债协议是否存在恶意损害第三人合法权益等情形，经审查不存在以上情况，且无其他无效事由的，认定以物抵债协议有效。</w:t>
      </w:r>
    </w:p>
    <w:p w14:paraId="19FB0F9E" w14:textId="77777777" w:rsidR="00072FE9" w:rsidRDefault="00072FE9" w:rsidP="00072FE9">
      <w:pPr>
        <w:pStyle w:val="a7"/>
        <w:shd w:val="clear" w:color="auto" w:fill="FFFFFF"/>
        <w:spacing w:before="0" w:beforeAutospacing="0" w:after="0" w:afterAutospacing="0" w:line="520" w:lineRule="exact"/>
        <w:ind w:firstLine="435"/>
        <w:jc w:val="both"/>
        <w:rPr>
          <w:rStyle w:val="a8"/>
          <w:rFonts w:ascii="仿宋" w:eastAsia="仿宋" w:hAnsi="仿宋" w:cs="仿宋"/>
          <w:b w:val="0"/>
          <w:bCs w:val="0"/>
          <w:color w:val="000000" w:themeColor="text1"/>
          <w:spacing w:val="8"/>
          <w:sz w:val="32"/>
          <w:szCs w:val="32"/>
        </w:rPr>
      </w:pPr>
      <w:r>
        <w:rPr>
          <w:rStyle w:val="a8"/>
          <w:rFonts w:ascii="仿宋" w:eastAsia="仿宋" w:hAnsi="仿宋" w:cs="仿宋" w:hint="eastAsia"/>
          <w:b w:val="0"/>
          <w:bCs w:val="0"/>
          <w:color w:val="000000" w:themeColor="text1"/>
          <w:spacing w:val="8"/>
          <w:sz w:val="32"/>
          <w:szCs w:val="32"/>
        </w:rPr>
        <w:t>2、债权人与债务人在债务履行期届满前达成以物抵债协议，抵债</w:t>
      </w:r>
      <w:proofErr w:type="gramStart"/>
      <w:r>
        <w:rPr>
          <w:rStyle w:val="a8"/>
          <w:rFonts w:ascii="仿宋" w:eastAsia="仿宋" w:hAnsi="仿宋" w:cs="仿宋" w:hint="eastAsia"/>
          <w:b w:val="0"/>
          <w:bCs w:val="0"/>
          <w:color w:val="000000" w:themeColor="text1"/>
          <w:spacing w:val="8"/>
          <w:sz w:val="32"/>
          <w:szCs w:val="32"/>
        </w:rPr>
        <w:t>物尚未</w:t>
      </w:r>
      <w:proofErr w:type="gramEnd"/>
      <w:r>
        <w:rPr>
          <w:rStyle w:val="a8"/>
          <w:rFonts w:ascii="仿宋" w:eastAsia="仿宋" w:hAnsi="仿宋" w:cs="仿宋" w:hint="eastAsia"/>
          <w:b w:val="0"/>
          <w:bCs w:val="0"/>
          <w:color w:val="000000" w:themeColor="text1"/>
          <w:spacing w:val="8"/>
          <w:sz w:val="32"/>
          <w:szCs w:val="32"/>
        </w:rPr>
        <w:t>交付债权人，即便抵债物已登记在债权人名下亦不予认定以物抵债协议效力，应按原债权债务关系认定债权。</w:t>
      </w:r>
    </w:p>
    <w:p w14:paraId="4F92ECC0" w14:textId="77777777" w:rsidR="00072FE9" w:rsidRDefault="00072FE9" w:rsidP="00072FE9">
      <w:pPr>
        <w:pStyle w:val="a7"/>
        <w:shd w:val="clear" w:color="auto" w:fill="FFFFFF"/>
        <w:spacing w:before="0" w:beforeAutospacing="0" w:after="0" w:afterAutospacing="0" w:line="520" w:lineRule="exact"/>
        <w:ind w:firstLine="435"/>
        <w:jc w:val="both"/>
        <w:rPr>
          <w:rStyle w:val="a8"/>
          <w:rFonts w:ascii="仿宋" w:eastAsia="仿宋" w:hAnsi="仿宋" w:cs="仿宋"/>
          <w:b w:val="0"/>
          <w:bCs w:val="0"/>
          <w:color w:val="000000" w:themeColor="text1"/>
          <w:spacing w:val="8"/>
          <w:sz w:val="32"/>
          <w:szCs w:val="32"/>
        </w:rPr>
      </w:pPr>
    </w:p>
    <w:p w14:paraId="52915F1C"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第五节</w:t>
      </w:r>
      <w:r>
        <w:rPr>
          <w:rStyle w:val="a8"/>
          <w:rFonts w:ascii="Calibri" w:eastAsia="仿宋" w:hAnsi="Calibri" w:cs="Calibri"/>
          <w:color w:val="000000" w:themeColor="text1"/>
          <w:spacing w:val="8"/>
          <w:sz w:val="32"/>
          <w:szCs w:val="32"/>
        </w:rPr>
        <w:t>  </w:t>
      </w:r>
      <w:r>
        <w:rPr>
          <w:rStyle w:val="a8"/>
          <w:rFonts w:ascii="仿宋" w:eastAsia="仿宋" w:hAnsi="仿宋" w:cs="仿宋" w:hint="eastAsia"/>
          <w:color w:val="000000" w:themeColor="text1"/>
          <w:spacing w:val="8"/>
          <w:sz w:val="32"/>
          <w:szCs w:val="32"/>
        </w:rPr>
        <w:t>债权利息审查</w:t>
      </w:r>
    </w:p>
    <w:p w14:paraId="2DFA9B73"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第三十条【债权利息的定义】</w:t>
      </w:r>
      <w:r>
        <w:rPr>
          <w:rFonts w:ascii="仿宋" w:eastAsia="仿宋" w:hAnsi="仿宋" w:cs="仿宋" w:hint="eastAsia"/>
          <w:color w:val="000000" w:themeColor="text1"/>
          <w:spacing w:val="8"/>
          <w:sz w:val="32"/>
          <w:szCs w:val="32"/>
        </w:rPr>
        <w:t>本规则所称的债权利息，包括依照法律法规、生效法律文书、合同以及根据交易习惯应当计算的利息、逾期利息、罚息、复利、逾期还款或付款的违约金或滞纳金、资金占用费等。</w:t>
      </w:r>
    </w:p>
    <w:p w14:paraId="022A624C"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借贷合同的债权人向债务人收取的咨询费、顾问费、管理费、手续费、综合费等费用按利息处理。</w:t>
      </w:r>
    </w:p>
    <w:p w14:paraId="2F09B715"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第三十一条【利息止付】</w:t>
      </w:r>
      <w:r>
        <w:rPr>
          <w:rFonts w:ascii="仿宋" w:eastAsia="仿宋" w:hAnsi="仿宋" w:cs="仿宋" w:hint="eastAsia"/>
          <w:color w:val="000000" w:themeColor="text1"/>
          <w:spacing w:val="8"/>
          <w:sz w:val="32"/>
          <w:szCs w:val="32"/>
        </w:rPr>
        <w:t>未到期的债权在破产受理之日视为到期。申报债权包含利息的，利息计算至法院裁定受理破产之日；如债权人与债务人有减免利息约定的，从其约定。</w:t>
      </w:r>
    </w:p>
    <w:p w14:paraId="22C16053"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第三十二条【利率】</w:t>
      </w:r>
      <w:r>
        <w:rPr>
          <w:rFonts w:ascii="仿宋" w:eastAsia="仿宋" w:hAnsi="仿宋" w:cs="仿宋" w:hint="eastAsia"/>
          <w:color w:val="000000" w:themeColor="text1"/>
          <w:spacing w:val="8"/>
          <w:sz w:val="32"/>
          <w:szCs w:val="32"/>
        </w:rPr>
        <w:t>申报人计算利息应以合同约定或生效法律文书确认的利率计算，除非该利率约定违反法律规定；利率约定不明的，2019年8月19日之前的利息按照同期中国人民银行公布的贷款基准利率计算；2019年8月20日之后（含2019年8月20日）按照同期全国银行间同业拆借中心公布的贷款市场报价利率（LPR）计算，一般以至破产受理日1年期LPR月平均值计算。</w:t>
      </w:r>
    </w:p>
    <w:p w14:paraId="6F990367"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合同约定的利率超过合同成立时一年</w:t>
      </w:r>
      <w:proofErr w:type="gramStart"/>
      <w:r>
        <w:rPr>
          <w:rFonts w:ascii="仿宋" w:eastAsia="仿宋" w:hAnsi="仿宋" w:cs="仿宋" w:hint="eastAsia"/>
          <w:color w:val="000000" w:themeColor="text1"/>
          <w:spacing w:val="8"/>
          <w:sz w:val="32"/>
          <w:szCs w:val="32"/>
        </w:rPr>
        <w:t>期贷款市场</w:t>
      </w:r>
      <w:proofErr w:type="gramEnd"/>
      <w:r>
        <w:rPr>
          <w:rFonts w:ascii="仿宋" w:eastAsia="仿宋" w:hAnsi="仿宋" w:cs="仿宋" w:hint="eastAsia"/>
          <w:color w:val="000000" w:themeColor="text1"/>
          <w:spacing w:val="8"/>
          <w:sz w:val="32"/>
          <w:szCs w:val="32"/>
        </w:rPr>
        <w:t>报价利率四倍的，超过部分的利息不予认定。</w:t>
      </w:r>
    </w:p>
    <w:p w14:paraId="5C24698C"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合同约定逾期利息、罚息、复利、违约金、滞纳金，或资金占用费、管理费、手续费、咨询费、综合费等费用的，从其约定，但总额折算不得超过合同成立时一年</w:t>
      </w:r>
      <w:proofErr w:type="gramStart"/>
      <w:r>
        <w:rPr>
          <w:rFonts w:ascii="仿宋" w:eastAsia="仿宋" w:hAnsi="仿宋" w:cs="仿宋" w:hint="eastAsia"/>
          <w:color w:val="000000" w:themeColor="text1"/>
          <w:spacing w:val="8"/>
          <w:sz w:val="32"/>
          <w:szCs w:val="32"/>
        </w:rPr>
        <w:t>期贷款市场</w:t>
      </w:r>
      <w:proofErr w:type="gramEnd"/>
      <w:r>
        <w:rPr>
          <w:rFonts w:ascii="仿宋" w:eastAsia="仿宋" w:hAnsi="仿宋" w:cs="仿宋" w:hint="eastAsia"/>
          <w:color w:val="000000" w:themeColor="text1"/>
          <w:spacing w:val="8"/>
          <w:sz w:val="32"/>
          <w:szCs w:val="32"/>
        </w:rPr>
        <w:t>报价利率四倍。</w:t>
      </w:r>
    </w:p>
    <w:p w14:paraId="7BF205AF"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lastRenderedPageBreak/>
        <w:t>第三十三条【未约定利息】</w:t>
      </w:r>
      <w:r>
        <w:rPr>
          <w:rFonts w:ascii="仿宋" w:eastAsia="仿宋" w:hAnsi="仿宋" w:cs="仿宋" w:hint="eastAsia"/>
          <w:color w:val="000000" w:themeColor="text1"/>
          <w:spacing w:val="8"/>
          <w:sz w:val="32"/>
          <w:szCs w:val="32"/>
        </w:rPr>
        <w:t>债权申报依据的合同未约定利息或者生效法律文书未确定给付利息的，一般不予认定债权利息。但民间借贷合同中，除自然人之间的借贷外，借贷双方对借贷利息约定不明，出借人主张利息的，应当结合民间借贷合同的内容，并根据当地或者当事人的交易方式、交易习惯、市场报价利率等因素确定利息。</w:t>
      </w:r>
    </w:p>
    <w:p w14:paraId="0ED10503"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债权人主张履行期限届满后或者法律规定催告后的利息的，参照第三十二条第一款的利率确定利息。</w:t>
      </w:r>
    </w:p>
    <w:p w14:paraId="03B9F014"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第三十四条【担保利息】</w:t>
      </w:r>
      <w:r>
        <w:rPr>
          <w:rFonts w:ascii="仿宋" w:eastAsia="仿宋" w:hAnsi="仿宋" w:cs="仿宋" w:hint="eastAsia"/>
          <w:color w:val="000000" w:themeColor="text1"/>
          <w:spacing w:val="8"/>
          <w:sz w:val="32"/>
          <w:szCs w:val="32"/>
        </w:rPr>
        <w:t>债务人是担保人的，承担担保责任中的利息自破产申请受理之日起停止计算。</w:t>
      </w:r>
      <w:r>
        <w:rPr>
          <w:rStyle w:val="a8"/>
          <w:rFonts w:ascii="Calibri" w:eastAsia="仿宋" w:hAnsi="Calibri" w:cs="Calibri"/>
          <w:color w:val="000000" w:themeColor="text1"/>
          <w:spacing w:val="8"/>
          <w:sz w:val="32"/>
          <w:szCs w:val="32"/>
        </w:rPr>
        <w:t> </w:t>
      </w:r>
    </w:p>
    <w:p w14:paraId="0F3BD449"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第三十五条【迟延履行金】</w:t>
      </w:r>
      <w:r>
        <w:rPr>
          <w:rFonts w:ascii="仿宋" w:eastAsia="仿宋" w:hAnsi="仿宋" w:cs="仿宋" w:hint="eastAsia"/>
          <w:color w:val="000000" w:themeColor="text1"/>
          <w:spacing w:val="8"/>
          <w:sz w:val="32"/>
          <w:szCs w:val="32"/>
        </w:rPr>
        <w:t>债务人未履行生效法律文书应当加倍支付的迟延利息不予认定。</w:t>
      </w:r>
    </w:p>
    <w:p w14:paraId="054B9DA9"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第三十六条【不计息债权】</w:t>
      </w:r>
      <w:r>
        <w:rPr>
          <w:rFonts w:ascii="仿宋" w:eastAsia="仿宋" w:hAnsi="仿宋" w:cs="仿宋" w:hint="eastAsia"/>
          <w:color w:val="000000" w:themeColor="text1"/>
          <w:spacing w:val="8"/>
          <w:sz w:val="32"/>
          <w:szCs w:val="32"/>
        </w:rPr>
        <w:t>诉讼、仲裁裁决确定的诉讼费、仲裁费、保全费、律师代理费等不应该计入债权本金计息。</w:t>
      </w:r>
    </w:p>
    <w:p w14:paraId="40EC0528" w14:textId="77777777" w:rsidR="00072FE9" w:rsidRDefault="00072FE9" w:rsidP="00072FE9">
      <w:pPr>
        <w:pStyle w:val="a7"/>
        <w:shd w:val="clear" w:color="auto" w:fill="FFFFFF"/>
        <w:spacing w:before="0" w:beforeAutospacing="0" w:after="0" w:afterAutospacing="0" w:line="520" w:lineRule="exact"/>
        <w:ind w:firstLine="435"/>
        <w:jc w:val="both"/>
        <w:rPr>
          <w:rStyle w:val="a8"/>
          <w:rFonts w:ascii="仿宋" w:eastAsia="仿宋" w:hAnsi="仿宋" w:cs="仿宋"/>
          <w:color w:val="000000" w:themeColor="text1"/>
          <w:spacing w:val="8"/>
          <w:sz w:val="32"/>
          <w:szCs w:val="32"/>
        </w:rPr>
      </w:pPr>
    </w:p>
    <w:p w14:paraId="398EA22E"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第六节</w:t>
      </w:r>
      <w:r>
        <w:rPr>
          <w:rStyle w:val="a8"/>
          <w:rFonts w:ascii="Calibri" w:eastAsia="仿宋" w:hAnsi="Calibri" w:cs="Calibri"/>
          <w:color w:val="000000" w:themeColor="text1"/>
          <w:spacing w:val="8"/>
          <w:sz w:val="32"/>
          <w:szCs w:val="32"/>
        </w:rPr>
        <w:t>  </w:t>
      </w:r>
      <w:r>
        <w:rPr>
          <w:rStyle w:val="a8"/>
          <w:rFonts w:ascii="仿宋" w:eastAsia="仿宋" w:hAnsi="仿宋" w:cs="仿宋" w:hint="eastAsia"/>
          <w:color w:val="000000" w:themeColor="text1"/>
          <w:spacing w:val="8"/>
          <w:sz w:val="32"/>
          <w:szCs w:val="32"/>
        </w:rPr>
        <w:t>债权审查阶段及形成文件</w:t>
      </w:r>
    </w:p>
    <w:p w14:paraId="2FF07F9A"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第三十七条【债权审查三阶段】</w:t>
      </w:r>
      <w:r>
        <w:rPr>
          <w:rFonts w:ascii="仿宋" w:eastAsia="仿宋" w:hAnsi="仿宋" w:cs="仿宋" w:hint="eastAsia"/>
          <w:color w:val="000000" w:themeColor="text1"/>
          <w:spacing w:val="8"/>
          <w:sz w:val="32"/>
          <w:szCs w:val="32"/>
        </w:rPr>
        <w:t>管理人在接收债权申报后，一般可以就债权审查安排三个阶段，债权初步审查阶段、债权审查复核阶段、债权审查确认阶段。</w:t>
      </w:r>
    </w:p>
    <w:p w14:paraId="385BF5F6"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第三十八条【初步审查】</w:t>
      </w:r>
      <w:r>
        <w:rPr>
          <w:rFonts w:ascii="仿宋" w:eastAsia="仿宋" w:hAnsi="仿宋" w:cs="仿宋" w:hint="eastAsia"/>
          <w:color w:val="000000" w:themeColor="text1"/>
          <w:spacing w:val="8"/>
          <w:sz w:val="32"/>
          <w:szCs w:val="32"/>
        </w:rPr>
        <w:t>初步审查阶段：管理人根据不同债权的审查标准，依法对已申报的债权进行初审，并逐一制作《债权审查表》和《债权申报初审函》，并将《债权申报初审函》书面通知债权人。《债权审查表》应当记载债权人名称（姓名）、申报债权数额及申报证据、有无财产担保、债权发生概述、债务人确认意见、管理人审查</w:t>
      </w:r>
      <w:r>
        <w:rPr>
          <w:rFonts w:ascii="仿宋" w:eastAsia="仿宋" w:hAnsi="仿宋" w:cs="仿宋" w:hint="eastAsia"/>
          <w:color w:val="000000" w:themeColor="text1"/>
          <w:spacing w:val="8"/>
          <w:sz w:val="32"/>
          <w:szCs w:val="32"/>
        </w:rPr>
        <w:lastRenderedPageBreak/>
        <w:t>意见、审查差异说明、及不予认定的事实和理由等其他需要说明的事项，作为管理人债权审查的工作底稿，便于日后查阅。《债权申报初审函》应当载明债权人名称（姓名）、申报金额、管理人审查意见、管理人审查确认金额、债权人确认意见等。</w:t>
      </w:r>
    </w:p>
    <w:p w14:paraId="3AF7AEFE"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对于个别无法定性或者债权构成复杂的、债权金额较难认定的债权，管理人应当联络债权人进一步补充申报资料。同时，管理人应当告知债权人，如对《债权申报初审函》存有异议，应当在规定时间内向管理人提出书面异议并附上相应证据材料。</w:t>
      </w:r>
    </w:p>
    <w:p w14:paraId="4B010AD5"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第三十九条【审查复核】</w:t>
      </w:r>
      <w:r>
        <w:rPr>
          <w:rFonts w:ascii="仿宋" w:eastAsia="仿宋" w:hAnsi="仿宋" w:cs="仿宋" w:hint="eastAsia"/>
          <w:color w:val="000000" w:themeColor="text1"/>
          <w:spacing w:val="8"/>
          <w:sz w:val="32"/>
          <w:szCs w:val="32"/>
        </w:rPr>
        <w:t>审查复核阶段：若债权人对《债权申报初审函》存有异议，管理人应当自收到书面异议及相应证据材料之后，及时进行复核，并以《债权审查复核通知书》形式予以书面回复。回复内容应根据复核情况</w:t>
      </w:r>
      <w:proofErr w:type="gramStart"/>
      <w:r>
        <w:rPr>
          <w:rFonts w:ascii="仿宋" w:eastAsia="仿宋" w:hAnsi="仿宋" w:cs="仿宋" w:hint="eastAsia"/>
          <w:color w:val="000000" w:themeColor="text1"/>
          <w:spacing w:val="8"/>
          <w:sz w:val="32"/>
          <w:szCs w:val="32"/>
        </w:rPr>
        <w:t>作出</w:t>
      </w:r>
      <w:proofErr w:type="gramEnd"/>
      <w:r>
        <w:rPr>
          <w:rFonts w:ascii="仿宋" w:eastAsia="仿宋" w:hAnsi="仿宋" w:cs="仿宋" w:hint="eastAsia"/>
          <w:color w:val="000000" w:themeColor="text1"/>
          <w:spacing w:val="8"/>
          <w:sz w:val="32"/>
          <w:szCs w:val="32"/>
        </w:rPr>
        <w:t>维持原审查结论或作相应调整的复审结论。通知书</w:t>
      </w:r>
      <w:proofErr w:type="gramStart"/>
      <w:r>
        <w:rPr>
          <w:rFonts w:ascii="仿宋" w:eastAsia="仿宋" w:hAnsi="仿宋" w:cs="仿宋" w:hint="eastAsia"/>
          <w:color w:val="000000" w:themeColor="text1"/>
          <w:spacing w:val="8"/>
          <w:sz w:val="32"/>
          <w:szCs w:val="32"/>
        </w:rPr>
        <w:t>应理由</w:t>
      </w:r>
      <w:proofErr w:type="gramEnd"/>
      <w:r>
        <w:rPr>
          <w:rFonts w:ascii="仿宋" w:eastAsia="仿宋" w:hAnsi="仿宋" w:cs="仿宋" w:hint="eastAsia"/>
          <w:color w:val="000000" w:themeColor="text1"/>
          <w:spacing w:val="8"/>
          <w:sz w:val="32"/>
          <w:szCs w:val="32"/>
        </w:rPr>
        <w:t>充分，法律依据明确，并告知债权人如仍有异议的，可依法向人民法院提起诉讼。</w:t>
      </w:r>
    </w:p>
    <w:p w14:paraId="02096EF1"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第四十条【审查确认】</w:t>
      </w:r>
      <w:r>
        <w:rPr>
          <w:rFonts w:ascii="仿宋" w:eastAsia="仿宋" w:hAnsi="仿宋" w:cs="仿宋" w:hint="eastAsia"/>
          <w:color w:val="000000" w:themeColor="text1"/>
          <w:spacing w:val="8"/>
          <w:sz w:val="32"/>
          <w:szCs w:val="32"/>
        </w:rPr>
        <w:t>审查确认阶段：管理人根据《债权审查表》、《债权审查复核通知书》的记载，及债权人的确认或反馈意见进行复查，编制并最终形成《债权表》，作为管理人债权审查的书面文件，提交债权人会议核查债权。《债权表》应当记载债权人名称（姓名）、申报债权金额、审查债权金额、有无财产担保、备注说明等事项。《债权表》是管理人经债权审查确认后对《债权审查表》的细化，应尽可能简明扼要地反映管理人债权审查结果，供债权人会议核查。</w:t>
      </w:r>
    </w:p>
    <w:p w14:paraId="3EF1B3B2"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lastRenderedPageBreak/>
        <w:t>第四十一条【债权确认程序】</w:t>
      </w:r>
      <w:r>
        <w:rPr>
          <w:rFonts w:ascii="仿宋" w:eastAsia="仿宋" w:hAnsi="仿宋" w:cs="仿宋" w:hint="eastAsia"/>
          <w:color w:val="000000" w:themeColor="text1"/>
          <w:spacing w:val="8"/>
          <w:sz w:val="32"/>
          <w:szCs w:val="32"/>
        </w:rPr>
        <w:t>根据《企业破产法》的规定，管理人编制债权表提交债权人会议核查，若债权人、债务人无异议的，管理人将无异议债权表提交人民法院裁定确认。</w:t>
      </w:r>
    </w:p>
    <w:p w14:paraId="59878A95"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第四十二条【债权异议】</w:t>
      </w:r>
      <w:r>
        <w:rPr>
          <w:rFonts w:ascii="仿宋" w:eastAsia="仿宋" w:hAnsi="仿宋" w:cs="仿宋" w:hint="eastAsia"/>
          <w:color w:val="000000" w:themeColor="text1"/>
          <w:spacing w:val="8"/>
          <w:sz w:val="32"/>
          <w:szCs w:val="32"/>
        </w:rPr>
        <w:t>管理人经审查对申报债权不予确认的，应当及时书面告知债权人。</w:t>
      </w:r>
    </w:p>
    <w:p w14:paraId="3FDC5B95"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债权人有权对自己债权、他人债权提出异议，债务人有权对债权表记载的债权提出异议。</w:t>
      </w:r>
    </w:p>
    <w:p w14:paraId="03B23AB9"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管理人应告知债权人、债务人按照以下方式行使异议权：</w:t>
      </w:r>
    </w:p>
    <w:p w14:paraId="67838BA5"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（一）在管理人确定的合理期限内向管理人书面提出异议，由管理人予以复核，异议成立的，予以采纳；</w:t>
      </w:r>
    </w:p>
    <w:p w14:paraId="3C911AE0"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（二）异议不成立的，最迟应在债权人会议核查结束后十五日内向人民法院提起债权确认的诉讼。当事人之间在破产申请受理前订立有仲裁条款或仲裁协议的，应当向选定的仲裁机构申请确认债权债务关系。</w:t>
      </w:r>
    </w:p>
    <w:p w14:paraId="25C0C65D"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前述不予确认债权通知书、复核通知书及债权表应当明确异议人提起债权确认之诉的权利及期限。异议人未在上述时限内提起债权确认之诉的，应当视为其同意管理人审查的结论，按照管理人审查的结果行使权利。</w:t>
      </w:r>
    </w:p>
    <w:p w14:paraId="6F86A018"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Style w:val="a8"/>
          <w:rFonts w:ascii="仿宋" w:eastAsia="仿宋" w:hAnsi="仿宋" w:cs="仿宋" w:hint="eastAsia"/>
          <w:color w:val="000000" w:themeColor="text1"/>
          <w:spacing w:val="8"/>
          <w:sz w:val="32"/>
          <w:szCs w:val="32"/>
        </w:rPr>
        <w:t>第四十三条【债权审查的法律后果】</w:t>
      </w:r>
      <w:r>
        <w:rPr>
          <w:rFonts w:ascii="仿宋" w:eastAsia="仿宋" w:hAnsi="仿宋" w:cs="仿宋" w:hint="eastAsia"/>
          <w:color w:val="000000" w:themeColor="text1"/>
          <w:spacing w:val="8"/>
          <w:sz w:val="32"/>
          <w:szCs w:val="32"/>
        </w:rPr>
        <w:t>债权经管理人审查后，一般产生以下法律后果：</w:t>
      </w:r>
    </w:p>
    <w:p w14:paraId="1AB8AF68"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一）被确认的债权，债权人有权参加债权人会议并根据其被确认的债权性质、及债权数额等在债权人会议中享有表决权；其债权被人民法院裁定确认后，有权参与破产财产分配或者破产重整、破产和解的债务清偿。</w:t>
      </w:r>
    </w:p>
    <w:p w14:paraId="3A2DF7D5"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lastRenderedPageBreak/>
        <w:t>（二）未被确认的债权，及经过债权人会议核查、未被人民法院确定的债权，债权人不得参与后续的破产程序。</w:t>
      </w:r>
    </w:p>
    <w:p w14:paraId="1089720F" w14:textId="77777777"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三）不能确定或者尚未确定的债权，而人民法院未给予临时表决权的，债权人在债权人会议上不得行使表决权。人民法院给予临时表决权的，债权人在债权人会议行使表决权。如果最终确定为破产债权的，则按照最终确认的债权性质和债权金额参加表决或分配。</w:t>
      </w:r>
    </w:p>
    <w:p w14:paraId="03E96E76" w14:textId="77777777" w:rsidR="00072FE9" w:rsidRDefault="00072FE9" w:rsidP="00072FE9">
      <w:pPr>
        <w:pStyle w:val="a7"/>
        <w:shd w:val="clear" w:color="auto" w:fill="FFFFFF"/>
        <w:spacing w:before="0" w:beforeAutospacing="0" w:after="0" w:afterAutospacing="0" w:line="520" w:lineRule="exact"/>
        <w:jc w:val="both"/>
        <w:rPr>
          <w:rFonts w:ascii="仿宋" w:eastAsia="仿宋" w:hAnsi="仿宋" w:cs="仿宋"/>
          <w:color w:val="000000" w:themeColor="text1"/>
          <w:spacing w:val="8"/>
          <w:sz w:val="32"/>
          <w:szCs w:val="32"/>
        </w:rPr>
      </w:pPr>
    </w:p>
    <w:p w14:paraId="2D3F6382" w14:textId="64EFCDEE" w:rsidR="00072FE9" w:rsidRDefault="00072FE9" w:rsidP="00072FE9">
      <w:pPr>
        <w:pStyle w:val="a7"/>
        <w:shd w:val="clear" w:color="auto" w:fill="FFFFFF"/>
        <w:spacing w:before="0" w:beforeAutospacing="0" w:after="0" w:afterAutospacing="0" w:line="520" w:lineRule="exact"/>
        <w:ind w:firstLine="435"/>
        <w:jc w:val="both"/>
        <w:rPr>
          <w:rFonts w:ascii="仿宋" w:eastAsia="仿宋" w:hAnsi="仿宋" w:cs="仿宋"/>
          <w:color w:val="000000" w:themeColor="text1"/>
          <w:spacing w:val="8"/>
          <w:sz w:val="32"/>
          <w:szCs w:val="32"/>
        </w:rPr>
      </w:pPr>
      <w:r>
        <w:rPr>
          <w:rFonts w:ascii="仿宋" w:eastAsia="仿宋" w:hAnsi="仿宋" w:cs="仿宋" w:hint="eastAsia"/>
          <w:color w:val="000000" w:themeColor="text1"/>
          <w:spacing w:val="8"/>
          <w:sz w:val="32"/>
          <w:szCs w:val="32"/>
        </w:rPr>
        <w:t>本规则为管理人审查</w:t>
      </w:r>
      <w:r w:rsidR="003E07DF" w:rsidRPr="003E07DF">
        <w:rPr>
          <w:rFonts w:ascii="仿宋" w:eastAsia="仿宋" w:hAnsi="仿宋" w:cs="仿宋" w:hint="eastAsia"/>
          <w:color w:val="000000" w:themeColor="text1"/>
          <w:spacing w:val="8"/>
          <w:sz w:val="32"/>
          <w:szCs w:val="32"/>
        </w:rPr>
        <w:t>登封市玉</w:t>
      </w:r>
      <w:proofErr w:type="gramStart"/>
      <w:r w:rsidR="003E07DF" w:rsidRPr="003E07DF">
        <w:rPr>
          <w:rFonts w:ascii="仿宋" w:eastAsia="仿宋" w:hAnsi="仿宋" w:cs="仿宋" w:hint="eastAsia"/>
          <w:color w:val="000000" w:themeColor="text1"/>
          <w:spacing w:val="8"/>
          <w:sz w:val="32"/>
          <w:szCs w:val="32"/>
        </w:rPr>
        <w:t>鑫</w:t>
      </w:r>
      <w:proofErr w:type="gramEnd"/>
      <w:r w:rsidR="003E07DF" w:rsidRPr="003E07DF">
        <w:rPr>
          <w:rFonts w:ascii="仿宋" w:eastAsia="仿宋" w:hAnsi="仿宋" w:cs="仿宋" w:hint="eastAsia"/>
          <w:color w:val="000000" w:themeColor="text1"/>
          <w:spacing w:val="8"/>
          <w:sz w:val="32"/>
          <w:szCs w:val="32"/>
        </w:rPr>
        <w:t>棕刚玉有限公司</w:t>
      </w:r>
      <w:r>
        <w:rPr>
          <w:rFonts w:ascii="仿宋" w:eastAsia="仿宋" w:hAnsi="仿宋" w:cs="仿宋" w:hint="eastAsia"/>
          <w:color w:val="000000" w:themeColor="text1"/>
          <w:spacing w:val="8"/>
          <w:sz w:val="32"/>
          <w:szCs w:val="32"/>
        </w:rPr>
        <w:t>破产债权规则。本规则与相关法律、法规及司法解释有抵触的，以相关法律、法规及司法解释的规定为准。</w:t>
      </w:r>
    </w:p>
    <w:p w14:paraId="73D9465E" w14:textId="77777777" w:rsidR="00072FE9" w:rsidRDefault="00072FE9" w:rsidP="00072FE9">
      <w:pPr>
        <w:spacing w:line="520" w:lineRule="exact"/>
        <w:jc w:val="right"/>
        <w:rPr>
          <w:rFonts w:ascii="仿宋" w:eastAsia="仿宋" w:hAnsi="仿宋" w:cs="仿宋"/>
          <w:color w:val="000000" w:themeColor="text1"/>
          <w:spacing w:val="8"/>
          <w:sz w:val="32"/>
          <w:szCs w:val="32"/>
        </w:rPr>
      </w:pPr>
    </w:p>
    <w:p w14:paraId="716D83AC" w14:textId="1979BEF3" w:rsidR="00072FE9" w:rsidRDefault="003E07DF" w:rsidP="00072FE9">
      <w:pPr>
        <w:spacing w:line="520" w:lineRule="exact"/>
        <w:jc w:val="right"/>
        <w:rPr>
          <w:rFonts w:ascii="仿宋" w:eastAsia="仿宋" w:hAnsi="仿宋" w:cs="仿宋"/>
          <w:color w:val="000000" w:themeColor="text1"/>
          <w:spacing w:val="8"/>
          <w:sz w:val="32"/>
          <w:szCs w:val="32"/>
        </w:rPr>
      </w:pPr>
      <w:r w:rsidRPr="003E07DF">
        <w:rPr>
          <w:rFonts w:ascii="仿宋" w:eastAsia="仿宋" w:hAnsi="仿宋" w:cs="仿宋" w:hint="eastAsia"/>
          <w:color w:val="000000" w:themeColor="text1"/>
          <w:spacing w:val="8"/>
          <w:sz w:val="32"/>
          <w:szCs w:val="32"/>
        </w:rPr>
        <w:t>登封市玉</w:t>
      </w:r>
      <w:proofErr w:type="gramStart"/>
      <w:r w:rsidRPr="003E07DF">
        <w:rPr>
          <w:rFonts w:ascii="仿宋" w:eastAsia="仿宋" w:hAnsi="仿宋" w:cs="仿宋" w:hint="eastAsia"/>
          <w:color w:val="000000" w:themeColor="text1"/>
          <w:spacing w:val="8"/>
          <w:sz w:val="32"/>
          <w:szCs w:val="32"/>
        </w:rPr>
        <w:t>鑫</w:t>
      </w:r>
      <w:proofErr w:type="gramEnd"/>
      <w:r w:rsidRPr="003E07DF">
        <w:rPr>
          <w:rFonts w:ascii="仿宋" w:eastAsia="仿宋" w:hAnsi="仿宋" w:cs="仿宋" w:hint="eastAsia"/>
          <w:color w:val="000000" w:themeColor="text1"/>
          <w:spacing w:val="8"/>
          <w:sz w:val="32"/>
          <w:szCs w:val="32"/>
        </w:rPr>
        <w:t>棕刚玉有限公司</w:t>
      </w:r>
      <w:r w:rsidR="00072FE9">
        <w:rPr>
          <w:rFonts w:ascii="仿宋" w:eastAsia="仿宋" w:hAnsi="仿宋" w:cs="仿宋" w:hint="eastAsia"/>
          <w:color w:val="000000" w:themeColor="text1"/>
          <w:spacing w:val="8"/>
          <w:sz w:val="32"/>
          <w:szCs w:val="32"/>
        </w:rPr>
        <w:t>管理人</w:t>
      </w:r>
    </w:p>
    <w:p w14:paraId="116163AF" w14:textId="561A267D" w:rsidR="00072FE9" w:rsidRDefault="00072FE9" w:rsidP="00072FE9">
      <w:pPr>
        <w:spacing w:line="520" w:lineRule="exact"/>
        <w:jc w:val="right"/>
        <w:rPr>
          <w:rFonts w:ascii="仿宋" w:eastAsia="仿宋" w:hAnsi="仿宋" w:cs="仿宋"/>
          <w:color w:val="000000" w:themeColor="text1"/>
          <w:sz w:val="32"/>
          <w:szCs w:val="32"/>
        </w:rPr>
      </w:pPr>
      <w:r>
        <w:rPr>
          <w:rFonts w:ascii="仿宋" w:eastAsia="仿宋" w:hAnsi="仿宋" w:cs="仿宋" w:hint="eastAsia"/>
          <w:color w:val="000000" w:themeColor="text1"/>
          <w:spacing w:val="8"/>
          <w:sz w:val="32"/>
          <w:szCs w:val="32"/>
        </w:rPr>
        <w:t xml:space="preserve">  202</w:t>
      </w:r>
      <w:r w:rsidR="001479A1">
        <w:rPr>
          <w:rFonts w:ascii="仿宋" w:eastAsia="仿宋" w:hAnsi="仿宋" w:cs="仿宋"/>
          <w:color w:val="000000" w:themeColor="text1"/>
          <w:spacing w:val="8"/>
          <w:sz w:val="32"/>
          <w:szCs w:val="32"/>
        </w:rPr>
        <w:t>2</w:t>
      </w:r>
      <w:r>
        <w:rPr>
          <w:rFonts w:ascii="仿宋" w:eastAsia="仿宋" w:hAnsi="仿宋" w:cs="仿宋" w:hint="eastAsia"/>
          <w:color w:val="000000" w:themeColor="text1"/>
          <w:spacing w:val="8"/>
          <w:sz w:val="32"/>
          <w:szCs w:val="32"/>
        </w:rPr>
        <w:t>年</w:t>
      </w:r>
      <w:r w:rsidR="003E07DF">
        <w:rPr>
          <w:rFonts w:ascii="仿宋" w:eastAsia="仿宋" w:hAnsi="仿宋" w:cs="仿宋"/>
          <w:color w:val="000000" w:themeColor="text1"/>
          <w:spacing w:val="8"/>
          <w:sz w:val="32"/>
          <w:szCs w:val="32"/>
        </w:rPr>
        <w:t xml:space="preserve">    </w:t>
      </w:r>
      <w:r>
        <w:rPr>
          <w:rFonts w:ascii="仿宋" w:eastAsia="仿宋" w:hAnsi="仿宋" w:cs="仿宋" w:hint="eastAsia"/>
          <w:color w:val="000000" w:themeColor="text1"/>
          <w:spacing w:val="8"/>
          <w:sz w:val="32"/>
          <w:szCs w:val="32"/>
        </w:rPr>
        <w:t>月</w:t>
      </w:r>
      <w:r w:rsidR="003E07DF">
        <w:rPr>
          <w:rFonts w:ascii="仿宋" w:eastAsia="仿宋" w:hAnsi="仿宋" w:cs="仿宋"/>
          <w:color w:val="000000" w:themeColor="text1"/>
          <w:spacing w:val="8"/>
          <w:sz w:val="32"/>
          <w:szCs w:val="32"/>
        </w:rPr>
        <w:t xml:space="preserve">    </w:t>
      </w:r>
      <w:r>
        <w:rPr>
          <w:rFonts w:ascii="仿宋" w:eastAsia="仿宋" w:hAnsi="仿宋" w:cs="仿宋" w:hint="eastAsia"/>
          <w:color w:val="000000" w:themeColor="text1"/>
          <w:spacing w:val="8"/>
          <w:sz w:val="32"/>
          <w:szCs w:val="32"/>
        </w:rPr>
        <w:t>日</w:t>
      </w:r>
    </w:p>
    <w:p w14:paraId="198266A5" w14:textId="77777777" w:rsidR="00A86FEB" w:rsidRDefault="00A86FEB"/>
    <w:sectPr w:rsidR="00A86F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44A1D" w14:textId="77777777" w:rsidR="009F3AD4" w:rsidRDefault="009F3AD4" w:rsidP="00072FE9">
      <w:r>
        <w:separator/>
      </w:r>
    </w:p>
  </w:endnote>
  <w:endnote w:type="continuationSeparator" w:id="0">
    <w:p w14:paraId="716C237B" w14:textId="77777777" w:rsidR="009F3AD4" w:rsidRDefault="009F3AD4" w:rsidP="0007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F357B" w14:textId="77777777" w:rsidR="009F3AD4" w:rsidRDefault="009F3AD4" w:rsidP="00072FE9">
      <w:r>
        <w:separator/>
      </w:r>
    </w:p>
  </w:footnote>
  <w:footnote w:type="continuationSeparator" w:id="0">
    <w:p w14:paraId="4EC1DF15" w14:textId="77777777" w:rsidR="009F3AD4" w:rsidRDefault="009F3AD4" w:rsidP="00072F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EB"/>
    <w:rsid w:val="00072FE9"/>
    <w:rsid w:val="000C0748"/>
    <w:rsid w:val="001479A1"/>
    <w:rsid w:val="003E07DF"/>
    <w:rsid w:val="005D4E91"/>
    <w:rsid w:val="009F3AD4"/>
    <w:rsid w:val="00A86FEB"/>
    <w:rsid w:val="00F3329B"/>
    <w:rsid w:val="00FF0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14395"/>
  <w15:chartTrackingRefBased/>
  <w15:docId w15:val="{AB81DF37-3BD9-4015-AE72-6A97B980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F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2F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72FE9"/>
    <w:rPr>
      <w:sz w:val="18"/>
      <w:szCs w:val="18"/>
    </w:rPr>
  </w:style>
  <w:style w:type="paragraph" w:styleId="a5">
    <w:name w:val="footer"/>
    <w:basedOn w:val="a"/>
    <w:link w:val="a6"/>
    <w:uiPriority w:val="99"/>
    <w:unhideWhenUsed/>
    <w:rsid w:val="00072FE9"/>
    <w:pPr>
      <w:tabs>
        <w:tab w:val="center" w:pos="4153"/>
        <w:tab w:val="right" w:pos="8306"/>
      </w:tabs>
      <w:snapToGrid w:val="0"/>
      <w:jc w:val="left"/>
    </w:pPr>
    <w:rPr>
      <w:sz w:val="18"/>
      <w:szCs w:val="18"/>
    </w:rPr>
  </w:style>
  <w:style w:type="character" w:customStyle="1" w:styleId="a6">
    <w:name w:val="页脚 字符"/>
    <w:basedOn w:val="a0"/>
    <w:link w:val="a5"/>
    <w:uiPriority w:val="99"/>
    <w:rsid w:val="00072FE9"/>
    <w:rPr>
      <w:sz w:val="18"/>
      <w:szCs w:val="18"/>
    </w:rPr>
  </w:style>
  <w:style w:type="paragraph" w:styleId="a7">
    <w:name w:val="Normal (Web)"/>
    <w:basedOn w:val="a"/>
    <w:uiPriority w:val="99"/>
    <w:unhideWhenUsed/>
    <w:qFormat/>
    <w:rsid w:val="00072FE9"/>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072FE9"/>
    <w:rPr>
      <w:b/>
      <w:bCs/>
    </w:rPr>
  </w:style>
  <w:style w:type="character" w:customStyle="1" w:styleId="apple-converted-space">
    <w:name w:val="apple-converted-space"/>
    <w:basedOn w:val="a0"/>
    <w:rsid w:val="00072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1268</Words>
  <Characters>7229</Characters>
  <Application>Microsoft Office Word</Application>
  <DocSecurity>0</DocSecurity>
  <Lines>60</Lines>
  <Paragraphs>16</Paragraphs>
  <ScaleCrop>false</ScaleCrop>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 鑫婷</dc:creator>
  <cp:keywords/>
  <dc:description/>
  <cp:lastModifiedBy>meng</cp:lastModifiedBy>
  <cp:revision>7</cp:revision>
  <dcterms:created xsi:type="dcterms:W3CDTF">2021-07-05T05:53:00Z</dcterms:created>
  <dcterms:modified xsi:type="dcterms:W3CDTF">2022-09-12T06:02:00Z</dcterms:modified>
</cp:coreProperties>
</file>