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280"/>
        <w:jc w:val="center"/>
        <w:rPr>
          <w:rFonts w:hint="eastAsia" w:ascii="宋体" w:hAnsi="宋体" w:eastAsia="宋体" w:cs="宋体"/>
          <w:b/>
          <w:bCs/>
          <w:w w:val="80"/>
          <w:sz w:val="52"/>
          <w:szCs w:val="52"/>
          <w:highlight w:val="none"/>
          <w:lang w:val="en-US" w:eastAsia="zh-CN"/>
        </w:rPr>
      </w:pPr>
      <w:r>
        <w:rPr>
          <w:rFonts w:hint="eastAsia" w:ascii="宋体" w:hAnsi="宋体" w:eastAsia="宋体" w:cs="宋体"/>
          <w:b/>
          <w:bCs/>
          <w:w w:val="80"/>
          <w:sz w:val="52"/>
          <w:szCs w:val="52"/>
          <w:highlight w:val="none"/>
          <w:lang w:val="en-US" w:eastAsia="zh-CN"/>
        </w:rPr>
        <w:t>丰城市合天下装饰设计工程有限公司管理人</w:t>
      </w:r>
    </w:p>
    <w:p>
      <w:pPr>
        <w:ind w:right="280"/>
        <w:jc w:val="center"/>
        <w:rPr>
          <w:rFonts w:hint="eastAsia" w:ascii="仿宋" w:hAnsi="仿宋" w:eastAsia="仿宋" w:cs="仿宋"/>
          <w:b/>
          <w:bCs/>
          <w:color w:val="auto"/>
          <w:sz w:val="28"/>
          <w:szCs w:val="32"/>
          <w:highlight w:val="none"/>
        </w:rPr>
      </w:pPr>
      <w:r>
        <w:rPr>
          <w:rFonts w:hint="eastAsia" w:ascii="仿宋" w:hAnsi="仿宋" w:eastAsia="仿宋" w:cs="仿宋"/>
          <w:b/>
          <w:bCs/>
          <w:color w:val="auto"/>
          <w:sz w:val="28"/>
          <w:szCs w:val="32"/>
          <w:highlight w:val="none"/>
          <w:lang w:val="en-US" w:eastAsia="zh-CN"/>
        </w:rPr>
        <w:t>合天下装饰设计工程管理破管字[2022]7号</w:t>
      </w:r>
    </w:p>
    <w:p>
      <w:pPr>
        <w:ind w:right="280"/>
        <w:jc w:val="center"/>
        <w:rPr>
          <w:rFonts w:hint="eastAsia" w:ascii="仿宋" w:hAnsi="仿宋" w:eastAsia="仿宋" w:cs="仿宋"/>
          <w:b/>
          <w:color w:val="auto"/>
          <w:sz w:val="28"/>
          <w:highlight w:val="none"/>
        </w:rPr>
      </w:pPr>
      <w:r>
        <w:rPr>
          <w:rFonts w:hint="eastAsia" w:ascii="仿宋" w:hAnsi="仿宋" w:eastAsia="仿宋" w:cs="仿宋"/>
          <w:color w:val="auto"/>
          <w:highlight w:val="none"/>
        </w:rPr>
        <mc:AlternateContent>
          <mc:Choice Requires="wps">
            <w:drawing>
              <wp:anchor distT="0" distB="0" distL="114300" distR="114300" simplePos="0" relativeHeight="251661312" behindDoc="0" locked="0" layoutInCell="1" allowOverlap="1">
                <wp:simplePos x="0" y="0"/>
                <wp:positionH relativeFrom="column">
                  <wp:posOffset>-85090</wp:posOffset>
                </wp:positionH>
                <wp:positionV relativeFrom="paragraph">
                  <wp:posOffset>19685</wp:posOffset>
                </wp:positionV>
                <wp:extent cx="5487035" cy="635"/>
                <wp:effectExtent l="0" t="19050" r="5715" b="24765"/>
                <wp:wrapNone/>
                <wp:docPr id="5" name="直接连接符 31"/>
                <wp:cNvGraphicFramePr/>
                <a:graphic xmlns:a="http://schemas.openxmlformats.org/drawingml/2006/main">
                  <a:graphicData uri="http://schemas.microsoft.com/office/word/2010/wordprocessingShape">
                    <wps:wsp>
                      <wps:cNvCnPr/>
                      <wps:spPr>
                        <a:xfrm flipV="1">
                          <a:off x="0" y="0"/>
                          <a:ext cx="5487035" cy="635"/>
                        </a:xfrm>
                        <a:prstGeom prst="line">
                          <a:avLst/>
                        </a:prstGeom>
                        <a:ln w="38100" cap="flat" cmpd="sng">
                          <a:solidFill>
                            <a:srgbClr val="000000"/>
                          </a:solidFill>
                          <a:prstDash val="solid"/>
                          <a:round/>
                          <a:headEnd type="none" w="med" len="med"/>
                          <a:tailEnd type="none" w="med" len="med"/>
                        </a:ln>
                        <a:effectLst/>
                      </wps:spPr>
                      <wps:bodyPr/>
                    </wps:wsp>
                  </a:graphicData>
                </a:graphic>
              </wp:anchor>
            </w:drawing>
          </mc:Choice>
          <mc:Fallback>
            <w:pict>
              <v:line id="直接连接符 31" o:spid="_x0000_s1026" o:spt="20" style="position:absolute;left:0pt;flip:y;margin-left:-6.7pt;margin-top:1.55pt;height:0.05pt;width:432.05pt;z-index:251661312;mso-width-relative:page;mso-height-relative:page;" filled="f" stroked="t" coordsize="21600,21600" o:gfxdata="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YAouBtMAAAAHAQAADwAAAAAAAAABACAAAAAiAAAAZHJzL2Rvd25yZXYu&#10;eG1sUEsBAhQAFAAAAAgAh07iQCcKCw8AAgAA/gMAAA4AAAAAAAAAAQAgAAAAIgEAAGRycy9lMm9E&#10;b2MueG1sUEsFBgAAAAAGAAYAWQEAAJQFAAAAAA==&#10;">
                <v:fill on="f" focussize="0,0"/>
                <v:stroke weight="3pt" color="#000000" joinstyle="round"/>
                <v:imagedata o:title=""/>
                <o:lock v:ext="edit" aspectratio="f"/>
              </v:line>
            </w:pict>
          </mc:Fallback>
        </mc:AlternateContent>
      </w:r>
    </w:p>
    <w:p>
      <w:pPr>
        <w:spacing w:line="520" w:lineRule="exact"/>
        <w:jc w:val="center"/>
        <w:rPr>
          <w:rFonts w:hint="eastAsia" w:ascii="仿宋" w:hAnsi="仿宋" w:eastAsia="仿宋" w:cs="仿宋"/>
          <w:b/>
          <w:bCs w:val="0"/>
          <w:color w:val="auto"/>
          <w:sz w:val="44"/>
          <w:szCs w:val="44"/>
          <w:highlight w:val="none"/>
          <w:lang w:val="en-US" w:eastAsia="zh-CN"/>
        </w:rPr>
      </w:pPr>
      <w:r>
        <w:rPr>
          <w:rFonts w:hint="eastAsia" w:ascii="仿宋" w:hAnsi="仿宋" w:eastAsia="仿宋" w:cs="仿宋"/>
          <w:b/>
          <w:bCs w:val="0"/>
          <w:color w:val="auto"/>
          <w:sz w:val="44"/>
          <w:szCs w:val="44"/>
          <w:highlight w:val="none"/>
          <w:lang w:val="en-US" w:eastAsia="zh-CN"/>
        </w:rPr>
        <w:t>丰城市合天下装饰设计工程有限公司</w:t>
      </w:r>
    </w:p>
    <w:p>
      <w:pPr>
        <w:spacing w:line="520" w:lineRule="exact"/>
        <w:jc w:val="center"/>
        <w:rPr>
          <w:rFonts w:hint="eastAsia" w:ascii="仿宋" w:hAnsi="仿宋" w:eastAsia="仿宋" w:cs="仿宋"/>
          <w:b/>
          <w:bCs w:val="0"/>
          <w:color w:val="auto"/>
          <w:sz w:val="44"/>
          <w:szCs w:val="44"/>
          <w:highlight w:val="none"/>
        </w:rPr>
      </w:pPr>
      <w:r>
        <w:rPr>
          <w:rFonts w:hint="eastAsia" w:ascii="仿宋" w:hAnsi="仿宋" w:eastAsia="仿宋" w:cs="仿宋"/>
          <w:b/>
          <w:bCs w:val="0"/>
          <w:color w:val="auto"/>
          <w:sz w:val="44"/>
          <w:szCs w:val="44"/>
          <w:highlight w:val="none"/>
          <w:lang w:eastAsia="zh-CN"/>
        </w:rPr>
        <w:t>破产清算</w:t>
      </w:r>
      <w:r>
        <w:rPr>
          <w:rFonts w:hint="eastAsia" w:ascii="仿宋" w:hAnsi="仿宋" w:eastAsia="仿宋" w:cs="仿宋"/>
          <w:b/>
          <w:bCs w:val="0"/>
          <w:color w:val="auto"/>
          <w:sz w:val="44"/>
          <w:szCs w:val="44"/>
          <w:highlight w:val="none"/>
        </w:rPr>
        <w:t>报告</w:t>
      </w:r>
    </w:p>
    <w:p>
      <w:pPr>
        <w:keepNext w:val="0"/>
        <w:keepLines w:val="0"/>
        <w:pageBreakBefore w:val="0"/>
        <w:kinsoku/>
        <w:wordWrap/>
        <w:overflowPunct/>
        <w:topLinePunct w:val="0"/>
        <w:autoSpaceDE/>
        <w:autoSpaceDN/>
        <w:bidi w:val="0"/>
        <w:snapToGrid w:val="0"/>
        <w:spacing w:line="520" w:lineRule="exact"/>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债权人会议：</w:t>
      </w:r>
    </w:p>
    <w:p>
      <w:pPr>
        <w:keepNext w:val="0"/>
        <w:keepLines w:val="0"/>
        <w:pageBreakBefore w:val="0"/>
        <w:kinsoku/>
        <w:wordWrap/>
        <w:overflowPunct/>
        <w:topLinePunct w:val="0"/>
        <w:autoSpaceDE/>
        <w:autoSpaceDN/>
        <w:bidi w:val="0"/>
        <w:spacing w:line="520" w:lineRule="exact"/>
        <w:ind w:firstLine="552" w:firstLineChars="20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丰城市人民法院（下称“丰城市法院”）在执行</w:t>
      </w:r>
      <w:r>
        <w:rPr>
          <w:rFonts w:hint="eastAsia" w:ascii="仿宋" w:hAnsi="仿宋" w:eastAsia="仿宋" w:cs="仿宋"/>
          <w:color w:val="auto"/>
          <w:sz w:val="28"/>
          <w:szCs w:val="28"/>
          <w:highlight w:val="none"/>
          <w:lang w:val="en-US" w:eastAsia="zh-CN"/>
        </w:rPr>
        <w:t>丰城市大王椰木业经营部与丰城市合天下装饰设计工程有限公司</w:t>
      </w:r>
      <w:r>
        <w:rPr>
          <w:rFonts w:hint="eastAsia" w:ascii="仿宋" w:hAnsi="仿宋" w:eastAsia="仿宋" w:cs="仿宋"/>
          <w:color w:val="auto"/>
          <w:sz w:val="28"/>
          <w:szCs w:val="28"/>
          <w:highlight w:val="none"/>
        </w:rPr>
        <w:t>（下称“</w:t>
      </w:r>
      <w:r>
        <w:rPr>
          <w:rFonts w:hint="eastAsia" w:ascii="仿宋" w:hAnsi="仿宋" w:eastAsia="仿宋" w:cs="仿宋"/>
          <w:color w:val="auto"/>
          <w:sz w:val="28"/>
          <w:szCs w:val="28"/>
          <w:highlight w:val="none"/>
          <w:lang w:val="en-US" w:eastAsia="zh-CN"/>
        </w:rPr>
        <w:t>合天下公司</w:t>
      </w:r>
      <w:r>
        <w:rPr>
          <w:rFonts w:hint="eastAsia" w:ascii="仿宋" w:hAnsi="仿宋" w:eastAsia="仿宋" w:cs="仿宋"/>
          <w:color w:val="auto"/>
          <w:sz w:val="28"/>
          <w:szCs w:val="28"/>
          <w:highlight w:val="none"/>
        </w:rPr>
        <w:t>”或“债务人”）</w:t>
      </w:r>
      <w:r>
        <w:rPr>
          <w:rFonts w:hint="eastAsia" w:ascii="仿宋" w:hAnsi="仿宋" w:eastAsia="仿宋" w:cs="仿宋"/>
          <w:color w:val="auto"/>
          <w:sz w:val="28"/>
          <w:szCs w:val="28"/>
          <w:highlight w:val="none"/>
          <w:lang w:val="en-US" w:eastAsia="zh-CN"/>
        </w:rPr>
        <w:t>买卖</w:t>
      </w:r>
      <w:r>
        <w:rPr>
          <w:rFonts w:hint="eastAsia" w:ascii="仿宋" w:hAnsi="仿宋" w:eastAsia="仿宋" w:cs="仿宋"/>
          <w:color w:val="auto"/>
          <w:sz w:val="28"/>
          <w:szCs w:val="28"/>
          <w:highlight w:val="none"/>
        </w:rPr>
        <w:t>合同纠纷一案中，申请执行人</w:t>
      </w:r>
      <w:r>
        <w:rPr>
          <w:rFonts w:hint="eastAsia" w:ascii="仿宋" w:hAnsi="仿宋" w:eastAsia="仿宋" w:cs="仿宋"/>
          <w:color w:val="auto"/>
          <w:sz w:val="28"/>
          <w:szCs w:val="28"/>
          <w:highlight w:val="none"/>
          <w:lang w:val="en-US" w:eastAsia="zh-CN"/>
        </w:rPr>
        <w:t>丰城市大王椰木业经营部</w:t>
      </w:r>
      <w:r>
        <w:rPr>
          <w:rFonts w:hint="eastAsia" w:ascii="仿宋" w:hAnsi="仿宋" w:eastAsia="仿宋" w:cs="仿宋"/>
          <w:color w:val="auto"/>
          <w:sz w:val="28"/>
          <w:szCs w:val="28"/>
          <w:highlight w:val="none"/>
        </w:rPr>
        <w:t>申请对该执行案件移送破产审查。丰城市法院经审查认为，</w:t>
      </w:r>
      <w:r>
        <w:rPr>
          <w:rFonts w:hint="eastAsia" w:ascii="仿宋" w:hAnsi="仿宋" w:eastAsia="仿宋" w:cs="仿宋"/>
          <w:color w:val="auto"/>
          <w:sz w:val="28"/>
          <w:szCs w:val="28"/>
          <w:highlight w:val="none"/>
          <w:lang w:val="en-US" w:eastAsia="zh-CN"/>
        </w:rPr>
        <w:t>合天下公司</w:t>
      </w:r>
      <w:r>
        <w:rPr>
          <w:rFonts w:hint="eastAsia" w:ascii="仿宋" w:hAnsi="仿宋" w:eastAsia="仿宋" w:cs="仿宋"/>
          <w:color w:val="auto"/>
          <w:sz w:val="28"/>
          <w:szCs w:val="28"/>
          <w:highlight w:val="none"/>
        </w:rPr>
        <w:t>已明显不能清偿到期债务，且明显缺乏清偿能力，于2022年</w:t>
      </w: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23</w:t>
      </w:r>
      <w:r>
        <w:rPr>
          <w:rFonts w:hint="eastAsia" w:ascii="仿宋" w:hAnsi="仿宋" w:eastAsia="仿宋" w:cs="仿宋"/>
          <w:color w:val="auto"/>
          <w:sz w:val="28"/>
          <w:szCs w:val="28"/>
          <w:highlight w:val="none"/>
        </w:rPr>
        <w:t>日作出（2022）赣0981执</w:t>
      </w:r>
      <w:r>
        <w:rPr>
          <w:rFonts w:hint="eastAsia" w:ascii="仿宋" w:hAnsi="仿宋" w:eastAsia="仿宋" w:cs="仿宋"/>
          <w:color w:val="auto"/>
          <w:sz w:val="28"/>
          <w:szCs w:val="28"/>
          <w:highlight w:val="none"/>
          <w:lang w:eastAsia="zh-CN"/>
        </w:rPr>
        <w:t>恢</w:t>
      </w:r>
      <w:r>
        <w:rPr>
          <w:rFonts w:hint="eastAsia" w:ascii="仿宋" w:hAnsi="仿宋" w:eastAsia="仿宋" w:cs="仿宋"/>
          <w:color w:val="auto"/>
          <w:sz w:val="28"/>
          <w:szCs w:val="28"/>
          <w:highlight w:val="none"/>
          <w:lang w:val="en-US" w:eastAsia="zh-CN"/>
        </w:rPr>
        <w:t>519</w:t>
      </w:r>
      <w:r>
        <w:rPr>
          <w:rFonts w:hint="eastAsia" w:ascii="仿宋" w:hAnsi="仿宋" w:eastAsia="仿宋" w:cs="仿宋"/>
          <w:color w:val="auto"/>
          <w:sz w:val="28"/>
          <w:szCs w:val="28"/>
          <w:highlight w:val="none"/>
        </w:rPr>
        <w:t>号移送破产审查决定书，将该执行案件移送丰城市法院进行破产审查。丰城市法院于2022年</w:t>
      </w:r>
      <w:r>
        <w:rPr>
          <w:rFonts w:hint="eastAsia" w:ascii="仿宋" w:hAnsi="仿宋" w:eastAsia="仿宋" w:cs="仿宋"/>
          <w:color w:val="auto"/>
          <w:sz w:val="28"/>
          <w:szCs w:val="28"/>
          <w:highlight w:val="none"/>
          <w:lang w:val="en-US" w:eastAsia="zh-CN"/>
        </w:rPr>
        <w:t>10</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rPr>
        <w:t>日作出（2022）赣0981破申</w:t>
      </w: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rPr>
        <w:t>号民事裁定，裁定受理</w:t>
      </w:r>
      <w:r>
        <w:rPr>
          <w:rFonts w:hint="eastAsia" w:ascii="仿宋" w:hAnsi="仿宋" w:eastAsia="仿宋" w:cs="仿宋"/>
          <w:color w:val="auto"/>
          <w:sz w:val="28"/>
          <w:szCs w:val="28"/>
          <w:highlight w:val="none"/>
          <w:lang w:val="en-US" w:eastAsia="zh-CN"/>
        </w:rPr>
        <w:t>丰城市合天下装饰设计工程有限公司</w:t>
      </w:r>
      <w:r>
        <w:rPr>
          <w:rFonts w:hint="eastAsia" w:ascii="仿宋" w:hAnsi="仿宋" w:eastAsia="仿宋" w:cs="仿宋"/>
          <w:color w:val="auto"/>
          <w:sz w:val="28"/>
          <w:szCs w:val="28"/>
          <w:highlight w:val="none"/>
        </w:rPr>
        <w:t>破产清算案。</w:t>
      </w:r>
      <w:r>
        <w:rPr>
          <w:rFonts w:hint="eastAsia" w:ascii="仿宋" w:hAnsi="仿宋" w:eastAsia="仿宋" w:cs="仿宋"/>
          <w:color w:val="auto"/>
          <w:sz w:val="28"/>
          <w:szCs w:val="28"/>
          <w:highlight w:val="none"/>
          <w:lang w:val="en-US" w:eastAsia="zh-CN"/>
        </w:rPr>
        <w:t>2022年10月10日</w:t>
      </w:r>
      <w:r>
        <w:rPr>
          <w:rFonts w:hint="eastAsia" w:ascii="仿宋" w:hAnsi="仿宋" w:eastAsia="仿宋" w:cs="仿宋"/>
          <w:color w:val="auto"/>
          <w:sz w:val="28"/>
          <w:szCs w:val="28"/>
          <w:highlight w:val="none"/>
        </w:rPr>
        <w:t>，丰城市人民法院作出（2022）赣0981破</w:t>
      </w:r>
      <w:r>
        <w:rPr>
          <w:rFonts w:hint="eastAsia" w:ascii="仿宋" w:hAnsi="仿宋" w:eastAsia="仿宋" w:cs="仿宋"/>
          <w:color w:val="auto"/>
          <w:sz w:val="28"/>
          <w:szCs w:val="28"/>
          <w:highlight w:val="none"/>
          <w:lang w:val="en-US" w:eastAsia="zh-CN"/>
        </w:rPr>
        <w:t>8</w:t>
      </w:r>
      <w:r>
        <w:rPr>
          <w:rFonts w:hint="eastAsia" w:ascii="仿宋" w:hAnsi="仿宋" w:eastAsia="仿宋" w:cs="仿宋"/>
          <w:color w:val="auto"/>
          <w:sz w:val="28"/>
          <w:szCs w:val="28"/>
          <w:highlight w:val="none"/>
        </w:rPr>
        <w:t>号决定书，</w:t>
      </w:r>
      <w:r>
        <w:rPr>
          <w:rFonts w:hint="eastAsia" w:ascii="仿宋" w:hAnsi="仿宋" w:eastAsia="仿宋" w:cs="仿宋"/>
          <w:color w:val="auto"/>
          <w:sz w:val="28"/>
          <w:szCs w:val="28"/>
          <w:highlight w:val="none"/>
          <w:lang w:val="en-US" w:eastAsia="zh-CN"/>
        </w:rPr>
        <w:t>决定对本案适用简化审程序审理本案，并</w:t>
      </w:r>
      <w:r>
        <w:rPr>
          <w:rFonts w:hint="eastAsia" w:ascii="仿宋" w:hAnsi="仿宋" w:eastAsia="仿宋" w:cs="仿宋"/>
          <w:color w:val="auto"/>
          <w:sz w:val="28"/>
          <w:szCs w:val="28"/>
          <w:highlight w:val="none"/>
        </w:rPr>
        <w:t>指定江西</w:t>
      </w:r>
      <w:r>
        <w:rPr>
          <w:rFonts w:hint="eastAsia" w:ascii="仿宋" w:hAnsi="仿宋" w:eastAsia="仿宋" w:cs="仿宋"/>
          <w:color w:val="auto"/>
          <w:sz w:val="28"/>
          <w:szCs w:val="28"/>
          <w:highlight w:val="none"/>
          <w:lang w:eastAsia="zh-CN"/>
        </w:rPr>
        <w:t>金丰</w:t>
      </w:r>
      <w:r>
        <w:rPr>
          <w:rFonts w:hint="eastAsia" w:ascii="仿宋" w:hAnsi="仿宋" w:eastAsia="仿宋" w:cs="仿宋"/>
          <w:color w:val="auto"/>
          <w:sz w:val="28"/>
          <w:szCs w:val="28"/>
          <w:highlight w:val="none"/>
        </w:rPr>
        <w:t>律师事务所为</w:t>
      </w:r>
      <w:r>
        <w:rPr>
          <w:rFonts w:hint="eastAsia" w:ascii="仿宋" w:hAnsi="仿宋" w:eastAsia="仿宋" w:cs="仿宋"/>
          <w:color w:val="auto"/>
          <w:sz w:val="28"/>
          <w:szCs w:val="28"/>
          <w:highlight w:val="none"/>
          <w:lang w:val="en-US" w:eastAsia="zh-CN"/>
        </w:rPr>
        <w:t>丰城市合天下装饰设计工程有限公司</w:t>
      </w:r>
      <w:r>
        <w:rPr>
          <w:rFonts w:hint="eastAsia" w:ascii="仿宋" w:hAnsi="仿宋" w:eastAsia="仿宋" w:cs="仿宋"/>
          <w:color w:val="auto"/>
          <w:sz w:val="28"/>
          <w:szCs w:val="28"/>
          <w:highlight w:val="none"/>
        </w:rPr>
        <w:t>管理人。</w:t>
      </w:r>
    </w:p>
    <w:p>
      <w:pPr>
        <w:keepNext w:val="0"/>
        <w:keepLines w:val="0"/>
        <w:pageBreakBefore w:val="0"/>
        <w:kinsoku/>
        <w:wordWrap/>
        <w:overflowPunct/>
        <w:topLinePunct w:val="0"/>
        <w:autoSpaceDE/>
        <w:autoSpaceDN/>
        <w:bidi w:val="0"/>
        <w:snapToGrid w:val="0"/>
        <w:spacing w:line="520" w:lineRule="exact"/>
        <w:ind w:firstLine="552" w:firstLineChars="200"/>
        <w:textAlignment w:val="auto"/>
        <w:rPr>
          <w:rFonts w:hint="eastAsia" w:ascii="仿宋" w:hAnsi="仿宋" w:eastAsia="仿宋" w:cs="仿宋"/>
          <w:bCs/>
          <w:color w:val="auto"/>
          <w:sz w:val="28"/>
          <w:szCs w:val="28"/>
          <w:highlight w:val="none"/>
        </w:rPr>
      </w:pPr>
      <w:r>
        <w:rPr>
          <w:rFonts w:hint="eastAsia" w:ascii="仿宋" w:hAnsi="仿宋" w:eastAsia="仿宋" w:cs="仿宋"/>
          <w:color w:val="auto"/>
          <w:sz w:val="28"/>
          <w:szCs w:val="28"/>
          <w:highlight w:val="none"/>
        </w:rPr>
        <w:t>管理人接受指定后，按照《中华人民共和国企业破产法》的规定，在丰城市法院的监督和指导下，开展</w:t>
      </w:r>
      <w:r>
        <w:rPr>
          <w:rFonts w:hint="eastAsia" w:ascii="仿宋" w:hAnsi="仿宋" w:eastAsia="仿宋" w:cs="仿宋"/>
          <w:color w:val="auto"/>
          <w:sz w:val="28"/>
          <w:szCs w:val="28"/>
          <w:highlight w:val="none"/>
          <w:lang w:val="en-US" w:eastAsia="zh-CN"/>
        </w:rPr>
        <w:t>合天下公司</w:t>
      </w:r>
      <w:r>
        <w:rPr>
          <w:rFonts w:hint="eastAsia" w:ascii="仿宋" w:hAnsi="仿宋" w:eastAsia="仿宋" w:cs="仿宋"/>
          <w:color w:val="auto"/>
          <w:sz w:val="28"/>
          <w:szCs w:val="28"/>
          <w:highlight w:val="none"/>
        </w:rPr>
        <w:t>各项破产清算工作，现将管理人工作情况报告如下：</w:t>
      </w:r>
    </w:p>
    <w:p>
      <w:pPr>
        <w:pStyle w:val="15"/>
        <w:keepNext w:val="0"/>
        <w:keepLines w:val="0"/>
        <w:pageBreakBefore w:val="0"/>
        <w:widowControl/>
        <w:kinsoku/>
        <w:wordWrap/>
        <w:overflowPunct/>
        <w:topLinePunct w:val="0"/>
        <w:autoSpaceDE/>
        <w:autoSpaceDN/>
        <w:bidi w:val="0"/>
        <w:snapToGrid w:val="0"/>
        <w:spacing w:line="520" w:lineRule="exact"/>
        <w:ind w:firstLine="632"/>
        <w:textAlignment w:val="auto"/>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一、已开展工作</w:t>
      </w:r>
    </w:p>
    <w:p>
      <w:pPr>
        <w:pStyle w:val="15"/>
        <w:keepNext w:val="0"/>
        <w:keepLines w:val="0"/>
        <w:pageBreakBefore w:val="0"/>
        <w:widowControl/>
        <w:kinsoku/>
        <w:wordWrap/>
        <w:overflowPunct/>
        <w:topLinePunct w:val="0"/>
        <w:autoSpaceDE/>
        <w:autoSpaceDN/>
        <w:bidi w:val="0"/>
        <w:snapToGrid w:val="0"/>
        <w:spacing w:line="520" w:lineRule="exact"/>
        <w:ind w:firstLine="634"/>
        <w:textAlignment w:val="auto"/>
        <w:rPr>
          <w:rFonts w:hint="eastAsia" w:ascii="仿宋" w:hAnsi="仿宋" w:eastAsia="仿宋" w:cs="仿宋"/>
          <w:bCs/>
          <w:color w:val="auto"/>
          <w:sz w:val="28"/>
          <w:szCs w:val="28"/>
          <w:highlight w:val="none"/>
        </w:rPr>
      </w:pPr>
      <w:r>
        <w:rPr>
          <w:rFonts w:hint="eastAsia" w:ascii="仿宋" w:hAnsi="仿宋" w:eastAsia="仿宋" w:cs="仿宋"/>
          <w:b/>
          <w:color w:val="auto"/>
          <w:sz w:val="28"/>
          <w:szCs w:val="28"/>
          <w:highlight w:val="none"/>
        </w:rPr>
        <w:t>（一）调查债务人工商登记及经营情况</w:t>
      </w:r>
    </w:p>
    <w:p>
      <w:pPr>
        <w:pStyle w:val="2"/>
        <w:keepNext w:val="0"/>
        <w:keepLines w:val="0"/>
        <w:pageBreakBefore w:val="0"/>
        <w:kinsoku/>
        <w:wordWrap/>
        <w:overflowPunct/>
        <w:topLinePunct w:val="0"/>
        <w:autoSpaceDE/>
        <w:autoSpaceDN/>
        <w:bidi w:val="0"/>
        <w:spacing w:line="520" w:lineRule="exact"/>
        <w:ind w:firstLine="552" w:firstLineChars="200"/>
        <w:textAlignment w:val="auto"/>
        <w:rPr>
          <w:rFonts w:hint="eastAsia" w:ascii="仿宋" w:hAnsi="仿宋" w:eastAsia="仿宋" w:cs="仿宋"/>
          <w:sz w:val="28"/>
          <w:szCs w:val="28"/>
          <w:highlight w:val="none"/>
        </w:rPr>
      </w:pPr>
      <w:r>
        <w:rPr>
          <w:rFonts w:hint="eastAsia" w:ascii="仿宋" w:hAnsi="仿宋" w:eastAsia="仿宋" w:cs="仿宋"/>
          <w:color w:val="auto"/>
          <w:sz w:val="28"/>
          <w:szCs w:val="28"/>
          <w:highlight w:val="none"/>
        </w:rPr>
        <w:t>管理人向丰城市市场监督管理局调查查明，</w:t>
      </w:r>
      <w:r>
        <w:rPr>
          <w:rFonts w:hint="eastAsia" w:ascii="仿宋" w:hAnsi="仿宋" w:eastAsia="仿宋" w:cs="仿宋"/>
          <w:color w:val="auto"/>
          <w:sz w:val="28"/>
          <w:szCs w:val="28"/>
          <w:highlight w:val="none"/>
          <w:lang w:val="en-US" w:eastAsia="zh-CN"/>
        </w:rPr>
        <w:t>合天下公司</w:t>
      </w:r>
      <w:r>
        <w:rPr>
          <w:rFonts w:hint="eastAsia" w:ascii="仿宋" w:hAnsi="仿宋" w:eastAsia="仿宋" w:cs="仿宋"/>
          <w:sz w:val="28"/>
          <w:szCs w:val="28"/>
          <w:highlight w:val="none"/>
        </w:rPr>
        <w:t>于</w:t>
      </w:r>
      <w:r>
        <w:rPr>
          <w:rFonts w:hint="eastAsia" w:ascii="仿宋" w:hAnsi="仿宋" w:eastAsia="仿宋" w:cs="仿宋"/>
          <w:sz w:val="28"/>
          <w:szCs w:val="28"/>
          <w:highlight w:val="none"/>
          <w:lang w:val="en-US" w:eastAsia="zh-CN"/>
        </w:rPr>
        <w:t>2018年7月23日</w:t>
      </w:r>
      <w:r>
        <w:rPr>
          <w:rFonts w:hint="eastAsia" w:ascii="仿宋" w:hAnsi="仿宋" w:eastAsia="仿宋" w:cs="仿宋"/>
          <w:sz w:val="28"/>
          <w:szCs w:val="28"/>
          <w:highlight w:val="none"/>
        </w:rPr>
        <w:t>经丰城市市场监督管理局登记成立，由自然人</w:t>
      </w:r>
      <w:r>
        <w:rPr>
          <w:rFonts w:hint="eastAsia" w:ascii="仿宋" w:hAnsi="仿宋" w:eastAsia="仿宋" w:cs="仿宋"/>
          <w:sz w:val="28"/>
          <w:szCs w:val="28"/>
          <w:highlight w:val="none"/>
          <w:lang w:eastAsia="zh-CN"/>
        </w:rPr>
        <w:t>刘金龙、谢宏辉、谢鹏真认缴出资</w:t>
      </w:r>
      <w:r>
        <w:rPr>
          <w:rFonts w:hint="eastAsia" w:ascii="仿宋" w:hAnsi="仿宋" w:eastAsia="仿宋" w:cs="仿宋"/>
          <w:sz w:val="28"/>
          <w:szCs w:val="28"/>
          <w:highlight w:val="none"/>
          <w:lang w:val="en-US" w:eastAsia="zh-CN"/>
        </w:rPr>
        <w:t>300万元设立，法定代表人为谢宏辉</w:t>
      </w:r>
      <w:r>
        <w:rPr>
          <w:rFonts w:hint="eastAsia" w:ascii="仿宋" w:hAnsi="仿宋" w:eastAsia="仿宋" w:cs="仿宋"/>
          <w:sz w:val="28"/>
          <w:szCs w:val="28"/>
          <w:highlight w:val="none"/>
        </w:rPr>
        <w:t>，工商登记住所地：江西省宜春市丰城市龙光大道601号，公司经营范围：室内外装饰设计及施工、园林绿化工程、市政道路照明工程、防水防潮工程、玻璃幕墙工程、土石方工程、消防工程施工；建筑材料、钢材、装饰材料、金属制品、铝塑门窗、电线电缆、化工产品（不含危险化学品）、电子产品、日用品、工艺品（象牙及其制品除外）销售(依法须经批准的项目,经相关部门批准后方可开展经营活动)</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2020年10月12日，合天下公司股东由</w:t>
      </w:r>
      <w:r>
        <w:rPr>
          <w:rFonts w:hint="eastAsia" w:ascii="仿宋" w:hAnsi="仿宋" w:eastAsia="仿宋" w:cs="仿宋"/>
          <w:sz w:val="28"/>
          <w:szCs w:val="28"/>
          <w:highlight w:val="none"/>
          <w:lang w:eastAsia="zh-CN"/>
        </w:rPr>
        <w:t>刘金龙、谢宏辉、谢鹏真</w:t>
      </w:r>
      <w:r>
        <w:rPr>
          <w:rFonts w:hint="eastAsia" w:ascii="仿宋" w:hAnsi="仿宋" w:eastAsia="仿宋" w:cs="仿宋"/>
          <w:sz w:val="28"/>
          <w:szCs w:val="28"/>
          <w:highlight w:val="none"/>
          <w:lang w:val="en-US" w:eastAsia="zh-CN"/>
        </w:rPr>
        <w:t>变更登记为宜春市合天下装饰设计工程有限公司，当日，合天下公司法定代表人由谢宏辉变更为刘金龙；2020年12月16日，合天下公司进行减资，由认缴资本300万元减为30万元，并在报纸上刊登了减资公告。2021年10月27日，合天下公司股东由宜春市合天下装饰设计工程有限公司变更为股东</w:t>
      </w:r>
      <w:r>
        <w:rPr>
          <w:rFonts w:hint="eastAsia" w:ascii="仿宋" w:hAnsi="仿宋" w:eastAsia="仿宋" w:cs="仿宋"/>
          <w:sz w:val="28"/>
          <w:szCs w:val="28"/>
          <w:highlight w:val="none"/>
        </w:rPr>
        <w:t>谢勇平、江秋冬</w:t>
      </w:r>
      <w:r>
        <w:rPr>
          <w:rFonts w:hint="eastAsia" w:ascii="仿宋" w:hAnsi="仿宋" w:eastAsia="仿宋" w:cs="仿宋"/>
          <w:sz w:val="28"/>
          <w:szCs w:val="28"/>
          <w:highlight w:val="none"/>
          <w:lang w:eastAsia="zh-CN"/>
        </w:rPr>
        <w:t>，当日合天下</w:t>
      </w:r>
      <w:r>
        <w:rPr>
          <w:rFonts w:hint="eastAsia" w:ascii="仿宋" w:hAnsi="仿宋" w:eastAsia="仿宋" w:cs="仿宋"/>
          <w:sz w:val="28"/>
          <w:szCs w:val="28"/>
          <w:highlight w:val="none"/>
        </w:rPr>
        <w:t>法定代表人</w:t>
      </w:r>
      <w:r>
        <w:rPr>
          <w:rFonts w:hint="eastAsia" w:ascii="仿宋" w:hAnsi="仿宋" w:eastAsia="仿宋" w:cs="仿宋"/>
          <w:sz w:val="28"/>
          <w:szCs w:val="28"/>
          <w:highlight w:val="none"/>
          <w:lang w:eastAsia="zh-CN"/>
        </w:rPr>
        <w:t>由刘金龙变更</w:t>
      </w:r>
      <w:r>
        <w:rPr>
          <w:rFonts w:hint="eastAsia" w:ascii="仿宋" w:hAnsi="仿宋" w:eastAsia="仿宋" w:cs="仿宋"/>
          <w:sz w:val="28"/>
          <w:szCs w:val="28"/>
          <w:highlight w:val="none"/>
        </w:rPr>
        <w:t>为谢勇平。</w:t>
      </w:r>
    </w:p>
    <w:p>
      <w:pPr>
        <w:pStyle w:val="2"/>
        <w:keepNext w:val="0"/>
        <w:keepLines w:val="0"/>
        <w:pageBreakBefore w:val="0"/>
        <w:kinsoku/>
        <w:wordWrap/>
        <w:overflowPunct/>
        <w:topLinePunct w:val="0"/>
        <w:autoSpaceDE/>
        <w:autoSpaceDN/>
        <w:bidi w:val="0"/>
        <w:spacing w:line="520" w:lineRule="exact"/>
        <w:ind w:firstLine="552"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另查明，债务人的经营场所系租赁商铺，该租赁合同已解除，故债务人现无经营场所。</w:t>
      </w:r>
    </w:p>
    <w:p>
      <w:pPr>
        <w:pStyle w:val="2"/>
        <w:keepNext w:val="0"/>
        <w:keepLines w:val="0"/>
        <w:pageBreakBefore w:val="0"/>
        <w:kinsoku/>
        <w:wordWrap/>
        <w:overflowPunct/>
        <w:topLinePunct w:val="0"/>
        <w:autoSpaceDE/>
        <w:autoSpaceDN/>
        <w:bidi w:val="0"/>
        <w:spacing w:line="520" w:lineRule="exact"/>
        <w:ind w:firstLine="552" w:firstLineChars="200"/>
        <w:textAlignment w:val="auto"/>
        <w:rPr>
          <w:rFonts w:hint="eastAsia" w:ascii="仿宋" w:hAnsi="仿宋" w:eastAsia="仿宋" w:cs="仿宋"/>
          <w:color w:val="auto"/>
          <w:sz w:val="28"/>
          <w:szCs w:val="28"/>
          <w:highlight w:val="none"/>
        </w:rPr>
      </w:pPr>
      <w:r>
        <w:rPr>
          <w:rFonts w:hint="eastAsia" w:ascii="仿宋" w:hAnsi="仿宋" w:eastAsia="仿宋" w:cs="仿宋"/>
          <w:sz w:val="28"/>
          <w:szCs w:val="28"/>
          <w:highlight w:val="none"/>
          <w:lang w:val="en-US" w:eastAsia="zh-CN"/>
        </w:rPr>
        <w:t>管理人预想向债务人法定代表人谢勇平送达接管告知书以完成接管工作，但根据线上企业查询平台以及丰城市人民法院提供的执行案件管理信息表上记载的联系方式无法联系到债务人法人，且债务人股东无联系方式，无法联系，所寄邮件也因无法送达而退回，由此接管事宜无从开展，也无法对债务人法人进行调查询问。据此，管理人未能接管到债务人公章、财产、财务账簿资料及其他任何材料</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无法</w:t>
      </w:r>
      <w:r>
        <w:rPr>
          <w:rFonts w:hint="eastAsia" w:ascii="仿宋" w:hAnsi="仿宋" w:eastAsia="仿宋" w:cs="仿宋"/>
          <w:color w:val="auto"/>
          <w:sz w:val="28"/>
          <w:szCs w:val="28"/>
          <w:highlight w:val="none"/>
          <w:lang w:val="en-US" w:eastAsia="zh-CN"/>
        </w:rPr>
        <w:t>核实</w:t>
      </w:r>
      <w:r>
        <w:rPr>
          <w:rFonts w:hint="eastAsia" w:ascii="仿宋" w:hAnsi="仿宋" w:eastAsia="仿宋" w:cs="仿宋"/>
          <w:color w:val="auto"/>
          <w:sz w:val="28"/>
          <w:szCs w:val="28"/>
          <w:highlight w:val="none"/>
        </w:rPr>
        <w:t>债务人</w:t>
      </w:r>
      <w:r>
        <w:rPr>
          <w:rFonts w:hint="eastAsia" w:ascii="仿宋" w:hAnsi="仿宋" w:eastAsia="仿宋" w:cs="仿宋"/>
          <w:color w:val="auto"/>
          <w:sz w:val="28"/>
          <w:szCs w:val="28"/>
          <w:highlight w:val="none"/>
          <w:lang w:val="en-US" w:eastAsia="zh-CN"/>
        </w:rPr>
        <w:t>股东出资及</w:t>
      </w:r>
      <w:r>
        <w:rPr>
          <w:rFonts w:hint="eastAsia" w:ascii="仿宋" w:hAnsi="仿宋" w:eastAsia="仿宋" w:cs="仿宋"/>
          <w:color w:val="auto"/>
          <w:sz w:val="28"/>
          <w:szCs w:val="28"/>
          <w:highlight w:val="none"/>
        </w:rPr>
        <w:t>经营情况。</w:t>
      </w:r>
    </w:p>
    <w:p>
      <w:pPr>
        <w:keepNext w:val="0"/>
        <w:keepLines w:val="0"/>
        <w:pageBreakBefore w:val="0"/>
        <w:widowControl/>
        <w:kinsoku/>
        <w:wordWrap/>
        <w:overflowPunct/>
        <w:topLinePunct w:val="0"/>
        <w:autoSpaceDE/>
        <w:autoSpaceDN/>
        <w:bidi w:val="0"/>
        <w:adjustRightInd w:val="0"/>
        <w:snapToGrid w:val="0"/>
        <w:spacing w:line="520" w:lineRule="exact"/>
        <w:ind w:firstLine="552" w:firstLineChars="200"/>
        <w:jc w:val="left"/>
        <w:textAlignment w:val="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（二）组建团队、建章立制、刻制印章</w:t>
      </w:r>
    </w:p>
    <w:p>
      <w:pPr>
        <w:keepNext w:val="0"/>
        <w:keepLines w:val="0"/>
        <w:pageBreakBefore w:val="0"/>
        <w:widowControl/>
        <w:kinsoku/>
        <w:wordWrap/>
        <w:overflowPunct/>
        <w:topLinePunct w:val="0"/>
        <w:autoSpaceDE/>
        <w:autoSpaceDN/>
        <w:bidi w:val="0"/>
        <w:adjustRightInd w:val="0"/>
        <w:snapToGrid w:val="0"/>
        <w:spacing w:line="520" w:lineRule="exact"/>
        <w:ind w:firstLine="552" w:firstLineChars="200"/>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为有组织开展工作，管理人内设综合组、债权组、诉讼组等工作团队，制定破产工作实施方案和内部管理制度，各组按工作方案分工明确、密切协作、互相配合，形成合力有力推进破产工作。</w:t>
      </w:r>
    </w:p>
    <w:p>
      <w:pPr>
        <w:keepNext w:val="0"/>
        <w:keepLines w:val="0"/>
        <w:pageBreakBefore w:val="0"/>
        <w:widowControl/>
        <w:kinsoku/>
        <w:wordWrap/>
        <w:overflowPunct/>
        <w:topLinePunct w:val="0"/>
        <w:autoSpaceDE/>
        <w:autoSpaceDN/>
        <w:bidi w:val="0"/>
        <w:adjustRightInd w:val="0"/>
        <w:snapToGrid w:val="0"/>
        <w:spacing w:line="520" w:lineRule="exact"/>
        <w:ind w:firstLine="552" w:firstLineChars="200"/>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2022年</w:t>
      </w:r>
      <w:r>
        <w:rPr>
          <w:rFonts w:hint="eastAsia" w:ascii="仿宋" w:hAnsi="仿宋" w:eastAsia="仿宋" w:cs="仿宋"/>
          <w:color w:val="auto"/>
          <w:sz w:val="28"/>
          <w:szCs w:val="28"/>
          <w:highlight w:val="none"/>
          <w:lang w:val="en-US" w:eastAsia="zh-CN"/>
        </w:rPr>
        <w:t>10</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11</w:t>
      </w:r>
      <w:r>
        <w:rPr>
          <w:rFonts w:hint="eastAsia" w:ascii="仿宋" w:hAnsi="仿宋" w:eastAsia="仿宋" w:cs="仿宋"/>
          <w:color w:val="auto"/>
          <w:sz w:val="28"/>
          <w:szCs w:val="28"/>
          <w:highlight w:val="none"/>
        </w:rPr>
        <w:t>日，管理人依法刻制“</w:t>
      </w:r>
      <w:r>
        <w:rPr>
          <w:rFonts w:hint="eastAsia" w:ascii="仿宋" w:hAnsi="仿宋" w:eastAsia="仿宋" w:cs="仿宋"/>
          <w:sz w:val="28"/>
          <w:szCs w:val="28"/>
          <w:highlight w:val="none"/>
          <w:lang w:val="en-US" w:eastAsia="zh-CN"/>
        </w:rPr>
        <w:t>丰城市合天下装饰设计工程有限公司管理人</w:t>
      </w:r>
      <w:r>
        <w:rPr>
          <w:rFonts w:hint="eastAsia" w:ascii="仿宋" w:hAnsi="仿宋" w:eastAsia="仿宋" w:cs="仿宋"/>
          <w:color w:val="auto"/>
          <w:sz w:val="28"/>
          <w:szCs w:val="28"/>
          <w:highlight w:val="none"/>
        </w:rPr>
        <w:t>”印章并报丰城市法院备案后启用。</w:t>
      </w:r>
    </w:p>
    <w:p>
      <w:pPr>
        <w:keepNext w:val="0"/>
        <w:keepLines w:val="0"/>
        <w:pageBreakBefore w:val="0"/>
        <w:widowControl/>
        <w:kinsoku/>
        <w:wordWrap/>
        <w:overflowPunct/>
        <w:topLinePunct w:val="0"/>
        <w:autoSpaceDE/>
        <w:autoSpaceDN/>
        <w:bidi w:val="0"/>
        <w:adjustRightInd w:val="0"/>
        <w:snapToGrid w:val="0"/>
        <w:spacing w:line="520" w:lineRule="exact"/>
        <w:ind w:firstLine="552" w:firstLineChars="200"/>
        <w:jc w:val="left"/>
        <w:textAlignment w:val="auto"/>
        <w:rPr>
          <w:rFonts w:hint="eastAsia" w:ascii="仿宋" w:hAnsi="仿宋" w:eastAsia="仿宋" w:cs="仿宋"/>
          <w:b/>
          <w:bCs/>
          <w:color w:val="auto"/>
          <w:sz w:val="28"/>
          <w:szCs w:val="28"/>
          <w:highlight w:val="none"/>
          <w:shd w:val="clear" w:color="auto" w:fill="auto"/>
          <w:lang w:val="en-US" w:eastAsia="zh-CN"/>
        </w:rPr>
      </w:pPr>
      <w:r>
        <w:rPr>
          <w:rFonts w:hint="eastAsia" w:ascii="仿宋" w:hAnsi="仿宋" w:eastAsia="仿宋" w:cs="仿宋"/>
          <w:b/>
          <w:bCs/>
          <w:color w:val="auto"/>
          <w:sz w:val="28"/>
          <w:szCs w:val="28"/>
          <w:highlight w:val="none"/>
          <w:shd w:val="clear" w:color="auto" w:fill="auto"/>
        </w:rPr>
        <w:t>（三）债务人</w:t>
      </w:r>
      <w:r>
        <w:rPr>
          <w:rFonts w:hint="eastAsia" w:ascii="仿宋" w:hAnsi="仿宋" w:eastAsia="仿宋" w:cs="仿宋"/>
          <w:b/>
          <w:bCs/>
          <w:color w:val="auto"/>
          <w:sz w:val="28"/>
          <w:szCs w:val="28"/>
          <w:highlight w:val="none"/>
          <w:shd w:val="clear" w:color="auto" w:fill="auto"/>
          <w:lang w:val="en-US" w:eastAsia="zh-CN"/>
        </w:rPr>
        <w:t>证照、公章及财务资料的接管</w:t>
      </w:r>
    </w:p>
    <w:p>
      <w:pPr>
        <w:pStyle w:val="2"/>
        <w:keepNext w:val="0"/>
        <w:keepLines w:val="0"/>
        <w:pageBreakBefore w:val="0"/>
        <w:kinsoku/>
        <w:wordWrap/>
        <w:overflowPunct/>
        <w:topLinePunct w:val="0"/>
        <w:autoSpaceDE/>
        <w:autoSpaceDN/>
        <w:bidi w:val="0"/>
        <w:spacing w:line="520" w:lineRule="exact"/>
        <w:ind w:firstLine="552" w:firstLineChars="200"/>
        <w:textAlignment w:val="auto"/>
        <w:rPr>
          <w:rFonts w:hint="eastAsia" w:ascii="仿宋" w:hAnsi="仿宋" w:eastAsia="仿宋" w:cs="仿宋"/>
          <w:color w:val="auto"/>
          <w:sz w:val="28"/>
          <w:szCs w:val="28"/>
          <w:highlight w:val="none"/>
          <w:shd w:val="clear" w:color="auto" w:fill="auto"/>
        </w:rPr>
      </w:pPr>
      <w:r>
        <w:rPr>
          <w:rFonts w:hint="eastAsia" w:ascii="仿宋" w:hAnsi="仿宋" w:eastAsia="仿宋" w:cs="仿宋"/>
          <w:color w:val="auto"/>
          <w:sz w:val="28"/>
          <w:szCs w:val="28"/>
          <w:highlight w:val="none"/>
          <w:shd w:val="clear" w:color="auto" w:fill="auto"/>
          <w:lang w:val="en-US" w:eastAsia="zh-CN"/>
        </w:rPr>
        <w:t>因无法联系到公司法人及内部工作人员，因此无法</w:t>
      </w:r>
      <w:r>
        <w:rPr>
          <w:rFonts w:hint="eastAsia" w:ascii="仿宋" w:hAnsi="仿宋" w:eastAsia="仿宋" w:cs="仿宋"/>
          <w:color w:val="auto"/>
          <w:sz w:val="28"/>
          <w:szCs w:val="28"/>
          <w:highlight w:val="none"/>
          <w:shd w:val="clear" w:color="auto" w:fill="auto"/>
        </w:rPr>
        <w:t>接管到</w:t>
      </w:r>
      <w:r>
        <w:rPr>
          <w:rFonts w:hint="eastAsia" w:ascii="仿宋" w:hAnsi="仿宋" w:eastAsia="仿宋" w:cs="仿宋"/>
          <w:color w:val="auto"/>
          <w:sz w:val="28"/>
          <w:szCs w:val="28"/>
          <w:highlight w:val="none"/>
          <w:shd w:val="clear" w:color="auto" w:fill="auto"/>
          <w:lang w:val="en-US" w:eastAsia="zh-CN"/>
        </w:rPr>
        <w:t>合天下</w:t>
      </w:r>
      <w:r>
        <w:rPr>
          <w:rFonts w:hint="eastAsia" w:ascii="仿宋" w:hAnsi="仿宋" w:eastAsia="仿宋" w:cs="仿宋"/>
          <w:color w:val="auto"/>
          <w:sz w:val="28"/>
          <w:szCs w:val="28"/>
          <w:highlight w:val="none"/>
          <w:shd w:val="clear" w:color="auto" w:fill="auto"/>
        </w:rPr>
        <w:t>公司会计凭证、账簿、报表和重要合同文书等资料。管理人</w:t>
      </w:r>
      <w:r>
        <w:rPr>
          <w:rFonts w:hint="eastAsia" w:ascii="仿宋" w:hAnsi="仿宋" w:eastAsia="仿宋" w:cs="仿宋"/>
          <w:color w:val="auto"/>
          <w:sz w:val="28"/>
          <w:szCs w:val="28"/>
          <w:highlight w:val="none"/>
          <w:shd w:val="clear" w:color="auto" w:fill="auto"/>
          <w:lang w:val="en-US" w:eastAsia="zh-CN"/>
        </w:rPr>
        <w:t>已</w:t>
      </w:r>
      <w:r>
        <w:rPr>
          <w:rFonts w:hint="eastAsia" w:ascii="仿宋" w:hAnsi="仿宋" w:eastAsia="仿宋" w:cs="仿宋"/>
          <w:color w:val="auto"/>
          <w:sz w:val="28"/>
          <w:szCs w:val="28"/>
          <w:highlight w:val="none"/>
          <w:shd w:val="clear" w:color="auto" w:fill="auto"/>
        </w:rPr>
        <w:t>于全国企业破产重整案件信息网发布公告，</w:t>
      </w:r>
      <w:r>
        <w:rPr>
          <w:rFonts w:hint="eastAsia" w:ascii="仿宋" w:hAnsi="仿宋" w:eastAsia="仿宋" w:cs="仿宋"/>
          <w:color w:val="auto"/>
          <w:sz w:val="28"/>
          <w:szCs w:val="28"/>
          <w:highlight w:val="none"/>
          <w:shd w:val="clear" w:color="auto" w:fill="auto"/>
          <w:lang w:eastAsia="zh-CN"/>
        </w:rPr>
        <w:t>也在债务人住所地张贴了公告，</w:t>
      </w:r>
      <w:r>
        <w:rPr>
          <w:rFonts w:hint="eastAsia" w:ascii="仿宋" w:hAnsi="仿宋" w:eastAsia="仿宋" w:cs="仿宋"/>
          <w:color w:val="auto"/>
          <w:sz w:val="28"/>
          <w:szCs w:val="28"/>
          <w:highlight w:val="none"/>
          <w:shd w:val="clear" w:color="auto" w:fill="auto"/>
        </w:rPr>
        <w:t>告知债务人法定代表人</w:t>
      </w:r>
      <w:r>
        <w:rPr>
          <w:rFonts w:hint="eastAsia" w:ascii="仿宋" w:hAnsi="仿宋" w:eastAsia="仿宋" w:cs="仿宋"/>
          <w:color w:val="auto"/>
          <w:sz w:val="28"/>
          <w:szCs w:val="28"/>
          <w:highlight w:val="none"/>
          <w:shd w:val="clear" w:color="auto" w:fill="auto"/>
          <w:lang w:eastAsia="zh-CN"/>
        </w:rPr>
        <w:t>谢勇平</w:t>
      </w:r>
      <w:r>
        <w:rPr>
          <w:rFonts w:hint="eastAsia" w:ascii="仿宋" w:hAnsi="仿宋" w:eastAsia="仿宋" w:cs="仿宋"/>
          <w:color w:val="auto"/>
          <w:sz w:val="28"/>
          <w:szCs w:val="28"/>
          <w:highlight w:val="none"/>
          <w:shd w:val="clear" w:color="auto" w:fill="auto"/>
        </w:rPr>
        <w:t>向管理人移交企业公章、财务资料等材料。</w:t>
      </w:r>
    </w:p>
    <w:p>
      <w:pPr>
        <w:keepNext w:val="0"/>
        <w:keepLines w:val="0"/>
        <w:pageBreakBefore w:val="0"/>
        <w:widowControl/>
        <w:kinsoku/>
        <w:wordWrap/>
        <w:overflowPunct/>
        <w:topLinePunct w:val="0"/>
        <w:autoSpaceDE/>
        <w:autoSpaceDN/>
        <w:bidi w:val="0"/>
        <w:adjustRightInd w:val="0"/>
        <w:snapToGrid w:val="0"/>
        <w:spacing w:line="520" w:lineRule="exact"/>
        <w:ind w:firstLine="552" w:firstLineChars="200"/>
        <w:jc w:val="left"/>
        <w:textAlignment w:val="auto"/>
        <w:rPr>
          <w:rFonts w:hint="eastAsia" w:ascii="仿宋" w:hAnsi="仿宋" w:eastAsia="仿宋" w:cs="仿宋"/>
          <w:b/>
          <w:bCs/>
          <w:color w:val="auto"/>
          <w:spacing w:val="-6"/>
          <w:sz w:val="28"/>
          <w:szCs w:val="28"/>
          <w:highlight w:val="none"/>
        </w:rPr>
      </w:pPr>
      <w:r>
        <w:rPr>
          <w:rFonts w:hint="eastAsia" w:ascii="仿宋" w:hAnsi="仿宋" w:eastAsia="仿宋" w:cs="仿宋"/>
          <w:b/>
          <w:bCs/>
          <w:color w:val="auto"/>
          <w:sz w:val="28"/>
          <w:szCs w:val="28"/>
          <w:highlight w:val="none"/>
        </w:rPr>
        <w:t>（四）</w:t>
      </w:r>
      <w:r>
        <w:rPr>
          <w:rFonts w:hint="eastAsia" w:ascii="仿宋" w:hAnsi="仿宋" w:eastAsia="仿宋" w:cs="仿宋"/>
          <w:b/>
          <w:bCs/>
          <w:color w:val="auto"/>
          <w:spacing w:val="-6"/>
          <w:sz w:val="28"/>
          <w:szCs w:val="28"/>
          <w:highlight w:val="none"/>
        </w:rPr>
        <w:t>调查企业财产状况和对外投资</w:t>
      </w:r>
    </w:p>
    <w:p>
      <w:pPr>
        <w:keepNext w:val="0"/>
        <w:keepLines w:val="0"/>
        <w:pageBreakBefore w:val="0"/>
        <w:kinsoku/>
        <w:wordWrap/>
        <w:overflowPunct/>
        <w:topLinePunct w:val="0"/>
        <w:autoSpaceDE/>
        <w:autoSpaceDN/>
        <w:bidi w:val="0"/>
        <w:spacing w:line="520" w:lineRule="exact"/>
        <w:ind w:firstLine="552" w:firstLineChars="200"/>
        <w:textAlignment w:val="auto"/>
        <w:rPr>
          <w:rFonts w:hint="eastAsia" w:ascii="仿宋" w:hAnsi="仿宋" w:eastAsia="仿宋" w:cs="仿宋"/>
          <w:b w:val="0"/>
          <w:bCs w:val="0"/>
          <w:color w:val="auto"/>
          <w:sz w:val="28"/>
          <w:szCs w:val="28"/>
          <w:highlight w:val="none"/>
        </w:rPr>
      </w:pPr>
      <w:r>
        <w:rPr>
          <w:rFonts w:hint="eastAsia" w:ascii="仿宋" w:hAnsi="仿宋" w:eastAsia="仿宋" w:cs="仿宋"/>
          <w:b w:val="0"/>
          <w:bCs w:val="0"/>
          <w:color w:val="auto"/>
          <w:sz w:val="28"/>
          <w:szCs w:val="28"/>
          <w:highlight w:val="none"/>
        </w:rPr>
        <w:t>根据</w:t>
      </w:r>
      <w:r>
        <w:rPr>
          <w:rFonts w:hint="eastAsia" w:ascii="仿宋" w:hAnsi="仿宋" w:eastAsia="仿宋" w:cs="仿宋"/>
          <w:b w:val="0"/>
          <w:bCs w:val="0"/>
          <w:color w:val="auto"/>
          <w:sz w:val="28"/>
          <w:szCs w:val="28"/>
          <w:highlight w:val="none"/>
          <w:lang w:val="en-US" w:eastAsia="zh-CN"/>
        </w:rPr>
        <w:t>丰城市</w:t>
      </w:r>
      <w:r>
        <w:rPr>
          <w:rFonts w:hint="eastAsia" w:ascii="仿宋" w:hAnsi="仿宋" w:eastAsia="仿宋" w:cs="仿宋"/>
          <w:b w:val="0"/>
          <w:bCs w:val="0"/>
          <w:color w:val="auto"/>
          <w:sz w:val="28"/>
          <w:szCs w:val="28"/>
          <w:highlight w:val="none"/>
        </w:rPr>
        <w:t>人民法院的执行情况查明，</w:t>
      </w:r>
      <w:r>
        <w:rPr>
          <w:rFonts w:hint="eastAsia" w:ascii="仿宋" w:hAnsi="仿宋" w:eastAsia="仿宋" w:cs="仿宋"/>
          <w:b w:val="0"/>
          <w:bCs w:val="0"/>
          <w:color w:val="auto"/>
          <w:sz w:val="28"/>
          <w:szCs w:val="28"/>
          <w:highlight w:val="none"/>
          <w:lang w:eastAsia="zh-CN"/>
        </w:rPr>
        <w:t>以及管理人向银行、不动产登记部门、车管所、市场监督管理局等机构查询，</w:t>
      </w:r>
      <w:r>
        <w:rPr>
          <w:rFonts w:hint="eastAsia" w:ascii="仿宋" w:hAnsi="仿宋" w:eastAsia="仿宋" w:cs="仿宋"/>
          <w:b w:val="0"/>
          <w:bCs w:val="0"/>
          <w:color w:val="auto"/>
          <w:sz w:val="28"/>
          <w:szCs w:val="28"/>
          <w:highlight w:val="none"/>
        </w:rPr>
        <w:t>债务人无银行存款、无不动产登记信息、无车辆信息、无公积金信息、无金融理财产品、无市场证券。</w:t>
      </w:r>
    </w:p>
    <w:p>
      <w:pPr>
        <w:keepNext w:val="0"/>
        <w:keepLines w:val="0"/>
        <w:pageBreakBefore w:val="0"/>
        <w:widowControl/>
        <w:kinsoku/>
        <w:wordWrap/>
        <w:overflowPunct/>
        <w:topLinePunct w:val="0"/>
        <w:autoSpaceDE/>
        <w:autoSpaceDN/>
        <w:bidi w:val="0"/>
        <w:adjustRightInd w:val="0"/>
        <w:snapToGrid w:val="0"/>
        <w:spacing w:line="520" w:lineRule="exact"/>
        <w:ind w:firstLine="552" w:firstLineChars="200"/>
        <w:jc w:val="left"/>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同时，因无法跟债务人股东及法人核实，又未接管到任何财务账簿，仅能确定合天下原股东谢宏辉已缴纳了31.5万元租金，可视为已向合天下公司出资30万元，对于公司是否有其他财产，如前所述，管理人未查询到。</w:t>
      </w:r>
    </w:p>
    <w:p>
      <w:pPr>
        <w:keepNext w:val="0"/>
        <w:keepLines w:val="0"/>
        <w:pageBreakBefore w:val="0"/>
        <w:kinsoku/>
        <w:wordWrap/>
        <w:overflowPunct/>
        <w:topLinePunct w:val="0"/>
        <w:autoSpaceDE/>
        <w:autoSpaceDN/>
        <w:bidi w:val="0"/>
        <w:spacing w:line="520" w:lineRule="exact"/>
        <w:ind w:firstLine="55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（五）受理登记申报债权并审查申报债权</w:t>
      </w:r>
    </w:p>
    <w:p>
      <w:pPr>
        <w:keepNext w:val="0"/>
        <w:keepLines w:val="0"/>
        <w:pageBreakBefore w:val="0"/>
        <w:widowControl/>
        <w:kinsoku/>
        <w:wordWrap/>
        <w:overflowPunct/>
        <w:topLinePunct w:val="0"/>
        <w:autoSpaceDE/>
        <w:autoSpaceDN/>
        <w:bidi w:val="0"/>
        <w:adjustRightInd w:val="0"/>
        <w:snapToGrid w:val="0"/>
        <w:spacing w:line="520" w:lineRule="exact"/>
        <w:ind w:firstLine="552" w:firstLineChars="200"/>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1.通知已知债权人申报债权</w:t>
      </w:r>
    </w:p>
    <w:p>
      <w:pPr>
        <w:keepNext w:val="0"/>
        <w:keepLines w:val="0"/>
        <w:pageBreakBefore w:val="0"/>
        <w:widowControl/>
        <w:kinsoku/>
        <w:wordWrap/>
        <w:overflowPunct/>
        <w:topLinePunct w:val="0"/>
        <w:autoSpaceDE/>
        <w:autoSpaceDN/>
        <w:bidi w:val="0"/>
        <w:adjustRightInd w:val="0"/>
        <w:snapToGrid w:val="0"/>
        <w:spacing w:line="520" w:lineRule="exact"/>
        <w:ind w:firstLine="552" w:firstLineChars="200"/>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管理人</w:t>
      </w:r>
      <w:r>
        <w:rPr>
          <w:rFonts w:hint="eastAsia" w:ascii="仿宋" w:hAnsi="仿宋" w:eastAsia="仿宋" w:cs="仿宋"/>
          <w:color w:val="auto"/>
          <w:sz w:val="28"/>
          <w:szCs w:val="28"/>
          <w:highlight w:val="none"/>
        </w:rPr>
        <w:t>在全国企业破产重整案件信息网上刊登了破产受理公告</w:t>
      </w:r>
      <w:r>
        <w:rPr>
          <w:rFonts w:hint="eastAsia" w:ascii="仿宋" w:hAnsi="仿宋" w:eastAsia="仿宋" w:cs="仿宋"/>
          <w:color w:val="auto"/>
          <w:sz w:val="28"/>
          <w:szCs w:val="28"/>
          <w:highlight w:val="none"/>
          <w:lang w:val="en-US" w:eastAsia="zh-CN"/>
        </w:rPr>
        <w:t>并</w:t>
      </w:r>
      <w:r>
        <w:rPr>
          <w:rFonts w:hint="eastAsia" w:ascii="仿宋" w:hAnsi="仿宋" w:eastAsia="仿宋" w:cs="仿宋"/>
          <w:color w:val="auto"/>
          <w:sz w:val="28"/>
          <w:szCs w:val="28"/>
          <w:highlight w:val="none"/>
        </w:rPr>
        <w:t>通知</w:t>
      </w:r>
      <w:r>
        <w:rPr>
          <w:rFonts w:hint="eastAsia" w:ascii="仿宋" w:hAnsi="仿宋" w:eastAsia="仿宋" w:cs="仿宋"/>
          <w:color w:val="auto"/>
          <w:sz w:val="28"/>
          <w:szCs w:val="28"/>
          <w:highlight w:val="none"/>
          <w:lang w:val="en-US" w:eastAsia="zh-CN"/>
        </w:rPr>
        <w:t>已知</w:t>
      </w:r>
      <w:r>
        <w:rPr>
          <w:rFonts w:hint="eastAsia" w:ascii="仿宋" w:hAnsi="仿宋" w:eastAsia="仿宋" w:cs="仿宋"/>
          <w:color w:val="auto"/>
          <w:sz w:val="28"/>
          <w:szCs w:val="28"/>
          <w:highlight w:val="none"/>
        </w:rPr>
        <w:t>债权人申报债权。</w:t>
      </w:r>
    </w:p>
    <w:p>
      <w:pPr>
        <w:keepNext w:val="0"/>
        <w:keepLines w:val="0"/>
        <w:pageBreakBefore w:val="0"/>
        <w:widowControl/>
        <w:kinsoku/>
        <w:wordWrap/>
        <w:overflowPunct/>
        <w:topLinePunct w:val="0"/>
        <w:autoSpaceDE/>
        <w:autoSpaceDN/>
        <w:bidi w:val="0"/>
        <w:adjustRightInd w:val="0"/>
        <w:snapToGrid w:val="0"/>
        <w:spacing w:line="520" w:lineRule="exact"/>
        <w:ind w:firstLine="552" w:firstLineChars="200"/>
        <w:jc w:val="left"/>
        <w:textAlignment w:val="auto"/>
        <w:rPr>
          <w:rFonts w:hint="eastAsia" w:ascii="仿宋" w:hAnsi="仿宋" w:eastAsia="仿宋" w:cs="仿宋"/>
          <w:b/>
          <w:bCs/>
          <w:color w:val="auto"/>
          <w:sz w:val="28"/>
          <w:szCs w:val="28"/>
          <w:highlight w:val="none"/>
        </w:rPr>
      </w:pPr>
      <w:r>
        <w:rPr>
          <w:rFonts w:hint="eastAsia" w:ascii="仿宋" w:hAnsi="仿宋" w:eastAsia="仿宋" w:cs="仿宋"/>
          <w:color w:val="auto"/>
          <w:sz w:val="28"/>
          <w:szCs w:val="28"/>
          <w:highlight w:val="none"/>
        </w:rPr>
        <w:t>2.受理、登记、审查申报债权并编制债权表</w:t>
      </w:r>
    </w:p>
    <w:p>
      <w:pPr>
        <w:pStyle w:val="2"/>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552" w:firstLineChars="200"/>
        <w:textAlignment w:val="auto"/>
        <w:rPr>
          <w:rFonts w:hint="eastAsia" w:ascii="仿宋" w:hAnsi="仿宋" w:eastAsia="仿宋" w:cs="仿宋"/>
          <w:b/>
          <w:color w:val="auto"/>
          <w:sz w:val="28"/>
          <w:szCs w:val="28"/>
          <w:highlight w:val="none"/>
        </w:rPr>
      </w:pPr>
      <w:r>
        <w:rPr>
          <w:rFonts w:hint="eastAsia" w:ascii="仿宋" w:hAnsi="仿宋" w:eastAsia="仿宋" w:cs="仿宋"/>
          <w:color w:val="auto"/>
          <w:sz w:val="28"/>
          <w:szCs w:val="28"/>
          <w:highlight w:val="none"/>
        </w:rPr>
        <w:t>为便于债权人申报债权，管理人制作了《债权申报表》《债权申报文件清单》《授权委托书》《送达地址确认书》等文书范本提供给申报人使用。管理人安排律师接收债权申报材料，并登记造册。同时对申报人提出的申报疑问给予解答。截止2022年</w:t>
      </w:r>
      <w:r>
        <w:rPr>
          <w:rFonts w:hint="eastAsia" w:ascii="仿宋" w:hAnsi="仿宋" w:eastAsia="仿宋" w:cs="仿宋"/>
          <w:color w:val="auto"/>
          <w:sz w:val="28"/>
          <w:szCs w:val="28"/>
          <w:highlight w:val="none"/>
          <w:lang w:val="en-US" w:eastAsia="zh-CN"/>
        </w:rPr>
        <w:t>10</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18</w:t>
      </w:r>
      <w:r>
        <w:rPr>
          <w:rFonts w:hint="eastAsia" w:ascii="仿宋" w:hAnsi="仿宋" w:eastAsia="仿宋" w:cs="仿宋"/>
          <w:color w:val="auto"/>
          <w:sz w:val="28"/>
          <w:szCs w:val="28"/>
          <w:highlight w:val="none"/>
        </w:rPr>
        <w:t>日，管理人共接收</w:t>
      </w: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家债权人申报的</w:t>
      </w: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笔债权申报，申报金额总计</w:t>
      </w:r>
      <w:r>
        <w:rPr>
          <w:rFonts w:hint="eastAsia" w:ascii="仿宋" w:hAnsi="仿宋" w:eastAsia="仿宋" w:cs="仿宋"/>
          <w:color w:val="auto"/>
          <w:sz w:val="28"/>
          <w:szCs w:val="28"/>
          <w:highlight w:val="none"/>
          <w:lang w:val="en-US" w:eastAsia="zh-CN"/>
        </w:rPr>
        <w:t>10025</w:t>
      </w:r>
      <w:r>
        <w:rPr>
          <w:rFonts w:hint="eastAsia" w:ascii="仿宋" w:hAnsi="仿宋" w:eastAsia="仿宋" w:cs="仿宋"/>
          <w:color w:val="auto"/>
          <w:sz w:val="28"/>
          <w:szCs w:val="28"/>
          <w:highlight w:val="none"/>
        </w:rPr>
        <w:t>元</w:t>
      </w:r>
      <w:r>
        <w:rPr>
          <w:rFonts w:hint="eastAsia" w:ascii="仿宋" w:hAnsi="仿宋" w:eastAsia="仿宋" w:cs="仿宋"/>
          <w:color w:val="auto"/>
          <w:sz w:val="28"/>
          <w:szCs w:val="28"/>
          <w:highlight w:val="none"/>
          <w:lang w:eastAsia="zh-CN"/>
        </w:rPr>
        <w:t>。在</w:t>
      </w:r>
      <w:r>
        <w:rPr>
          <w:rFonts w:hint="eastAsia" w:ascii="仿宋" w:hAnsi="仿宋" w:eastAsia="仿宋" w:cs="仿宋"/>
          <w:color w:val="auto"/>
          <w:sz w:val="28"/>
          <w:szCs w:val="28"/>
          <w:highlight w:val="none"/>
        </w:rPr>
        <w:t>债权</w:t>
      </w:r>
      <w:r>
        <w:rPr>
          <w:rFonts w:hint="eastAsia" w:ascii="仿宋" w:hAnsi="仿宋" w:eastAsia="仿宋" w:cs="仿宋"/>
          <w:color w:val="auto"/>
          <w:sz w:val="28"/>
          <w:szCs w:val="28"/>
          <w:highlight w:val="none"/>
          <w:lang w:eastAsia="zh-CN"/>
        </w:rPr>
        <w:t>申报截止期后，</w:t>
      </w:r>
      <w:r>
        <w:rPr>
          <w:rFonts w:hint="eastAsia" w:ascii="仿宋" w:hAnsi="仿宋" w:eastAsia="仿宋" w:cs="仿宋"/>
          <w:color w:val="auto"/>
          <w:sz w:val="28"/>
          <w:szCs w:val="28"/>
          <w:highlight w:val="none"/>
          <w:lang w:val="en-US" w:eastAsia="zh-CN"/>
        </w:rPr>
        <w:t>2022年10月31日，另一债权人丰城市鸿家建材经销部，经营者赖金荣申报1笔普通债权，申报的债权总额为人民币84264.00元。2022年11月15日，又一债权人丰城市尚优轩家居定制店，经营者朱芳琴申报债权总额为人民币1</w:t>
      </w:r>
      <w:r>
        <w:rPr>
          <w:rFonts w:hint="eastAsia" w:ascii="仿宋" w:hAnsi="仿宋" w:eastAsia="仿宋" w:cs="仿宋"/>
          <w:color w:val="auto"/>
          <w:kern w:val="2"/>
          <w:sz w:val="28"/>
          <w:szCs w:val="28"/>
          <w:highlight w:val="none"/>
          <w:lang w:val="en-US" w:eastAsia="zh-CN" w:bidi="ar-SA"/>
        </w:rPr>
        <w:t>00882元。对</w:t>
      </w:r>
      <w:r>
        <w:rPr>
          <w:rFonts w:hint="eastAsia" w:ascii="仿宋" w:hAnsi="仿宋" w:eastAsia="仿宋" w:cs="仿宋"/>
          <w:color w:val="auto"/>
          <w:sz w:val="28"/>
          <w:szCs w:val="28"/>
          <w:highlight w:val="none"/>
        </w:rPr>
        <w:t>申报债权登记后，管理人审查</w:t>
      </w:r>
      <w:r>
        <w:rPr>
          <w:rFonts w:hint="eastAsia" w:ascii="仿宋" w:hAnsi="仿宋" w:eastAsia="仿宋" w:cs="仿宋"/>
          <w:color w:val="auto"/>
          <w:sz w:val="28"/>
          <w:szCs w:val="28"/>
          <w:highlight w:val="none"/>
          <w:lang w:val="en-US" w:eastAsia="zh-CN"/>
        </w:rPr>
        <w:t>后</w:t>
      </w:r>
      <w:r>
        <w:rPr>
          <w:rFonts w:hint="eastAsia" w:ascii="仿宋" w:hAnsi="仿宋" w:eastAsia="仿宋" w:cs="仿宋"/>
          <w:color w:val="auto"/>
          <w:sz w:val="28"/>
          <w:szCs w:val="28"/>
          <w:highlight w:val="none"/>
        </w:rPr>
        <w:t>编制了债权表。编入债权表的债权</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笔，详见《债权审查报告》和《债权</w:t>
      </w:r>
      <w:r>
        <w:rPr>
          <w:rFonts w:hint="eastAsia" w:ascii="仿宋" w:hAnsi="仿宋" w:eastAsia="仿宋" w:cs="仿宋"/>
          <w:color w:val="auto"/>
          <w:sz w:val="28"/>
          <w:szCs w:val="28"/>
          <w:highlight w:val="none"/>
          <w:lang w:eastAsia="zh-CN"/>
        </w:rPr>
        <w:t>申报登记</w:t>
      </w:r>
      <w:r>
        <w:rPr>
          <w:rFonts w:hint="eastAsia" w:ascii="仿宋" w:hAnsi="仿宋" w:eastAsia="仿宋" w:cs="仿宋"/>
          <w:color w:val="auto"/>
          <w:sz w:val="28"/>
          <w:szCs w:val="28"/>
          <w:highlight w:val="none"/>
        </w:rPr>
        <w:t>表》。</w:t>
      </w:r>
    </w:p>
    <w:p>
      <w:pPr>
        <w:keepNext w:val="0"/>
        <w:keepLines w:val="0"/>
        <w:pageBreakBefore w:val="0"/>
        <w:widowControl/>
        <w:kinsoku/>
        <w:wordWrap/>
        <w:overflowPunct/>
        <w:topLinePunct w:val="0"/>
        <w:autoSpaceDE/>
        <w:autoSpaceDN/>
        <w:bidi w:val="0"/>
        <w:adjustRightInd w:val="0"/>
        <w:snapToGrid w:val="0"/>
        <w:spacing w:line="520" w:lineRule="exact"/>
        <w:ind w:firstLine="552" w:firstLineChars="200"/>
        <w:jc w:val="left"/>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（六）预选审计、评估机构</w:t>
      </w:r>
    </w:p>
    <w:p>
      <w:pPr>
        <w:keepNext w:val="0"/>
        <w:keepLines w:val="0"/>
        <w:pageBreakBefore w:val="0"/>
        <w:widowControl/>
        <w:kinsoku/>
        <w:wordWrap/>
        <w:overflowPunct/>
        <w:topLinePunct w:val="0"/>
        <w:autoSpaceDE/>
        <w:autoSpaceDN/>
        <w:bidi w:val="0"/>
        <w:adjustRightInd w:val="0"/>
        <w:snapToGrid w:val="0"/>
        <w:spacing w:line="520" w:lineRule="exact"/>
        <w:ind w:firstLine="552" w:firstLineChars="200"/>
        <w:jc w:val="left"/>
        <w:textAlignment w:val="auto"/>
        <w:rPr>
          <w:rFonts w:hint="eastAsia" w:ascii="仿宋" w:hAnsi="仿宋" w:eastAsia="仿宋" w:cs="仿宋"/>
          <w:b/>
          <w:bCs/>
          <w:dstrike/>
          <w:color w:val="auto"/>
          <w:spacing w:val="-6"/>
          <w:sz w:val="28"/>
          <w:szCs w:val="28"/>
          <w:highlight w:val="none"/>
        </w:rPr>
      </w:pPr>
      <w:r>
        <w:rPr>
          <w:rFonts w:hint="eastAsia" w:ascii="仿宋" w:hAnsi="仿宋" w:eastAsia="仿宋" w:cs="仿宋"/>
          <w:color w:val="auto"/>
          <w:sz w:val="28"/>
          <w:szCs w:val="28"/>
          <w:highlight w:val="none"/>
        </w:rPr>
        <w:t>管理人接受法院指定后，为顺利完成债务人破产工作，预选一家审计机构和一家评估机构准备参与到债务人破产工作中来，但因未接管到</w:t>
      </w:r>
      <w:r>
        <w:rPr>
          <w:rFonts w:hint="eastAsia" w:ascii="仿宋" w:hAnsi="仿宋" w:eastAsia="仿宋" w:cs="仿宋"/>
          <w:color w:val="auto"/>
          <w:sz w:val="28"/>
          <w:szCs w:val="28"/>
          <w:highlight w:val="none"/>
          <w:lang w:val="en-US" w:eastAsia="zh-CN"/>
        </w:rPr>
        <w:t>合天下</w:t>
      </w:r>
      <w:r>
        <w:rPr>
          <w:rFonts w:hint="eastAsia" w:ascii="仿宋" w:hAnsi="仿宋" w:eastAsia="仿宋" w:cs="仿宋"/>
          <w:color w:val="auto"/>
          <w:sz w:val="28"/>
          <w:szCs w:val="28"/>
          <w:highlight w:val="none"/>
        </w:rPr>
        <w:t>公司财务会计资料和财产，</w:t>
      </w:r>
      <w:r>
        <w:rPr>
          <w:rFonts w:hint="eastAsia" w:ascii="仿宋" w:hAnsi="仿宋" w:eastAsia="仿宋" w:cs="仿宋"/>
          <w:color w:val="auto"/>
          <w:sz w:val="28"/>
          <w:szCs w:val="28"/>
          <w:highlight w:val="none"/>
          <w:lang w:val="en-US" w:eastAsia="zh-CN"/>
        </w:rPr>
        <w:t>无法</w:t>
      </w:r>
      <w:r>
        <w:rPr>
          <w:rFonts w:hint="eastAsia" w:ascii="仿宋" w:hAnsi="仿宋" w:eastAsia="仿宋" w:cs="仿宋"/>
          <w:color w:val="auto"/>
          <w:sz w:val="28"/>
          <w:szCs w:val="28"/>
          <w:highlight w:val="none"/>
        </w:rPr>
        <w:t>开展债务人</w:t>
      </w:r>
      <w:r>
        <w:rPr>
          <w:rFonts w:hint="eastAsia" w:ascii="仿宋" w:hAnsi="仿宋" w:eastAsia="仿宋" w:cs="仿宋"/>
          <w:color w:val="auto"/>
          <w:spacing w:val="-6"/>
          <w:sz w:val="28"/>
          <w:szCs w:val="28"/>
          <w:highlight w:val="none"/>
        </w:rPr>
        <w:t>财务审计和财产评估工作。</w:t>
      </w:r>
    </w:p>
    <w:p>
      <w:pPr>
        <w:keepNext w:val="0"/>
        <w:keepLines w:val="0"/>
        <w:pageBreakBefore w:val="0"/>
        <w:widowControl/>
        <w:kinsoku/>
        <w:wordWrap/>
        <w:overflowPunct/>
        <w:topLinePunct w:val="0"/>
        <w:autoSpaceDE/>
        <w:autoSpaceDN/>
        <w:bidi w:val="0"/>
        <w:adjustRightInd w:val="0"/>
        <w:snapToGrid w:val="0"/>
        <w:spacing w:line="520" w:lineRule="exact"/>
        <w:ind w:firstLine="552" w:firstLineChars="200"/>
        <w:jc w:val="left"/>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（七）调查职工债权和社保债权</w:t>
      </w:r>
    </w:p>
    <w:p>
      <w:pPr>
        <w:keepNext w:val="0"/>
        <w:keepLines w:val="0"/>
        <w:pageBreakBefore w:val="0"/>
        <w:widowControl/>
        <w:kinsoku/>
        <w:wordWrap/>
        <w:overflowPunct/>
        <w:topLinePunct w:val="0"/>
        <w:autoSpaceDE/>
        <w:autoSpaceDN/>
        <w:bidi w:val="0"/>
        <w:adjustRightInd w:val="0"/>
        <w:snapToGrid w:val="0"/>
        <w:spacing w:line="520" w:lineRule="exact"/>
        <w:ind w:firstLine="552" w:firstLineChars="200"/>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管理人向</w:t>
      </w:r>
      <w:r>
        <w:rPr>
          <w:rFonts w:hint="eastAsia" w:ascii="仿宋" w:hAnsi="仿宋" w:eastAsia="仿宋" w:cs="仿宋"/>
          <w:color w:val="auto"/>
          <w:sz w:val="28"/>
          <w:szCs w:val="28"/>
          <w:highlight w:val="none"/>
          <w:lang w:val="en-US" w:eastAsia="zh-CN"/>
        </w:rPr>
        <w:t>丰城市</w:t>
      </w:r>
      <w:r>
        <w:rPr>
          <w:rFonts w:hint="eastAsia" w:ascii="仿宋" w:hAnsi="仿宋" w:eastAsia="仿宋" w:cs="仿宋"/>
          <w:color w:val="auto"/>
          <w:sz w:val="28"/>
          <w:szCs w:val="28"/>
          <w:highlight w:val="none"/>
        </w:rPr>
        <w:t>法院查询</w:t>
      </w:r>
      <w:r>
        <w:rPr>
          <w:rFonts w:hint="eastAsia" w:ascii="仿宋" w:hAnsi="仿宋" w:eastAsia="仿宋" w:cs="仿宋"/>
          <w:color w:val="auto"/>
          <w:sz w:val="28"/>
          <w:szCs w:val="28"/>
          <w:highlight w:val="none"/>
          <w:lang w:val="en-US" w:eastAsia="zh-CN"/>
        </w:rPr>
        <w:t>合天下</w:t>
      </w:r>
      <w:r>
        <w:rPr>
          <w:rFonts w:hint="eastAsia" w:ascii="仿宋" w:hAnsi="仿宋" w:eastAsia="仿宋" w:cs="仿宋"/>
          <w:color w:val="auto"/>
          <w:sz w:val="28"/>
          <w:szCs w:val="28"/>
          <w:highlight w:val="none"/>
        </w:rPr>
        <w:t>公司涉诉案件时，未查询到</w:t>
      </w:r>
      <w:r>
        <w:rPr>
          <w:rFonts w:hint="eastAsia" w:ascii="仿宋" w:hAnsi="仿宋" w:eastAsia="仿宋" w:cs="仿宋"/>
          <w:color w:val="auto"/>
          <w:sz w:val="28"/>
          <w:szCs w:val="28"/>
          <w:highlight w:val="none"/>
          <w:lang w:val="en-US" w:eastAsia="zh-CN"/>
        </w:rPr>
        <w:t>合天下</w:t>
      </w:r>
      <w:r>
        <w:rPr>
          <w:rFonts w:hint="eastAsia" w:ascii="仿宋" w:hAnsi="仿宋" w:eastAsia="仿宋" w:cs="仿宋"/>
          <w:color w:val="auto"/>
          <w:sz w:val="28"/>
          <w:szCs w:val="28"/>
          <w:highlight w:val="none"/>
        </w:rPr>
        <w:t>公司劳动争议案件。</w:t>
      </w:r>
    </w:p>
    <w:p>
      <w:pPr>
        <w:keepNext w:val="0"/>
        <w:keepLines w:val="0"/>
        <w:pageBreakBefore w:val="0"/>
        <w:widowControl/>
        <w:kinsoku/>
        <w:wordWrap/>
        <w:overflowPunct/>
        <w:topLinePunct w:val="0"/>
        <w:autoSpaceDE/>
        <w:autoSpaceDN/>
        <w:bidi w:val="0"/>
        <w:adjustRightInd w:val="0"/>
        <w:snapToGrid w:val="0"/>
        <w:spacing w:line="520" w:lineRule="exact"/>
        <w:ind w:firstLine="552" w:firstLineChars="200"/>
        <w:jc w:val="left"/>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w:t>
      </w:r>
      <w:r>
        <w:rPr>
          <w:rFonts w:hint="eastAsia" w:ascii="仿宋" w:hAnsi="仿宋" w:eastAsia="仿宋" w:cs="仿宋"/>
          <w:b/>
          <w:bCs/>
          <w:color w:val="auto"/>
          <w:sz w:val="28"/>
          <w:szCs w:val="28"/>
          <w:highlight w:val="none"/>
          <w:lang w:val="en-US" w:eastAsia="zh-CN"/>
        </w:rPr>
        <w:t>八</w:t>
      </w:r>
      <w:r>
        <w:rPr>
          <w:rFonts w:hint="eastAsia" w:ascii="仿宋" w:hAnsi="仿宋" w:eastAsia="仿宋" w:cs="仿宋"/>
          <w:b/>
          <w:bCs/>
          <w:color w:val="auto"/>
          <w:sz w:val="28"/>
          <w:szCs w:val="28"/>
          <w:highlight w:val="none"/>
        </w:rPr>
        <w:t>）调查债务人诉讼、仲裁案件情况</w:t>
      </w:r>
    </w:p>
    <w:p>
      <w:pPr>
        <w:keepNext w:val="0"/>
        <w:keepLines w:val="0"/>
        <w:pageBreakBefore w:val="0"/>
        <w:widowControl/>
        <w:kinsoku/>
        <w:wordWrap/>
        <w:overflowPunct/>
        <w:topLinePunct w:val="0"/>
        <w:autoSpaceDE/>
        <w:autoSpaceDN/>
        <w:bidi w:val="0"/>
        <w:adjustRightInd w:val="0"/>
        <w:snapToGrid w:val="0"/>
        <w:spacing w:line="520" w:lineRule="exact"/>
        <w:ind w:firstLine="552" w:firstLineChars="200"/>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管理人通过到丰城市法院查询和裁判文书网查询等方式，查明</w:t>
      </w:r>
      <w:r>
        <w:rPr>
          <w:rFonts w:hint="eastAsia" w:ascii="仿宋" w:hAnsi="仿宋" w:eastAsia="仿宋" w:cs="仿宋"/>
          <w:color w:val="auto"/>
          <w:sz w:val="28"/>
          <w:szCs w:val="28"/>
          <w:highlight w:val="none"/>
          <w:lang w:val="en-US" w:eastAsia="zh-CN"/>
        </w:rPr>
        <w:t>合天下公司</w:t>
      </w:r>
      <w:r>
        <w:rPr>
          <w:rFonts w:hint="eastAsia" w:ascii="仿宋" w:hAnsi="仿宋" w:eastAsia="仿宋" w:cs="仿宋"/>
          <w:color w:val="auto"/>
          <w:sz w:val="28"/>
          <w:szCs w:val="28"/>
          <w:highlight w:val="none"/>
        </w:rPr>
        <w:t>涉及诉讼案件共计</w:t>
      </w:r>
      <w:r>
        <w:rPr>
          <w:rFonts w:hint="eastAsia" w:ascii="仿宋" w:hAnsi="仿宋" w:eastAsia="仿宋" w:cs="仿宋"/>
          <w:color w:val="auto"/>
          <w:sz w:val="28"/>
          <w:szCs w:val="28"/>
          <w:highlight w:val="none"/>
          <w:lang w:val="en-US" w:eastAsia="zh-CN"/>
        </w:rPr>
        <w:t>18</w:t>
      </w:r>
      <w:r>
        <w:rPr>
          <w:rFonts w:hint="eastAsia" w:ascii="仿宋" w:hAnsi="仿宋" w:eastAsia="仿宋" w:cs="仿宋"/>
          <w:color w:val="auto"/>
          <w:sz w:val="28"/>
          <w:szCs w:val="28"/>
          <w:highlight w:val="none"/>
        </w:rPr>
        <w:t>件，其中已</w:t>
      </w:r>
      <w:r>
        <w:rPr>
          <w:rFonts w:hint="eastAsia" w:ascii="仿宋" w:hAnsi="仿宋" w:eastAsia="仿宋" w:cs="仿宋"/>
          <w:color w:val="auto"/>
          <w:sz w:val="28"/>
          <w:szCs w:val="28"/>
          <w:highlight w:val="none"/>
          <w:lang w:eastAsia="zh-CN"/>
        </w:rPr>
        <w:t>知晓</w:t>
      </w:r>
      <w:r>
        <w:rPr>
          <w:rFonts w:hint="eastAsia" w:ascii="仿宋" w:hAnsi="仿宋" w:eastAsia="仿宋" w:cs="仿宋"/>
          <w:color w:val="auto"/>
          <w:sz w:val="28"/>
          <w:szCs w:val="28"/>
          <w:highlight w:val="none"/>
        </w:rPr>
        <w:t>申请执行案件</w:t>
      </w:r>
      <w:r>
        <w:rPr>
          <w:rFonts w:hint="eastAsia" w:ascii="仿宋" w:hAnsi="仿宋" w:eastAsia="仿宋" w:cs="仿宋"/>
          <w:color w:val="auto"/>
          <w:sz w:val="28"/>
          <w:szCs w:val="28"/>
          <w:highlight w:val="none"/>
          <w:lang w:val="en-US" w:eastAsia="zh-CN"/>
        </w:rPr>
        <w:t>12</w:t>
      </w:r>
      <w:r>
        <w:rPr>
          <w:rFonts w:hint="eastAsia" w:ascii="仿宋" w:hAnsi="仿宋" w:eastAsia="仿宋" w:cs="仿宋"/>
          <w:color w:val="auto"/>
          <w:sz w:val="28"/>
          <w:szCs w:val="28"/>
          <w:highlight w:val="none"/>
        </w:rPr>
        <w:t>件，涉案执行标的额为</w:t>
      </w:r>
      <w:r>
        <w:rPr>
          <w:rFonts w:hint="eastAsia" w:ascii="仿宋" w:hAnsi="仿宋" w:eastAsia="仿宋" w:cs="仿宋"/>
          <w:color w:val="auto"/>
          <w:sz w:val="28"/>
          <w:szCs w:val="28"/>
          <w:highlight w:val="none"/>
          <w:lang w:val="en-US" w:eastAsia="zh-CN"/>
        </w:rPr>
        <w:t>629577</w:t>
      </w:r>
      <w:r>
        <w:rPr>
          <w:rFonts w:hint="eastAsia" w:ascii="仿宋" w:hAnsi="仿宋" w:eastAsia="仿宋" w:cs="仿宋"/>
          <w:color w:val="auto"/>
          <w:sz w:val="28"/>
          <w:szCs w:val="28"/>
          <w:highlight w:val="none"/>
        </w:rPr>
        <w:t>元，</w:t>
      </w:r>
      <w:r>
        <w:rPr>
          <w:rFonts w:hint="eastAsia" w:ascii="仿宋" w:hAnsi="仿宋" w:eastAsia="仿宋" w:cs="仿宋"/>
          <w:color w:val="auto"/>
          <w:sz w:val="28"/>
          <w:szCs w:val="28"/>
          <w:highlight w:val="none"/>
          <w:lang w:eastAsia="zh-CN"/>
        </w:rPr>
        <w:t>已知</w:t>
      </w:r>
      <w:r>
        <w:rPr>
          <w:rFonts w:hint="eastAsia" w:ascii="仿宋" w:hAnsi="仿宋" w:eastAsia="仿宋" w:cs="仿宋"/>
          <w:color w:val="auto"/>
          <w:sz w:val="28"/>
          <w:szCs w:val="28"/>
          <w:highlight w:val="none"/>
          <w:lang w:val="en-US" w:eastAsia="zh-CN"/>
        </w:rPr>
        <w:t>执行到位0元</w:t>
      </w:r>
      <w:r>
        <w:rPr>
          <w:rFonts w:hint="eastAsia" w:ascii="仿宋" w:hAnsi="仿宋" w:eastAsia="仿宋" w:cs="仿宋"/>
          <w:color w:val="auto"/>
          <w:sz w:val="28"/>
          <w:szCs w:val="28"/>
          <w:highlight w:val="none"/>
        </w:rPr>
        <w:t>。</w:t>
      </w:r>
    </w:p>
    <w:p>
      <w:pPr>
        <w:keepNext w:val="0"/>
        <w:keepLines w:val="0"/>
        <w:pageBreakBefore w:val="0"/>
        <w:widowControl/>
        <w:kinsoku/>
        <w:wordWrap/>
        <w:overflowPunct/>
        <w:topLinePunct w:val="0"/>
        <w:autoSpaceDE/>
        <w:autoSpaceDN/>
        <w:bidi w:val="0"/>
        <w:adjustRightInd w:val="0"/>
        <w:snapToGrid w:val="0"/>
        <w:spacing w:line="520" w:lineRule="exact"/>
        <w:ind w:firstLine="552" w:firstLineChars="200"/>
        <w:jc w:val="left"/>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w:t>
      </w:r>
      <w:r>
        <w:rPr>
          <w:rFonts w:hint="eastAsia" w:ascii="仿宋" w:hAnsi="仿宋" w:eastAsia="仿宋" w:cs="仿宋"/>
          <w:b/>
          <w:bCs/>
          <w:color w:val="auto"/>
          <w:sz w:val="28"/>
          <w:szCs w:val="28"/>
          <w:highlight w:val="none"/>
          <w:lang w:val="en-US" w:eastAsia="zh-CN"/>
        </w:rPr>
        <w:t>九</w:t>
      </w:r>
      <w:r>
        <w:rPr>
          <w:rFonts w:hint="eastAsia" w:ascii="仿宋" w:hAnsi="仿宋" w:eastAsia="仿宋" w:cs="仿宋"/>
          <w:b/>
          <w:bCs/>
          <w:color w:val="auto"/>
          <w:sz w:val="28"/>
          <w:szCs w:val="28"/>
          <w:highlight w:val="none"/>
        </w:rPr>
        <w:t>）筹备第一次债权人会议</w:t>
      </w:r>
    </w:p>
    <w:p>
      <w:pPr>
        <w:keepNext w:val="0"/>
        <w:keepLines w:val="0"/>
        <w:pageBreakBefore w:val="0"/>
        <w:widowControl/>
        <w:kinsoku/>
        <w:wordWrap/>
        <w:overflowPunct/>
        <w:topLinePunct w:val="0"/>
        <w:autoSpaceDE/>
        <w:autoSpaceDN/>
        <w:bidi w:val="0"/>
        <w:adjustRightInd w:val="0"/>
        <w:snapToGrid w:val="0"/>
        <w:spacing w:line="520" w:lineRule="exact"/>
        <w:ind w:firstLine="552" w:firstLineChars="200"/>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拟定了会议议程、议题，制作第一次债权人会议材料，包括《破产清算工作报告》《关于提请核查债权的报告》，并将会议材料装订成册，以便参会人员审阅。</w:t>
      </w:r>
    </w:p>
    <w:p>
      <w:pPr>
        <w:keepNext w:val="0"/>
        <w:keepLines w:val="0"/>
        <w:pageBreakBefore w:val="0"/>
        <w:kinsoku/>
        <w:wordWrap/>
        <w:overflowPunct/>
        <w:topLinePunct w:val="0"/>
        <w:autoSpaceDE/>
        <w:autoSpaceDN/>
        <w:bidi w:val="0"/>
        <w:spacing w:line="520" w:lineRule="exact"/>
        <w:ind w:firstLine="552" w:firstLineChars="200"/>
        <w:textAlignment w:val="auto"/>
        <w:rPr>
          <w:rFonts w:hint="eastAsia" w:ascii="宋体" w:hAnsi="宋体" w:eastAsia="宋体" w:cs="宋体"/>
          <w:b/>
          <w:bCs w:val="0"/>
          <w:color w:val="auto"/>
          <w:sz w:val="28"/>
          <w:szCs w:val="28"/>
          <w:highlight w:val="none"/>
        </w:rPr>
      </w:pPr>
      <w:r>
        <w:rPr>
          <w:rFonts w:hint="eastAsia" w:ascii="宋体" w:hAnsi="宋体" w:eastAsia="宋体" w:cs="宋体"/>
          <w:b/>
          <w:bCs w:val="0"/>
          <w:color w:val="auto"/>
          <w:sz w:val="28"/>
          <w:szCs w:val="28"/>
          <w:highlight w:val="none"/>
        </w:rPr>
        <w:t>二、下一阶段工作安排</w:t>
      </w:r>
    </w:p>
    <w:p>
      <w:pPr>
        <w:keepNext w:val="0"/>
        <w:keepLines w:val="0"/>
        <w:pageBreakBefore w:val="0"/>
        <w:widowControl/>
        <w:kinsoku/>
        <w:wordWrap/>
        <w:overflowPunct/>
        <w:topLinePunct w:val="0"/>
        <w:autoSpaceDE/>
        <w:autoSpaceDN/>
        <w:bidi w:val="0"/>
        <w:adjustRightInd w:val="0"/>
        <w:snapToGrid w:val="0"/>
        <w:spacing w:line="520" w:lineRule="exact"/>
        <w:ind w:firstLine="552" w:firstLineChars="200"/>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本次债权人会议后，管理人将在丰城市法院指导和债权人会议监督下，恪尽职守，继续推进各项破产工作。下一阶段工作安排如下：</w:t>
      </w:r>
    </w:p>
    <w:p>
      <w:pPr>
        <w:keepNext w:val="0"/>
        <w:keepLines w:val="0"/>
        <w:pageBreakBefore w:val="0"/>
        <w:widowControl/>
        <w:kinsoku/>
        <w:wordWrap/>
        <w:overflowPunct/>
        <w:topLinePunct w:val="0"/>
        <w:autoSpaceDE/>
        <w:autoSpaceDN/>
        <w:bidi w:val="0"/>
        <w:adjustRightInd w:val="0"/>
        <w:snapToGrid w:val="0"/>
        <w:spacing w:line="520" w:lineRule="exact"/>
        <w:ind w:firstLine="552" w:firstLineChars="200"/>
        <w:jc w:val="left"/>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（一）提请法院裁定确认无异议债权并复核异议债权</w:t>
      </w:r>
    </w:p>
    <w:p>
      <w:pPr>
        <w:keepNext w:val="0"/>
        <w:keepLines w:val="0"/>
        <w:pageBreakBefore w:val="0"/>
        <w:widowControl/>
        <w:kinsoku/>
        <w:wordWrap/>
        <w:overflowPunct/>
        <w:topLinePunct w:val="0"/>
        <w:autoSpaceDE/>
        <w:autoSpaceDN/>
        <w:bidi w:val="0"/>
        <w:adjustRightInd w:val="0"/>
        <w:snapToGrid w:val="0"/>
        <w:spacing w:line="520" w:lineRule="exact"/>
        <w:ind w:firstLine="552" w:firstLineChars="200"/>
        <w:jc w:val="left"/>
        <w:textAlignment w:val="auto"/>
        <w:rPr>
          <w:rFonts w:hint="eastAsia" w:ascii="仿宋" w:hAnsi="仿宋" w:eastAsia="仿宋" w:cs="仿宋"/>
          <w:b/>
          <w:bCs/>
          <w:color w:val="auto"/>
          <w:sz w:val="28"/>
          <w:szCs w:val="28"/>
          <w:highlight w:val="none"/>
        </w:rPr>
      </w:pPr>
      <w:r>
        <w:rPr>
          <w:rFonts w:hint="eastAsia" w:ascii="仿宋" w:hAnsi="仿宋" w:eastAsia="仿宋" w:cs="仿宋"/>
          <w:bCs/>
          <w:color w:val="auto"/>
          <w:kern w:val="0"/>
          <w:sz w:val="28"/>
          <w:szCs w:val="28"/>
          <w:highlight w:val="none"/>
        </w:rPr>
        <w:t>根据《中华人民共和国企业破产法》第五十八条和《最高人民法院关于适用&lt;中华人民共和国企业破产法&gt;若干问题的规定（三）》第六条、第八条之规定，管理人将债权表提交本次债权人会议核查。债务人、债权人如对债权表记载的债权无异议，管理人将提请人民法院裁定确认无异议的债权表。如对债权表记载的债权有异议的，请有异议的债权人或债务人按照有关规定向管理人提出书面异议或向丰城市法院提起诉讼。管理人收到债权异议后，将进行复核，确有错误的，将对异议债权进行调整。</w:t>
      </w:r>
    </w:p>
    <w:p>
      <w:pPr>
        <w:keepNext w:val="0"/>
        <w:keepLines w:val="0"/>
        <w:pageBreakBefore w:val="0"/>
        <w:widowControl/>
        <w:kinsoku/>
        <w:wordWrap/>
        <w:overflowPunct/>
        <w:topLinePunct w:val="0"/>
        <w:autoSpaceDE/>
        <w:autoSpaceDN/>
        <w:bidi w:val="0"/>
        <w:adjustRightInd w:val="0"/>
        <w:snapToGrid w:val="0"/>
        <w:spacing w:line="520" w:lineRule="exact"/>
        <w:ind w:firstLine="552" w:firstLineChars="200"/>
        <w:jc w:val="left"/>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（二）向法院申请宣告</w:t>
      </w:r>
      <w:r>
        <w:rPr>
          <w:rFonts w:hint="eastAsia" w:ascii="仿宋" w:hAnsi="仿宋" w:eastAsia="仿宋" w:cs="仿宋"/>
          <w:b/>
          <w:bCs/>
          <w:color w:val="auto"/>
          <w:sz w:val="28"/>
          <w:szCs w:val="28"/>
          <w:highlight w:val="none"/>
          <w:lang w:val="en-US" w:eastAsia="zh-CN"/>
        </w:rPr>
        <w:t>合天下</w:t>
      </w:r>
      <w:r>
        <w:rPr>
          <w:rFonts w:hint="eastAsia" w:ascii="仿宋" w:hAnsi="仿宋" w:eastAsia="仿宋" w:cs="仿宋"/>
          <w:b/>
          <w:bCs/>
          <w:color w:val="auto"/>
          <w:sz w:val="28"/>
          <w:szCs w:val="28"/>
          <w:highlight w:val="none"/>
        </w:rPr>
        <w:t>公司破产并提请法院裁定终结破产程序</w:t>
      </w:r>
    </w:p>
    <w:p>
      <w:pPr>
        <w:keepNext w:val="0"/>
        <w:keepLines w:val="0"/>
        <w:pageBreakBefore w:val="0"/>
        <w:widowControl/>
        <w:kinsoku/>
        <w:wordWrap/>
        <w:overflowPunct/>
        <w:topLinePunct w:val="0"/>
        <w:autoSpaceDE/>
        <w:autoSpaceDN/>
        <w:bidi w:val="0"/>
        <w:adjustRightInd w:val="0"/>
        <w:snapToGrid w:val="0"/>
        <w:spacing w:line="520" w:lineRule="exact"/>
        <w:ind w:firstLine="552" w:firstLineChars="200"/>
        <w:jc w:val="left"/>
        <w:textAlignment w:val="auto"/>
        <w:rPr>
          <w:rFonts w:hint="eastAsia" w:ascii="仿宋" w:hAnsi="仿宋" w:eastAsia="仿宋" w:cs="仿宋"/>
          <w:bCs/>
          <w:color w:val="auto"/>
          <w:kern w:val="0"/>
          <w:sz w:val="28"/>
          <w:szCs w:val="28"/>
          <w:highlight w:val="none"/>
        </w:rPr>
      </w:pPr>
      <w:r>
        <w:rPr>
          <w:rFonts w:hint="eastAsia" w:ascii="仿宋" w:hAnsi="仿宋" w:eastAsia="仿宋" w:cs="仿宋"/>
          <w:bCs/>
          <w:color w:val="auto"/>
          <w:kern w:val="0"/>
          <w:sz w:val="28"/>
          <w:szCs w:val="28"/>
          <w:highlight w:val="none"/>
        </w:rPr>
        <w:t>管理人经过调查</w:t>
      </w:r>
      <w:r>
        <w:rPr>
          <w:rFonts w:hint="eastAsia" w:ascii="仿宋" w:hAnsi="仿宋" w:eastAsia="仿宋" w:cs="仿宋"/>
          <w:bCs/>
          <w:color w:val="auto"/>
          <w:kern w:val="0"/>
          <w:sz w:val="28"/>
          <w:szCs w:val="28"/>
          <w:highlight w:val="none"/>
          <w:lang w:val="en-US" w:eastAsia="zh-CN"/>
        </w:rPr>
        <w:t>发现合天下公司没有可供分配的财产</w:t>
      </w:r>
      <w:r>
        <w:rPr>
          <w:rFonts w:hint="eastAsia" w:ascii="仿宋" w:hAnsi="仿宋" w:eastAsia="仿宋" w:cs="仿宋"/>
          <w:bCs/>
          <w:color w:val="auto"/>
          <w:kern w:val="0"/>
          <w:sz w:val="28"/>
          <w:szCs w:val="28"/>
          <w:highlight w:val="none"/>
        </w:rPr>
        <w:t>，根据已申报债权及审查债权情况，</w:t>
      </w:r>
      <w:r>
        <w:rPr>
          <w:rFonts w:hint="eastAsia" w:ascii="仿宋" w:hAnsi="仿宋" w:eastAsia="仿宋" w:cs="仿宋"/>
          <w:bCs/>
          <w:color w:val="auto"/>
          <w:kern w:val="0"/>
          <w:sz w:val="28"/>
          <w:szCs w:val="28"/>
          <w:highlight w:val="none"/>
          <w:lang w:val="en-US" w:eastAsia="zh-CN"/>
        </w:rPr>
        <w:t>合天下</w:t>
      </w:r>
      <w:r>
        <w:rPr>
          <w:rFonts w:hint="eastAsia" w:ascii="仿宋" w:hAnsi="仿宋" w:eastAsia="仿宋" w:cs="仿宋"/>
          <w:bCs/>
          <w:color w:val="auto"/>
          <w:kern w:val="0"/>
          <w:sz w:val="28"/>
          <w:szCs w:val="28"/>
          <w:highlight w:val="none"/>
        </w:rPr>
        <w:t>公司已经资不抵债，符合破产条件，管理人将在本次债权人会议后向丰城市法院申请宣告</w:t>
      </w:r>
      <w:r>
        <w:rPr>
          <w:rFonts w:hint="eastAsia" w:ascii="仿宋" w:hAnsi="仿宋" w:eastAsia="仿宋" w:cs="仿宋"/>
          <w:bCs/>
          <w:color w:val="auto"/>
          <w:kern w:val="0"/>
          <w:sz w:val="28"/>
          <w:szCs w:val="28"/>
          <w:highlight w:val="none"/>
          <w:lang w:val="en-US" w:eastAsia="zh-CN"/>
        </w:rPr>
        <w:t>合天下</w:t>
      </w:r>
      <w:r>
        <w:rPr>
          <w:rFonts w:hint="eastAsia" w:ascii="仿宋" w:hAnsi="仿宋" w:eastAsia="仿宋" w:cs="仿宋"/>
          <w:bCs/>
          <w:color w:val="auto"/>
          <w:kern w:val="0"/>
          <w:sz w:val="28"/>
          <w:szCs w:val="28"/>
          <w:highlight w:val="none"/>
        </w:rPr>
        <w:t>公司破产。因</w:t>
      </w:r>
      <w:r>
        <w:rPr>
          <w:rFonts w:hint="eastAsia" w:ascii="仿宋" w:hAnsi="仿宋" w:eastAsia="仿宋" w:cs="仿宋"/>
          <w:bCs/>
          <w:color w:val="auto"/>
          <w:kern w:val="0"/>
          <w:sz w:val="28"/>
          <w:szCs w:val="28"/>
          <w:highlight w:val="none"/>
          <w:lang w:val="en-US" w:eastAsia="zh-CN"/>
        </w:rPr>
        <w:t>合天下</w:t>
      </w:r>
      <w:r>
        <w:rPr>
          <w:rFonts w:hint="eastAsia" w:ascii="仿宋" w:hAnsi="仿宋" w:eastAsia="仿宋" w:cs="仿宋"/>
          <w:bCs/>
          <w:color w:val="auto"/>
          <w:kern w:val="0"/>
          <w:sz w:val="28"/>
          <w:szCs w:val="28"/>
          <w:highlight w:val="none"/>
        </w:rPr>
        <w:t>公司财产不能偿付破产费用，无财产可供分配，</w:t>
      </w:r>
      <w:r>
        <w:rPr>
          <w:rFonts w:hint="eastAsia" w:ascii="仿宋" w:hAnsi="仿宋" w:eastAsia="仿宋" w:cs="仿宋"/>
          <w:bCs/>
          <w:color w:val="auto"/>
          <w:kern w:val="0"/>
          <w:sz w:val="28"/>
          <w:szCs w:val="28"/>
          <w:highlight w:val="none"/>
          <w:lang w:val="en-US" w:eastAsia="zh-CN"/>
        </w:rPr>
        <w:t>而且无法查明债务人股东出资情况及区分公司财产与股东个人的财产是否混同的情况，</w:t>
      </w:r>
      <w:r>
        <w:rPr>
          <w:rFonts w:hint="eastAsia" w:ascii="仿宋" w:hAnsi="仿宋" w:eastAsia="仿宋" w:cs="仿宋"/>
          <w:bCs/>
          <w:color w:val="auto"/>
          <w:kern w:val="0"/>
          <w:sz w:val="28"/>
          <w:szCs w:val="28"/>
          <w:highlight w:val="none"/>
        </w:rPr>
        <w:t>管理人将根据破产法规定提请法院裁定终结破产程序。</w:t>
      </w:r>
    </w:p>
    <w:p>
      <w:pPr>
        <w:keepNext w:val="0"/>
        <w:keepLines w:val="0"/>
        <w:pageBreakBefore w:val="0"/>
        <w:kinsoku/>
        <w:wordWrap/>
        <w:overflowPunct/>
        <w:topLinePunct w:val="0"/>
        <w:autoSpaceDE/>
        <w:autoSpaceDN/>
        <w:bidi w:val="0"/>
        <w:snapToGrid w:val="0"/>
        <w:spacing w:line="520" w:lineRule="exact"/>
        <w:ind w:firstLine="552" w:firstLineChars="200"/>
        <w:jc w:val="right"/>
        <w:textAlignment w:val="auto"/>
        <w:rPr>
          <w:rFonts w:hint="eastAsia" w:ascii="仿宋" w:hAnsi="仿宋" w:eastAsia="仿宋" w:cs="仿宋"/>
          <w:bCs/>
          <w:color w:val="auto"/>
          <w:sz w:val="28"/>
          <w:szCs w:val="28"/>
          <w:highlight w:val="none"/>
        </w:rPr>
      </w:pPr>
    </w:p>
    <w:p>
      <w:pPr>
        <w:keepNext w:val="0"/>
        <w:keepLines w:val="0"/>
        <w:pageBreakBefore w:val="0"/>
        <w:widowControl w:val="0"/>
        <w:kinsoku/>
        <w:wordWrap/>
        <w:overflowPunct/>
        <w:topLinePunct w:val="0"/>
        <w:autoSpaceDE/>
        <w:autoSpaceDN/>
        <w:bidi w:val="0"/>
        <w:adjustRightInd/>
        <w:snapToGrid/>
        <w:spacing w:line="520" w:lineRule="exact"/>
        <w:ind w:firstLine="632" w:firstLineChars="200"/>
        <w:textAlignment w:val="auto"/>
        <w:rPr>
          <w:rFonts w:hint="eastAsia" w:ascii="仿宋" w:hAnsi="仿宋" w:eastAsia="仿宋" w:cs="仿宋"/>
          <w:color w:val="auto"/>
          <w:sz w:val="32"/>
          <w:szCs w:val="32"/>
          <w:highlight w:val="none"/>
        </w:rPr>
        <w:sectPr>
          <w:footerReference r:id="rId3" w:type="default"/>
          <w:pgSz w:w="11906" w:h="16838"/>
          <w:pgMar w:top="2098" w:right="1474" w:bottom="1985" w:left="1588" w:header="851" w:footer="992" w:gutter="0"/>
          <w:pgNumType w:fmt="decimal" w:start="1"/>
          <w:cols w:space="425" w:num="1"/>
          <w:docGrid w:type="linesAndChars" w:linePitch="579" w:charSpace="-849"/>
        </w:sectPr>
      </w:pPr>
      <w:bookmarkStart w:id="0" w:name="_GoBack"/>
      <w:bookmarkEnd w:id="0"/>
    </w:p>
    <w:p>
      <w:pPr>
        <w:pStyle w:val="2"/>
        <w:jc w:val="both"/>
        <w:rPr>
          <w:rFonts w:hint="default" w:ascii="仿宋" w:hAnsi="仿宋" w:eastAsia="仿宋" w:cs="仿宋"/>
          <w:b/>
          <w:bCs/>
          <w:color w:val="auto"/>
          <w:kern w:val="0"/>
          <w:sz w:val="40"/>
          <w:szCs w:val="40"/>
          <w:highlight w:val="none"/>
          <w:lang w:val="en-US" w:eastAsia="zh-CN" w:bidi="ar"/>
        </w:rPr>
      </w:pPr>
    </w:p>
    <w:sectPr>
      <w:footerReference r:id="rId4" w:type="default"/>
      <w:pgSz w:w="11906" w:h="16838"/>
      <w:pgMar w:top="2098" w:right="1474" w:bottom="1985" w:left="1588" w:header="851" w:footer="992" w:gutter="0"/>
      <w:pgNumType w:fmt="decimal"/>
      <w:cols w:space="425"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0000000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pPr>
                          <w:r>
                            <w:fldChar w:fldCharType="begin"/>
                          </w:r>
                          <w:r>
                            <w:instrText xml:space="preserve"> PAGE  \* MERGEFORMAT </w:instrText>
                          </w:r>
                          <w:r>
                            <w:fldChar w:fldCharType="separate"/>
                          </w:r>
                          <w:r>
                            <w:t>- 1 -</w:t>
                          </w:r>
                          <w:r>
                            <w:fldChar w:fldCharType="end"/>
                          </w:r>
                        </w:p>
                      </w:txbxContent>
                    </wps:txbx>
                    <wps:bodyPr wrap="none" lIns="0" tIns="0" rIns="0" bIns="0" upright="0">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clUKcgBAACZAwAADgAAAGRycy9lMm9Eb2MueG1srVPNjtMwEL6vxDtY&#10;vlNnK4S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DcWxO25x4OefP86/Hs8P38mb&#10;LE8foMasu4B5aXjvB1ya2Q/ozKwHFW3+Ih+CcRT3dBFXDomI/Gi1XK0qDAmMzRfEZ0/PQ4T0QXpL&#10;stHQiNMrovLjJ0hj6pySqzl/q40pEzTuLwdiZg/LvY89ZisNu2EitPPtCfn0OPiGOtxzSsxHh7rm&#10;HZmNOBu72TiEqPddWaJcD8K7Q8ImSm+5wgg7FcaJFXbTduWV+PNesp7+qM1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NnJVCnIAQAAmQMAAA4AAAAAAAAAAQAgAAAAHgEAAGRycy9lMm9Eb2Mu&#10;eG1sUEsFBgAAAAAGAAYAWQEAAFgFAAAAAA==&#10;">
              <v:fill on="f" focussize="0,0"/>
              <v:stroke on="f"/>
              <v:imagedata o:title=""/>
              <o:lock v:ext="edit" aspectratio="f"/>
              <v:textbox inset="0mm,0mm,0mm,0mm" style="mso-fit-shape-to-text:t;">
                <w:txbxContent>
                  <w:p>
                    <w:pPr>
                      <w:pStyle w:val="5"/>
                    </w:pPr>
                    <w:r>
                      <w:fldChar w:fldCharType="begin"/>
                    </w:r>
                    <w:r>
                      <w:instrText xml:space="preserve"> PAGE  \* MERGEFORMAT </w:instrText>
                    </w:r>
                    <w:r>
                      <w:fldChar w:fldCharType="separate"/>
                    </w:r>
                    <w:r>
                      <w:t>- 1 -</w:t>
                    </w:r>
                    <w:r>
                      <w:fldChar w:fldCharType="end"/>
                    </w:r>
                  </w:p>
                </w:txbxContent>
              </v:textbox>
            </v:shape>
          </w:pict>
        </mc:Fallback>
      </mc:AlternateContent>
    </w:r>
    <w:sdt>
      <w:sdtPr>
        <w:id w:val="-2090068336"/>
      </w:sdtPr>
      <w:sdtContent/>
    </w:sdt>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pPr>
                          <w:r>
                            <w:fldChar w:fldCharType="begin"/>
                          </w:r>
                          <w:r>
                            <w:instrText xml:space="preserve"> PAGE  \* MERGEFORMAT </w:instrText>
                          </w:r>
                          <w:r>
                            <w:fldChar w:fldCharType="separate"/>
                          </w:r>
                          <w:r>
                            <w:t>- 19 -</w:t>
                          </w:r>
                          <w:r>
                            <w:fldChar w:fldCharType="end"/>
                          </w:r>
                        </w:p>
                      </w:txbxContent>
                    </wps:txbx>
                    <wps:bodyPr wrap="none" lIns="0" tIns="0" rIns="0" bIns="0" upright="0">
                      <a:spAutoFit/>
                    </wps:bodyPr>
                  </wps:wsp>
                </a:graphicData>
              </a:graphic>
            </wp:anchor>
          </w:drawing>
        </mc:Choice>
        <mc:Fallback>
          <w:pict>
            <v:shape id="文本框 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pr+MeyQEAAJkDAAAOAAAAAAAAAAEAIAAAAB4BAABkcnMvZTJvRG9j&#10;LnhtbFBLBQYAAAAABgAGAFkBAABZBQAAAAA=&#10;">
              <v:fill on="f" focussize="0,0"/>
              <v:stroke on="f"/>
              <v:imagedata o:title=""/>
              <o:lock v:ext="edit" aspectratio="f"/>
              <v:textbox inset="0mm,0mm,0mm,0mm" style="mso-fit-shape-to-text:t;">
                <w:txbxContent>
                  <w:p>
                    <w:pPr>
                      <w:pStyle w:val="5"/>
                    </w:pPr>
                    <w:r>
                      <w:fldChar w:fldCharType="begin"/>
                    </w:r>
                    <w:r>
                      <w:instrText xml:space="preserve"> PAGE  \* MERGEFORMAT </w:instrText>
                    </w:r>
                    <w:r>
                      <w:fldChar w:fldCharType="separate"/>
                    </w:r>
                    <w:r>
                      <w:t>- 19 -</w:t>
                    </w:r>
                    <w:r>
                      <w:fldChar w:fldCharType="end"/>
                    </w:r>
                  </w:p>
                </w:txbxContent>
              </v:textbox>
            </v:shape>
          </w:pict>
        </mc:Fallback>
      </mc:AlternateContent>
    </w: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04AA1A"/>
    <w:multiLevelType w:val="singleLevel"/>
    <w:tmpl w:val="0704AA1A"/>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3"/>
  <w:drawingGridVerticalSpacing w:val="579"/>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1NDZjNTg0MGU3NzQwY2ZhNzQxYTZjNDM5YmZlNjkifQ=="/>
  </w:docVars>
  <w:rsids>
    <w:rsidRoot w:val="00172A27"/>
    <w:rsid w:val="00016C26"/>
    <w:rsid w:val="00064025"/>
    <w:rsid w:val="001C6E6E"/>
    <w:rsid w:val="001D2F21"/>
    <w:rsid w:val="001E5C33"/>
    <w:rsid w:val="002749F0"/>
    <w:rsid w:val="003A5E8C"/>
    <w:rsid w:val="00411288"/>
    <w:rsid w:val="004B76B3"/>
    <w:rsid w:val="005026BA"/>
    <w:rsid w:val="00567EB8"/>
    <w:rsid w:val="00581D71"/>
    <w:rsid w:val="00587D96"/>
    <w:rsid w:val="00593908"/>
    <w:rsid w:val="005A3C32"/>
    <w:rsid w:val="00695646"/>
    <w:rsid w:val="00867365"/>
    <w:rsid w:val="0087432B"/>
    <w:rsid w:val="008A5525"/>
    <w:rsid w:val="00906786"/>
    <w:rsid w:val="009D242D"/>
    <w:rsid w:val="009E4422"/>
    <w:rsid w:val="009E4A8F"/>
    <w:rsid w:val="00A23C2A"/>
    <w:rsid w:val="00BE0DB3"/>
    <w:rsid w:val="00C87940"/>
    <w:rsid w:val="00CD3D63"/>
    <w:rsid w:val="00D8697A"/>
    <w:rsid w:val="00F97178"/>
    <w:rsid w:val="01003566"/>
    <w:rsid w:val="01152670"/>
    <w:rsid w:val="015635E2"/>
    <w:rsid w:val="021E0D42"/>
    <w:rsid w:val="05527879"/>
    <w:rsid w:val="05DE2CE6"/>
    <w:rsid w:val="07AB2566"/>
    <w:rsid w:val="07D641C8"/>
    <w:rsid w:val="08844E22"/>
    <w:rsid w:val="0A731217"/>
    <w:rsid w:val="0AF52979"/>
    <w:rsid w:val="0B943828"/>
    <w:rsid w:val="0C1A171D"/>
    <w:rsid w:val="10E30F97"/>
    <w:rsid w:val="10E81551"/>
    <w:rsid w:val="11452E65"/>
    <w:rsid w:val="116457F1"/>
    <w:rsid w:val="11AB5E7E"/>
    <w:rsid w:val="12C64289"/>
    <w:rsid w:val="13355D93"/>
    <w:rsid w:val="139660B2"/>
    <w:rsid w:val="16C10C9D"/>
    <w:rsid w:val="171D2BD3"/>
    <w:rsid w:val="175A3AB3"/>
    <w:rsid w:val="177F18B5"/>
    <w:rsid w:val="18626802"/>
    <w:rsid w:val="189B3915"/>
    <w:rsid w:val="19714833"/>
    <w:rsid w:val="1B0911B7"/>
    <w:rsid w:val="1D280B2B"/>
    <w:rsid w:val="1D554293"/>
    <w:rsid w:val="1DA82F09"/>
    <w:rsid w:val="1F0F347B"/>
    <w:rsid w:val="1F1A1BE5"/>
    <w:rsid w:val="1F2B5BA0"/>
    <w:rsid w:val="1F2E2117"/>
    <w:rsid w:val="20C3568E"/>
    <w:rsid w:val="23964A5E"/>
    <w:rsid w:val="24247EA2"/>
    <w:rsid w:val="24A02B8C"/>
    <w:rsid w:val="24D43806"/>
    <w:rsid w:val="25D30D3F"/>
    <w:rsid w:val="25EA2D6F"/>
    <w:rsid w:val="283D01E9"/>
    <w:rsid w:val="2B992C20"/>
    <w:rsid w:val="2D246BED"/>
    <w:rsid w:val="2DD61472"/>
    <w:rsid w:val="2E060C51"/>
    <w:rsid w:val="31224905"/>
    <w:rsid w:val="317A119C"/>
    <w:rsid w:val="3183546A"/>
    <w:rsid w:val="32F240C8"/>
    <w:rsid w:val="35392F73"/>
    <w:rsid w:val="353B60A9"/>
    <w:rsid w:val="368554C5"/>
    <w:rsid w:val="36B67FED"/>
    <w:rsid w:val="3AA93926"/>
    <w:rsid w:val="3F2B7EED"/>
    <w:rsid w:val="404437C3"/>
    <w:rsid w:val="409B4F63"/>
    <w:rsid w:val="410C71AE"/>
    <w:rsid w:val="421F0CBC"/>
    <w:rsid w:val="42450CDD"/>
    <w:rsid w:val="4399728F"/>
    <w:rsid w:val="44C77869"/>
    <w:rsid w:val="4521151D"/>
    <w:rsid w:val="470A3975"/>
    <w:rsid w:val="4857078C"/>
    <w:rsid w:val="48D63E0C"/>
    <w:rsid w:val="494D784A"/>
    <w:rsid w:val="4B0940A8"/>
    <w:rsid w:val="4E6540DB"/>
    <w:rsid w:val="4E862472"/>
    <w:rsid w:val="4EBF3CF4"/>
    <w:rsid w:val="546A353D"/>
    <w:rsid w:val="54A6064A"/>
    <w:rsid w:val="554C0302"/>
    <w:rsid w:val="56876E58"/>
    <w:rsid w:val="575C774B"/>
    <w:rsid w:val="57C104B6"/>
    <w:rsid w:val="57E059E6"/>
    <w:rsid w:val="57F64BCE"/>
    <w:rsid w:val="585B1424"/>
    <w:rsid w:val="5A172A3E"/>
    <w:rsid w:val="5B074DF7"/>
    <w:rsid w:val="5E0805BA"/>
    <w:rsid w:val="5E8C1A69"/>
    <w:rsid w:val="5EA244F6"/>
    <w:rsid w:val="5FFF0C12"/>
    <w:rsid w:val="612754C0"/>
    <w:rsid w:val="6412029E"/>
    <w:rsid w:val="64523676"/>
    <w:rsid w:val="67CA1CD1"/>
    <w:rsid w:val="681433E1"/>
    <w:rsid w:val="6C8F1D13"/>
    <w:rsid w:val="6D2B313B"/>
    <w:rsid w:val="6DCD41DB"/>
    <w:rsid w:val="6DF56F65"/>
    <w:rsid w:val="70A00DEB"/>
    <w:rsid w:val="71494032"/>
    <w:rsid w:val="726C5BA2"/>
    <w:rsid w:val="726F19B0"/>
    <w:rsid w:val="72846451"/>
    <w:rsid w:val="72F17426"/>
    <w:rsid w:val="73E11832"/>
    <w:rsid w:val="74F13098"/>
    <w:rsid w:val="75071439"/>
    <w:rsid w:val="777A72F7"/>
    <w:rsid w:val="77F47FE6"/>
    <w:rsid w:val="7A346819"/>
    <w:rsid w:val="7D446B55"/>
    <w:rsid w:val="7EF55617"/>
    <w:rsid w:val="7F315A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11"/>
    <w:qFormat/>
    <w:uiPriority w:val="0"/>
    <w:pPr>
      <w:keepNext/>
      <w:keepLines/>
      <w:spacing w:before="340" w:after="330" w:line="578" w:lineRule="auto"/>
      <w:outlineLvl w:val="0"/>
    </w:pPr>
    <w:rPr>
      <w:b/>
      <w:bCs/>
      <w:kern w:val="44"/>
      <w:sz w:val="44"/>
      <w:szCs w:val="44"/>
    </w:rPr>
  </w:style>
  <w:style w:type="character" w:default="1" w:styleId="9">
    <w:name w:val="Default Paragraph Font"/>
    <w:semiHidden/>
    <w:unhideWhenUsed/>
    <w:qFormat/>
    <w:uiPriority w:val="1"/>
  </w:style>
  <w:style w:type="table" w:default="1" w:styleId="7">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link w:val="10"/>
    <w:unhideWhenUsed/>
    <w:qFormat/>
    <w:uiPriority w:val="99"/>
    <w:pPr>
      <w:spacing w:after="120"/>
    </w:pPr>
  </w:style>
  <w:style w:type="paragraph" w:styleId="4">
    <w:name w:val="Date"/>
    <w:basedOn w:val="1"/>
    <w:next w:val="1"/>
    <w:link w:val="16"/>
    <w:semiHidden/>
    <w:unhideWhenUsed/>
    <w:qFormat/>
    <w:uiPriority w:val="99"/>
    <w:pPr>
      <w:ind w:left="100" w:leftChars="2500"/>
    </w:p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customStyle="1" w:styleId="10">
    <w:name w:val="正文文本 字符"/>
    <w:basedOn w:val="9"/>
    <w:link w:val="2"/>
    <w:semiHidden/>
    <w:qFormat/>
    <w:uiPriority w:val="99"/>
    <w:rPr>
      <w:rFonts w:ascii="Calibri" w:hAnsi="Calibri" w:eastAsia="宋体" w:cs="Times New Roman"/>
      <w:sz w:val="21"/>
      <w:szCs w:val="22"/>
    </w:rPr>
  </w:style>
  <w:style w:type="character" w:customStyle="1" w:styleId="11">
    <w:name w:val="标题 1 字符"/>
    <w:basedOn w:val="9"/>
    <w:link w:val="3"/>
    <w:qFormat/>
    <w:uiPriority w:val="0"/>
    <w:rPr>
      <w:rFonts w:ascii="Calibri" w:hAnsi="Calibri" w:eastAsia="宋体" w:cs="Times New Roman"/>
      <w:b/>
      <w:bCs/>
      <w:kern w:val="44"/>
      <w:sz w:val="44"/>
      <w:szCs w:val="44"/>
    </w:rPr>
  </w:style>
  <w:style w:type="character" w:customStyle="1" w:styleId="12">
    <w:name w:val="页眉 字符"/>
    <w:basedOn w:val="9"/>
    <w:link w:val="6"/>
    <w:qFormat/>
    <w:uiPriority w:val="99"/>
    <w:rPr>
      <w:rFonts w:ascii="Calibri" w:hAnsi="Calibri" w:eastAsia="宋体" w:cs="Times New Roman"/>
      <w:sz w:val="18"/>
      <w:szCs w:val="18"/>
    </w:rPr>
  </w:style>
  <w:style w:type="character" w:customStyle="1" w:styleId="13">
    <w:name w:val="页脚 字符"/>
    <w:basedOn w:val="9"/>
    <w:link w:val="5"/>
    <w:qFormat/>
    <w:uiPriority w:val="99"/>
    <w:rPr>
      <w:rFonts w:ascii="Calibri" w:hAnsi="Calibri" w:eastAsia="宋体" w:cs="Times New Roman"/>
      <w:sz w:val="18"/>
      <w:szCs w:val="18"/>
    </w:rPr>
  </w:style>
  <w:style w:type="character" w:customStyle="1" w:styleId="14">
    <w:name w:val="content1"/>
    <w:basedOn w:val="9"/>
    <w:qFormat/>
    <w:uiPriority w:val="0"/>
    <w:rPr>
      <w:sz w:val="18"/>
      <w:szCs w:val="18"/>
    </w:rPr>
  </w:style>
  <w:style w:type="paragraph" w:styleId="15">
    <w:name w:val="List Paragraph"/>
    <w:basedOn w:val="1"/>
    <w:qFormat/>
    <w:uiPriority w:val="34"/>
    <w:pPr>
      <w:ind w:firstLine="420" w:firstLineChars="200"/>
    </w:pPr>
    <w:rPr>
      <w:rFonts w:asciiTheme="minorHAnsi" w:hAnsiTheme="minorHAnsi" w:eastAsiaTheme="minorEastAsia" w:cstheme="minorBidi"/>
    </w:rPr>
  </w:style>
  <w:style w:type="character" w:customStyle="1" w:styleId="16">
    <w:name w:val="日期 字符"/>
    <w:basedOn w:val="9"/>
    <w:link w:val="4"/>
    <w:semiHidden/>
    <w:qFormat/>
    <w:uiPriority w:val="99"/>
    <w:rPr>
      <w:rFonts w:ascii="Calibri" w:hAnsi="Calibri" w:eastAsia="宋体" w:cs="Times New Roman"/>
      <w:sz w:val="21"/>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6808</Words>
  <Characters>7862</Characters>
  <Lines>1</Lines>
  <Paragraphs>1</Paragraphs>
  <TotalTime>30</TotalTime>
  <ScaleCrop>false</ScaleCrop>
  <LinksUpToDate>false</LinksUpToDate>
  <CharactersWithSpaces>8105</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2022-06-11T14:09:00Z</dcterms:created>
  <dc:creator>游 祺</dc:creator>
  <cp:lastModifiedBy>one颗糖</cp:lastModifiedBy>
  <cp:lastPrinted>2022-11-16T07:19:00Z</cp:lastPrinted>
  <dcterms:modified xsi:type="dcterms:W3CDTF">2022-11-22T07:42:55Z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918870DF04544CFCAA67926AFB07A510</vt:lpwstr>
  </property>
</Properties>
</file>