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eastAsia="宋体"/>
          <w:b/>
          <w:bCs/>
          <w:sz w:val="32"/>
          <w:szCs w:val="36"/>
        </w:rPr>
      </w:pPr>
    </w:p>
    <w:p>
      <w:pPr>
        <w:spacing w:line="600" w:lineRule="exact"/>
        <w:jc w:val="center"/>
        <w:rPr>
          <w:rFonts w:ascii="宋体" w:hAnsi="宋体" w:eastAsia="宋体"/>
          <w:b/>
          <w:bCs/>
          <w:sz w:val="36"/>
          <w:szCs w:val="40"/>
        </w:rPr>
      </w:pPr>
      <w:r>
        <w:rPr>
          <w:rFonts w:hint="eastAsia" w:ascii="宋体" w:hAnsi="宋体" w:eastAsia="宋体"/>
          <w:b/>
          <w:bCs/>
          <w:sz w:val="36"/>
          <w:szCs w:val="40"/>
        </w:rPr>
        <w:t>关于河南富昌建设工程有限责任公司部分资产的</w:t>
      </w:r>
    </w:p>
    <w:p>
      <w:pPr>
        <w:spacing w:line="600" w:lineRule="exact"/>
        <w:jc w:val="center"/>
        <w:rPr>
          <w:rFonts w:ascii="宋体" w:hAnsi="宋体" w:eastAsia="宋体"/>
          <w:b/>
          <w:bCs/>
          <w:sz w:val="36"/>
          <w:szCs w:val="40"/>
        </w:rPr>
      </w:pPr>
      <w:r>
        <w:rPr>
          <w:rFonts w:hint="eastAsia" w:ascii="宋体" w:hAnsi="宋体" w:eastAsia="宋体"/>
          <w:b/>
          <w:bCs/>
          <w:sz w:val="36"/>
          <w:szCs w:val="40"/>
        </w:rPr>
        <w:t>评估价值说明</w:t>
      </w:r>
    </w:p>
    <w:p>
      <w:pPr>
        <w:spacing w:line="600" w:lineRule="exact"/>
        <w:jc w:val="center"/>
        <w:rPr>
          <w:rFonts w:ascii="宋体" w:hAnsi="宋体" w:eastAsia="宋体"/>
          <w:b/>
          <w:bCs/>
          <w:sz w:val="36"/>
          <w:szCs w:val="40"/>
        </w:rPr>
      </w:pPr>
    </w:p>
    <w:p>
      <w:pPr>
        <w:spacing w:line="600" w:lineRule="exact"/>
        <w:rPr>
          <w:rFonts w:ascii="宋体" w:hAnsi="宋体" w:eastAsia="宋体"/>
          <w:sz w:val="28"/>
          <w:szCs w:val="32"/>
        </w:rPr>
      </w:pPr>
      <w:r>
        <w:rPr>
          <w:rFonts w:hint="eastAsia" w:ascii="宋体" w:hAnsi="宋体" w:eastAsia="宋体"/>
          <w:sz w:val="28"/>
          <w:szCs w:val="32"/>
        </w:rPr>
        <w:t>河南富昌建设工程有限责任公司管理人：</w:t>
      </w:r>
    </w:p>
    <w:p>
      <w:pPr>
        <w:spacing w:line="600" w:lineRule="exact"/>
        <w:ind w:firstLine="480" w:firstLineChars="200"/>
        <w:rPr>
          <w:rFonts w:ascii="宋体" w:hAnsi="宋体" w:eastAsia="宋体"/>
          <w:sz w:val="24"/>
        </w:rPr>
      </w:pPr>
      <w:r>
        <w:rPr>
          <w:rFonts w:hint="eastAsia" w:ascii="宋体" w:hAnsi="宋体" w:eastAsia="宋体"/>
          <w:sz w:val="24"/>
          <w:szCs w:val="24"/>
        </w:rPr>
        <w:t>河南大平资产评估事务所（普通合伙）</w:t>
      </w:r>
      <w:r>
        <w:rPr>
          <w:rFonts w:ascii="宋体" w:hAnsi="宋体" w:eastAsia="宋体"/>
          <w:sz w:val="24"/>
          <w:szCs w:val="24"/>
        </w:rPr>
        <w:t>接受</w:t>
      </w:r>
      <w:r>
        <w:rPr>
          <w:rFonts w:hint="eastAsia" w:ascii="宋体" w:hAnsi="宋体" w:eastAsia="宋体"/>
          <w:sz w:val="24"/>
          <w:szCs w:val="24"/>
        </w:rPr>
        <w:t>河南富昌建设工程有限责任公司破产管理人</w:t>
      </w:r>
      <w:r>
        <w:rPr>
          <w:rFonts w:ascii="宋体" w:hAnsi="宋体" w:eastAsia="宋体"/>
          <w:sz w:val="24"/>
          <w:szCs w:val="24"/>
        </w:rPr>
        <w:t>的委托，</w:t>
      </w:r>
      <w:r>
        <w:rPr>
          <w:rFonts w:hint="eastAsia" w:ascii="宋体" w:hAnsi="宋体" w:eastAsia="宋体"/>
          <w:sz w:val="24"/>
          <w:szCs w:val="24"/>
        </w:rPr>
        <w:t>对河南富昌建设工程有限责任公司（以下简称：富昌公司）破产清算所涉及的资产及负债</w:t>
      </w:r>
      <w:r>
        <w:rPr>
          <w:rFonts w:ascii="宋体" w:hAnsi="宋体" w:eastAsia="宋体"/>
          <w:sz w:val="24"/>
          <w:szCs w:val="24"/>
        </w:rPr>
        <w:t>在</w:t>
      </w:r>
      <w:r>
        <w:rPr>
          <w:rFonts w:hint="eastAsia" w:ascii="宋体" w:hAnsi="宋体" w:eastAsia="宋体"/>
          <w:sz w:val="24"/>
          <w:szCs w:val="24"/>
        </w:rPr>
        <w:t>评估基准日</w:t>
      </w:r>
      <w:r>
        <w:rPr>
          <w:rFonts w:hint="eastAsia" w:ascii="宋体" w:hAnsi="宋体" w:eastAsia="宋体"/>
          <w:sz w:val="24"/>
          <w:szCs w:val="24"/>
          <w:u w:color="FF0000"/>
        </w:rPr>
        <w:t>2022年1月13日</w:t>
      </w:r>
      <w:r>
        <w:rPr>
          <w:rFonts w:ascii="宋体" w:hAnsi="宋体" w:eastAsia="宋体"/>
          <w:sz w:val="24"/>
          <w:szCs w:val="24"/>
        </w:rPr>
        <w:t>的</w:t>
      </w:r>
      <w:r>
        <w:rPr>
          <w:rFonts w:hint="eastAsia" w:ascii="宋体" w:hAnsi="宋体" w:eastAsia="宋体"/>
          <w:sz w:val="24"/>
          <w:szCs w:val="24"/>
        </w:rPr>
        <w:t>清算</w:t>
      </w:r>
      <w:r>
        <w:rPr>
          <w:rFonts w:ascii="宋体" w:hAnsi="宋体" w:eastAsia="宋体"/>
          <w:sz w:val="24"/>
          <w:szCs w:val="24"/>
        </w:rPr>
        <w:t>价值进行了评估。</w:t>
      </w:r>
    </w:p>
    <w:p>
      <w:pPr>
        <w:pStyle w:val="3"/>
        <w:spacing w:line="600" w:lineRule="exact"/>
        <w:ind w:firstLine="480" w:firstLineChars="200"/>
        <w:rPr>
          <w:rFonts w:ascii="宋体" w:hAnsi="宋体"/>
          <w:color w:val="auto"/>
          <w:szCs w:val="24"/>
        </w:rPr>
      </w:pPr>
      <w:r>
        <w:rPr>
          <w:rFonts w:ascii="宋体" w:hAnsi="宋体"/>
          <w:color w:val="auto"/>
        </w:rPr>
        <w:t>评估目的：</w:t>
      </w:r>
      <w:bookmarkStart w:id="0" w:name="_Hlk48057500"/>
      <w:r>
        <w:rPr>
          <w:rFonts w:hint="eastAsia" w:ascii="宋体" w:hAnsi="宋体"/>
          <w:color w:val="auto"/>
        </w:rPr>
        <w:t>根据《河南省鹤壁市中级人民法院》（2022）豫06破申1号，</w:t>
      </w:r>
      <w:r>
        <w:rPr>
          <w:rFonts w:hint="eastAsia" w:ascii="宋体" w:hAnsi="宋体"/>
          <w:color w:val="auto"/>
          <w:szCs w:val="24"/>
        </w:rPr>
        <w:t>河南富昌建设工程有限责任公司拟</w:t>
      </w:r>
      <w:bookmarkEnd w:id="0"/>
      <w:r>
        <w:rPr>
          <w:rFonts w:hint="eastAsia" w:ascii="宋体" w:hAnsi="宋体"/>
          <w:color w:val="auto"/>
          <w:szCs w:val="24"/>
        </w:rPr>
        <w:t>进行破产清算，河南省鹤壁市中级人民法院指定河南国是律师事务所为破产管理人，特此破产管理人委托河南大平资产评估事务所（普通合伙）对河南富昌建设工程有限责任公司破产清算所涉及的资产及负债进行评估，为上述破产清算行为提供价值参考。</w:t>
      </w:r>
    </w:p>
    <w:p>
      <w:pPr>
        <w:pStyle w:val="3"/>
        <w:spacing w:line="600" w:lineRule="exact"/>
        <w:ind w:firstLine="480" w:firstLineChars="200"/>
        <w:rPr>
          <w:rFonts w:ascii="宋体" w:hAnsi="宋体"/>
          <w:color w:val="auto"/>
        </w:rPr>
      </w:pPr>
      <w:bookmarkStart w:id="1" w:name="_Hlk48058360"/>
      <w:r>
        <w:rPr>
          <w:rFonts w:hint="eastAsia" w:ascii="宋体" w:hAnsi="宋体"/>
          <w:color w:val="auto"/>
        </w:rPr>
        <w:t>评估对象和评估范围：</w:t>
      </w:r>
      <w:bookmarkStart w:id="2" w:name="_Hlk51746595"/>
      <w:r>
        <w:rPr>
          <w:rFonts w:hint="eastAsia" w:ascii="宋体" w:hAnsi="宋体"/>
          <w:color w:val="auto"/>
        </w:rPr>
        <w:t>评估对象为</w:t>
      </w:r>
      <w:r>
        <w:rPr>
          <w:rFonts w:hint="eastAsia" w:ascii="宋体" w:hAnsi="宋体"/>
          <w:color w:val="auto"/>
          <w:szCs w:val="24"/>
        </w:rPr>
        <w:t>河南富昌建设工程有限责任公司持有的资产及负债</w:t>
      </w:r>
      <w:r>
        <w:rPr>
          <w:rFonts w:hint="eastAsia" w:ascii="宋体" w:hAnsi="宋体"/>
          <w:color w:val="auto"/>
        </w:rPr>
        <w:t>。</w:t>
      </w:r>
    </w:p>
    <w:p>
      <w:pPr>
        <w:pStyle w:val="3"/>
        <w:spacing w:line="600" w:lineRule="exact"/>
        <w:ind w:firstLine="480" w:firstLineChars="200"/>
        <w:rPr>
          <w:rFonts w:ascii="宋体" w:hAnsi="宋体"/>
          <w:color w:val="auto"/>
        </w:rPr>
      </w:pPr>
      <w:r>
        <w:rPr>
          <w:rFonts w:hint="eastAsia" w:ascii="宋体" w:hAnsi="宋体"/>
          <w:color w:val="auto"/>
        </w:rPr>
        <w:t>评估范围为河南富昌建设工程有限责任公司基准日资产负债表中的全部资产和负债。具体范围以委托人申报的资产评估申报明细表为准。</w:t>
      </w:r>
    </w:p>
    <w:bookmarkEnd w:id="1"/>
    <w:bookmarkEnd w:id="2"/>
    <w:p>
      <w:pPr>
        <w:pStyle w:val="3"/>
        <w:spacing w:line="600" w:lineRule="exact"/>
        <w:ind w:firstLine="480" w:firstLineChars="200"/>
        <w:rPr>
          <w:rFonts w:ascii="宋体" w:hAnsi="宋体"/>
          <w:color w:val="auto"/>
        </w:rPr>
      </w:pPr>
      <w:r>
        <w:rPr>
          <w:rFonts w:ascii="宋体" w:hAnsi="宋体"/>
          <w:color w:val="auto"/>
        </w:rPr>
        <w:t>评估基准日：</w:t>
      </w:r>
      <w:r>
        <w:rPr>
          <w:rFonts w:hint="eastAsia" w:ascii="宋体" w:hAnsi="宋体"/>
          <w:color w:val="auto"/>
        </w:rPr>
        <w:t>2022年</w:t>
      </w:r>
      <w:r>
        <w:rPr>
          <w:rFonts w:hint="eastAsia" w:ascii="宋体" w:hAnsi="宋体"/>
          <w:color w:val="auto"/>
          <w:szCs w:val="24"/>
          <w:lang w:val="zh-CN"/>
        </w:rPr>
        <w:t>1月</w:t>
      </w:r>
      <w:r>
        <w:rPr>
          <w:rFonts w:hint="eastAsia" w:ascii="宋体" w:hAnsi="宋体"/>
          <w:color w:val="auto"/>
          <w:szCs w:val="24"/>
        </w:rPr>
        <w:t>13</w:t>
      </w:r>
      <w:r>
        <w:rPr>
          <w:rFonts w:hint="eastAsia" w:ascii="宋体" w:hAnsi="宋体"/>
          <w:color w:val="auto"/>
        </w:rPr>
        <w:t>日。</w:t>
      </w:r>
    </w:p>
    <w:p>
      <w:pPr>
        <w:pStyle w:val="3"/>
        <w:spacing w:line="600" w:lineRule="exact"/>
        <w:ind w:firstLine="480" w:firstLineChars="200"/>
        <w:rPr>
          <w:rFonts w:ascii="宋体" w:hAnsi="宋体"/>
          <w:color w:val="auto"/>
        </w:rPr>
      </w:pPr>
      <w:r>
        <w:rPr>
          <w:rFonts w:hint="eastAsia" w:ascii="宋体" w:hAnsi="宋体"/>
          <w:color w:val="auto"/>
        </w:rPr>
        <w:t>价值类型：清算价值。</w:t>
      </w:r>
    </w:p>
    <w:p>
      <w:pPr>
        <w:pStyle w:val="3"/>
        <w:spacing w:line="600" w:lineRule="exact"/>
        <w:ind w:firstLine="480" w:firstLineChars="200"/>
        <w:rPr>
          <w:rFonts w:ascii="宋体" w:hAnsi="宋体"/>
          <w:color w:val="auto"/>
        </w:rPr>
      </w:pPr>
      <w:r>
        <w:rPr>
          <w:rFonts w:ascii="宋体" w:hAnsi="宋体"/>
          <w:color w:val="auto"/>
        </w:rPr>
        <w:t>评估方法：</w:t>
      </w:r>
      <w:r>
        <w:rPr>
          <w:rFonts w:hint="eastAsia" w:ascii="宋体" w:hAnsi="宋体"/>
          <w:color w:val="auto"/>
        </w:rPr>
        <w:t>资产基础法。</w:t>
      </w:r>
    </w:p>
    <w:p>
      <w:pPr>
        <w:pStyle w:val="3"/>
        <w:spacing w:line="600" w:lineRule="exact"/>
        <w:ind w:firstLine="480" w:firstLineChars="200"/>
        <w:rPr>
          <w:rFonts w:ascii="宋体" w:hAnsi="宋体"/>
          <w:color w:val="auto"/>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color w:val="auto"/>
        </w:rPr>
        <w:t>管理人鉴于富昌公司各项资产分散全国各地的现状，为了及时、高效完成富昌公司资产变价工作，实现资产价值最大化的目的，结合第二次债权人会议通过的资产处置方案，将富昌公司现有资产按照存放地点与分类等具体情况进行划分，现将</w:t>
      </w:r>
      <w:r>
        <w:rPr>
          <w:rFonts w:ascii="宋体" w:hAnsi="宋体"/>
          <w:color w:val="auto"/>
        </w:rPr>
        <w:t>富昌公司</w:t>
      </w:r>
      <w:r>
        <w:rPr>
          <w:rFonts w:hint="eastAsia" w:ascii="宋体" w:hAnsi="宋体"/>
          <w:color w:val="auto"/>
        </w:rPr>
        <w:t>车辆的评估情况汇报如下，</w:t>
      </w:r>
      <w:r>
        <w:rPr>
          <w:rFonts w:ascii="宋体" w:hAnsi="宋体"/>
          <w:color w:val="auto"/>
        </w:rPr>
        <w:t>为</w:t>
      </w:r>
      <w:r>
        <w:rPr>
          <w:rFonts w:hint="eastAsia" w:ascii="宋体" w:hAnsi="宋体"/>
          <w:color w:val="auto"/>
        </w:rPr>
        <w:t>管理人处置上述资产</w:t>
      </w:r>
      <w:r>
        <w:rPr>
          <w:rFonts w:ascii="宋体" w:hAnsi="宋体"/>
          <w:color w:val="auto"/>
        </w:rPr>
        <w:t>提供价值参考依据。</w:t>
      </w:r>
    </w:p>
    <w:tbl>
      <w:tblPr>
        <w:tblStyle w:val="6"/>
        <w:tblW w:w="13958" w:type="dxa"/>
        <w:tblInd w:w="0" w:type="dxa"/>
        <w:tblLayout w:type="autofit"/>
        <w:tblCellMar>
          <w:top w:w="0" w:type="dxa"/>
          <w:left w:w="108" w:type="dxa"/>
          <w:bottom w:w="0" w:type="dxa"/>
          <w:right w:w="108" w:type="dxa"/>
        </w:tblCellMar>
      </w:tblPr>
      <w:tblGrid>
        <w:gridCol w:w="709"/>
        <w:gridCol w:w="2410"/>
        <w:gridCol w:w="2693"/>
        <w:gridCol w:w="851"/>
        <w:gridCol w:w="708"/>
        <w:gridCol w:w="1134"/>
        <w:gridCol w:w="1560"/>
        <w:gridCol w:w="1417"/>
        <w:gridCol w:w="1418"/>
        <w:gridCol w:w="1058"/>
      </w:tblGrid>
      <w:tr>
        <w:tblPrEx>
          <w:tblCellMar>
            <w:top w:w="0" w:type="dxa"/>
            <w:left w:w="108" w:type="dxa"/>
            <w:bottom w:w="0" w:type="dxa"/>
            <w:right w:w="108" w:type="dxa"/>
          </w:tblCellMar>
        </w:tblPrEx>
        <w:trPr>
          <w:trHeight w:val="600" w:hRule="atLeast"/>
        </w:trPr>
        <w:tc>
          <w:tcPr>
            <w:tcW w:w="13958" w:type="dxa"/>
            <w:gridSpan w:val="10"/>
            <w:tcBorders>
              <w:top w:val="nil"/>
              <w:left w:val="nil"/>
              <w:bottom w:val="nil"/>
              <w:right w:val="nil"/>
            </w:tcBorders>
            <w:shd w:val="clear" w:color="auto" w:fill="auto"/>
            <w:vAlign w:val="center"/>
          </w:tcPr>
          <w:p>
            <w:pPr>
              <w:widowControl/>
              <w:jc w:val="center"/>
              <w:rPr>
                <w:rFonts w:ascii="宋体" w:hAnsi="宋体" w:eastAsia="宋体" w:cs="宋体"/>
                <w:b/>
                <w:bCs/>
                <w:color w:val="000000"/>
                <w:kern w:val="0"/>
                <w:sz w:val="36"/>
                <w:szCs w:val="36"/>
              </w:rPr>
            </w:pPr>
            <w:r>
              <w:rPr>
                <w:rFonts w:hint="eastAsia" w:ascii="宋体" w:hAnsi="宋体" w:eastAsia="宋体" w:cs="宋体"/>
                <w:b/>
                <w:bCs/>
                <w:color w:val="000000"/>
                <w:kern w:val="0"/>
                <w:sz w:val="36"/>
                <w:szCs w:val="36"/>
              </w:rPr>
              <w:t>富昌公司车辆评估明细表</w:t>
            </w:r>
          </w:p>
        </w:tc>
      </w:tr>
      <w:tr>
        <w:tblPrEx>
          <w:tblCellMar>
            <w:top w:w="0" w:type="dxa"/>
            <w:left w:w="108" w:type="dxa"/>
            <w:bottom w:w="0" w:type="dxa"/>
            <w:right w:w="108" w:type="dxa"/>
          </w:tblCellMar>
        </w:tblPrEx>
        <w:trPr>
          <w:trHeight w:val="420" w:hRule="atLeast"/>
        </w:trPr>
        <w:tc>
          <w:tcPr>
            <w:tcW w:w="13958" w:type="dxa"/>
            <w:gridSpan w:val="10"/>
            <w:tcBorders>
              <w:top w:val="nil"/>
              <w:left w:val="nil"/>
              <w:bottom w:val="nil"/>
              <w:right w:val="nil"/>
            </w:tcBorders>
            <w:shd w:val="clear" w:color="auto" w:fill="auto"/>
            <w:noWrap/>
            <w:vAlign w:val="center"/>
          </w:tcPr>
          <w:p>
            <w:pPr>
              <w:widowControl/>
              <w:jc w:val="center"/>
              <w:rPr>
                <w:rFonts w:ascii="Arial Narrow" w:hAnsi="Arial Narrow" w:eastAsia="宋体" w:cs="宋体"/>
                <w:color w:val="000000"/>
                <w:kern w:val="0"/>
                <w:sz w:val="20"/>
                <w:szCs w:val="20"/>
              </w:rPr>
            </w:pPr>
            <w:r>
              <w:rPr>
                <w:rFonts w:hint="eastAsia" w:ascii="宋体" w:hAnsi="宋体" w:eastAsia="宋体" w:cs="宋体"/>
                <w:color w:val="000000"/>
                <w:kern w:val="0"/>
                <w:sz w:val="20"/>
                <w:szCs w:val="20"/>
              </w:rPr>
              <w:t>评估基准日：</w:t>
            </w:r>
            <w:r>
              <w:rPr>
                <w:rFonts w:ascii="Arial Narrow" w:hAnsi="Arial Narrow" w:eastAsia="宋体" w:cs="宋体"/>
                <w:color w:val="000000"/>
                <w:kern w:val="0"/>
                <w:sz w:val="20"/>
                <w:szCs w:val="20"/>
              </w:rPr>
              <w:t>2022</w:t>
            </w:r>
            <w:r>
              <w:rPr>
                <w:rFonts w:hint="eastAsia" w:ascii="宋体" w:hAnsi="宋体" w:eastAsia="宋体" w:cs="宋体"/>
                <w:color w:val="000000"/>
                <w:kern w:val="0"/>
                <w:sz w:val="20"/>
                <w:szCs w:val="20"/>
              </w:rPr>
              <w:t>年</w:t>
            </w:r>
            <w:r>
              <w:rPr>
                <w:rFonts w:ascii="Arial Narrow" w:hAnsi="Arial Narrow" w:eastAsia="宋体" w:cs="宋体"/>
                <w:color w:val="000000"/>
                <w:kern w:val="0"/>
                <w:sz w:val="20"/>
                <w:szCs w:val="20"/>
              </w:rPr>
              <w:t>1</w:t>
            </w:r>
            <w:r>
              <w:rPr>
                <w:rFonts w:hint="eastAsia" w:ascii="宋体" w:hAnsi="宋体" w:eastAsia="宋体" w:cs="宋体"/>
                <w:color w:val="000000"/>
                <w:kern w:val="0"/>
                <w:sz w:val="20"/>
                <w:szCs w:val="20"/>
              </w:rPr>
              <w:t>月</w:t>
            </w:r>
            <w:r>
              <w:rPr>
                <w:rFonts w:ascii="Arial Narrow" w:hAnsi="Arial Narrow" w:eastAsia="宋体" w:cs="宋体"/>
                <w:color w:val="000000"/>
                <w:kern w:val="0"/>
                <w:sz w:val="20"/>
                <w:szCs w:val="20"/>
              </w:rPr>
              <w:t>13</w:t>
            </w:r>
            <w:r>
              <w:rPr>
                <w:rFonts w:hint="eastAsia" w:ascii="宋体" w:hAnsi="宋体" w:eastAsia="宋体" w:cs="宋体"/>
                <w:color w:val="000000"/>
                <w:kern w:val="0"/>
                <w:sz w:val="20"/>
                <w:szCs w:val="20"/>
              </w:rPr>
              <w:t>日</w:t>
            </w:r>
          </w:p>
        </w:tc>
      </w:tr>
      <w:tr>
        <w:tblPrEx>
          <w:tblCellMar>
            <w:top w:w="0" w:type="dxa"/>
            <w:left w:w="108" w:type="dxa"/>
            <w:bottom w:w="0" w:type="dxa"/>
            <w:right w:w="108" w:type="dxa"/>
          </w:tblCellMar>
        </w:tblPrEx>
        <w:trPr>
          <w:trHeight w:val="375" w:hRule="atLeast"/>
        </w:trPr>
        <w:tc>
          <w:tcPr>
            <w:tcW w:w="8505" w:type="dxa"/>
            <w:gridSpan w:val="6"/>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r>
              <w:rPr>
                <w:rFonts w:hint="eastAsia" w:ascii="宋体" w:hAnsi="宋体" w:eastAsia="宋体" w:cs="宋体"/>
                <w:kern w:val="0"/>
                <w:sz w:val="18"/>
                <w:szCs w:val="18"/>
              </w:rPr>
              <w:t>被评估单位：河南富昌建设工程有限责任公司</w:t>
            </w:r>
          </w:p>
        </w:tc>
        <w:tc>
          <w:tcPr>
            <w:tcW w:w="156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417"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2476" w:type="dxa"/>
            <w:gridSpan w:val="2"/>
            <w:tcBorders>
              <w:top w:val="nil"/>
              <w:left w:val="nil"/>
              <w:bottom w:val="nil"/>
              <w:right w:val="nil"/>
            </w:tcBorders>
            <w:shd w:val="clear" w:color="auto" w:fill="auto"/>
            <w:noWrap/>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金额单位：人民币元</w:t>
            </w:r>
          </w:p>
        </w:tc>
      </w:tr>
      <w:tr>
        <w:tblPrEx>
          <w:tblCellMar>
            <w:top w:w="0" w:type="dxa"/>
            <w:left w:w="108" w:type="dxa"/>
            <w:bottom w:w="0" w:type="dxa"/>
            <w:right w:w="108" w:type="dxa"/>
          </w:tblCellMar>
        </w:tblPrEx>
        <w:trPr>
          <w:trHeight w:val="540"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序号</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车辆牌号</w:t>
            </w:r>
          </w:p>
        </w:tc>
        <w:tc>
          <w:tcPr>
            <w:tcW w:w="26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车辆名称</w:t>
            </w:r>
          </w:p>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及规格型号</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计量单位</w:t>
            </w:r>
          </w:p>
        </w:tc>
        <w:tc>
          <w:tcPr>
            <w:tcW w:w="70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数量</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启用日期</w:t>
            </w:r>
          </w:p>
        </w:tc>
        <w:tc>
          <w:tcPr>
            <w:tcW w:w="1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已行驶里程</w:t>
            </w:r>
            <w:r>
              <w:rPr>
                <w:rFonts w:ascii="Arial Narrow" w:hAnsi="Arial Narrow" w:eastAsia="宋体" w:cs="宋体"/>
                <w:color w:val="000000"/>
                <w:kern w:val="0"/>
                <w:sz w:val="18"/>
                <w:szCs w:val="18"/>
              </w:rPr>
              <w:t>(</w:t>
            </w:r>
            <w:r>
              <w:rPr>
                <w:rFonts w:hint="eastAsia" w:ascii="宋体" w:hAnsi="宋体" w:eastAsia="宋体" w:cs="宋体"/>
                <w:color w:val="000000"/>
                <w:kern w:val="0"/>
                <w:sz w:val="18"/>
                <w:szCs w:val="18"/>
              </w:rPr>
              <w:t>公里</w:t>
            </w:r>
            <w:r>
              <w:rPr>
                <w:rFonts w:ascii="Arial Narrow" w:hAnsi="Arial Narrow" w:eastAsia="宋体" w:cs="宋体"/>
                <w:color w:val="000000"/>
                <w:kern w:val="0"/>
                <w:sz w:val="18"/>
                <w:szCs w:val="18"/>
              </w:rPr>
              <w:t>)</w:t>
            </w:r>
          </w:p>
        </w:tc>
        <w:tc>
          <w:tcPr>
            <w:tcW w:w="28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评估价值</w:t>
            </w:r>
          </w:p>
        </w:tc>
        <w:tc>
          <w:tcPr>
            <w:tcW w:w="10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备注</w:t>
            </w:r>
          </w:p>
        </w:tc>
      </w:tr>
      <w:tr>
        <w:tblPrEx>
          <w:tblCellMar>
            <w:top w:w="0" w:type="dxa"/>
            <w:left w:w="108" w:type="dxa"/>
            <w:bottom w:w="0" w:type="dxa"/>
            <w:right w:w="108" w:type="dxa"/>
          </w:tblCellMar>
        </w:tblPrEx>
        <w:trPr>
          <w:trHeight w:val="360"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原值</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净值</w:t>
            </w:r>
          </w:p>
        </w:tc>
        <w:tc>
          <w:tcPr>
            <w:tcW w:w="10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Arial Narrow" w:hAnsi="Arial Narrow" w:eastAsia="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豫</w:t>
            </w:r>
            <w:r>
              <w:rPr>
                <w:rFonts w:ascii="Arial Narrow" w:hAnsi="Arial Narrow" w:eastAsia="宋体" w:cs="宋体"/>
                <w:kern w:val="0"/>
                <w:sz w:val="18"/>
                <w:szCs w:val="18"/>
              </w:rPr>
              <w:t>FFC345</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福田牌</w:t>
            </w:r>
            <w:r>
              <w:rPr>
                <w:rFonts w:ascii="Arial Narrow" w:hAnsi="Arial Narrow" w:eastAsia="宋体" w:cs="宋体"/>
                <w:kern w:val="0"/>
                <w:sz w:val="18"/>
                <w:szCs w:val="18"/>
              </w:rPr>
              <w:t>BJ1027V2MA5-S</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2012/3/16</w:t>
            </w:r>
          </w:p>
        </w:tc>
        <w:tc>
          <w:tcPr>
            <w:tcW w:w="1560" w:type="dxa"/>
            <w:tcBorders>
              <w:top w:val="nil"/>
              <w:left w:val="nil"/>
              <w:bottom w:val="single" w:color="auto" w:sz="4" w:space="0"/>
              <w:right w:val="single" w:color="auto" w:sz="4" w:space="0"/>
            </w:tcBorders>
            <w:shd w:val="clear" w:color="auto" w:fill="auto"/>
            <w:noWrap/>
            <w:vAlign w:val="bottom"/>
          </w:tcPr>
          <w:p>
            <w:pPr>
              <w:widowControl/>
              <w:jc w:val="right"/>
              <w:rPr>
                <w:rFonts w:ascii="Arial Narrow" w:hAnsi="Arial Narrow" w:eastAsia="宋体" w:cs="宋体"/>
                <w:kern w:val="0"/>
                <w:sz w:val="18"/>
                <w:szCs w:val="18"/>
              </w:rPr>
            </w:pPr>
            <w:r>
              <w:rPr>
                <w:rFonts w:ascii="Arial Narrow" w:hAnsi="Arial Narrow" w:eastAsia="宋体" w:cs="宋体"/>
                <w:kern w:val="0"/>
                <w:sz w:val="18"/>
                <w:szCs w:val="1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5,000.00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5,000.00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highlight w:val="yellow"/>
              </w:rPr>
            </w:pPr>
            <w:r>
              <w:rPr>
                <w:rFonts w:hint="eastAsia" w:ascii="宋体" w:hAnsi="宋体" w:eastAsia="宋体" w:cs="宋体"/>
                <w:kern w:val="0"/>
                <w:sz w:val="18"/>
                <w:szCs w:val="18"/>
                <w:highlight w:val="yellow"/>
              </w:rPr>
              <w:t>豫</w:t>
            </w:r>
            <w:r>
              <w:rPr>
                <w:rFonts w:ascii="Arial Narrow" w:hAnsi="Arial Narrow" w:eastAsia="宋体" w:cs="宋体"/>
                <w:kern w:val="0"/>
                <w:sz w:val="18"/>
                <w:szCs w:val="18"/>
                <w:highlight w:val="yellow"/>
              </w:rPr>
              <w:t>FFC181</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highlight w:val="yellow"/>
              </w:rPr>
            </w:pPr>
            <w:r>
              <w:rPr>
                <w:rFonts w:hint="eastAsia" w:ascii="宋体" w:hAnsi="宋体" w:eastAsia="宋体" w:cs="宋体"/>
                <w:kern w:val="0"/>
                <w:sz w:val="18"/>
                <w:szCs w:val="18"/>
                <w:highlight w:val="yellow"/>
              </w:rPr>
              <w:t>长安之星</w:t>
            </w:r>
            <w:r>
              <w:rPr>
                <w:rFonts w:ascii="Arial Narrow" w:hAnsi="Arial Narrow" w:eastAsia="宋体" w:cs="宋体"/>
                <w:kern w:val="0"/>
                <w:sz w:val="18"/>
                <w:szCs w:val="18"/>
                <w:highlight w:val="yellow"/>
              </w:rPr>
              <w:t>SC5014XQC3</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2005/1/26</w:t>
            </w:r>
          </w:p>
        </w:tc>
        <w:tc>
          <w:tcPr>
            <w:tcW w:w="1560" w:type="dxa"/>
            <w:tcBorders>
              <w:top w:val="nil"/>
              <w:left w:val="nil"/>
              <w:bottom w:val="single" w:color="auto" w:sz="4" w:space="0"/>
              <w:right w:val="single" w:color="auto" w:sz="4" w:space="0"/>
            </w:tcBorders>
            <w:shd w:val="clear" w:color="auto" w:fill="auto"/>
            <w:noWrap/>
            <w:vAlign w:val="bottom"/>
          </w:tcPr>
          <w:p>
            <w:pPr>
              <w:widowControl/>
              <w:jc w:val="right"/>
              <w:rPr>
                <w:rFonts w:ascii="Arial Narrow" w:hAnsi="Arial Narrow" w:eastAsia="宋体" w:cs="宋体"/>
                <w:kern w:val="0"/>
                <w:sz w:val="18"/>
                <w:szCs w:val="18"/>
                <w:highlight w:val="yellow"/>
              </w:rPr>
            </w:pPr>
            <w:r>
              <w:rPr>
                <w:rFonts w:ascii="Arial Narrow" w:hAnsi="Arial Narrow" w:eastAsia="宋体" w:cs="宋体"/>
                <w:kern w:val="0"/>
                <w:sz w:val="18"/>
                <w:szCs w:val="18"/>
                <w:highlight w:val="yellow"/>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豫</w:t>
            </w:r>
            <w:r>
              <w:rPr>
                <w:rFonts w:ascii="Arial Narrow" w:hAnsi="Arial Narrow" w:eastAsia="宋体" w:cs="宋体"/>
                <w:kern w:val="0"/>
                <w:sz w:val="18"/>
                <w:szCs w:val="18"/>
              </w:rPr>
              <w:t>F3V782</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东风日产牌</w:t>
            </w:r>
            <w:r>
              <w:rPr>
                <w:rFonts w:ascii="Arial Narrow" w:hAnsi="Arial Narrow" w:eastAsia="宋体" w:cs="宋体"/>
                <w:kern w:val="0"/>
                <w:sz w:val="18"/>
                <w:szCs w:val="18"/>
              </w:rPr>
              <w:t>EQ7250AC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2009/9/1</w:t>
            </w:r>
          </w:p>
        </w:tc>
        <w:tc>
          <w:tcPr>
            <w:tcW w:w="1560" w:type="dxa"/>
            <w:tcBorders>
              <w:top w:val="nil"/>
              <w:left w:val="nil"/>
              <w:bottom w:val="single" w:color="auto" w:sz="4" w:space="0"/>
              <w:right w:val="single" w:color="auto" w:sz="4" w:space="0"/>
            </w:tcBorders>
            <w:shd w:val="clear" w:color="auto" w:fill="auto"/>
            <w:noWrap/>
            <w:vAlign w:val="bottom"/>
          </w:tcPr>
          <w:p>
            <w:pPr>
              <w:widowControl/>
              <w:jc w:val="right"/>
              <w:rPr>
                <w:rFonts w:ascii="Arial Narrow" w:hAnsi="Arial Narrow" w:eastAsia="宋体" w:cs="宋体"/>
                <w:kern w:val="0"/>
                <w:sz w:val="18"/>
                <w:szCs w:val="18"/>
              </w:rPr>
            </w:pPr>
            <w:r>
              <w:rPr>
                <w:rFonts w:ascii="Arial Narrow" w:hAnsi="Arial Narrow" w:eastAsia="宋体" w:cs="宋体"/>
                <w:kern w:val="0"/>
                <w:sz w:val="18"/>
                <w:szCs w:val="1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35,000.00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35,000.00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F39226</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克莱斯勒牌</w:t>
            </w:r>
            <w:r>
              <w:rPr>
                <w:rFonts w:ascii="Arial Narrow" w:hAnsi="Arial Narrow" w:eastAsia="宋体" w:cs="宋体"/>
                <w:color w:val="000000"/>
                <w:kern w:val="0"/>
                <w:sz w:val="18"/>
                <w:szCs w:val="18"/>
              </w:rPr>
              <w:t>BJ7270C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2007/4/28</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35,000.00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35,000.00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5</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FFC362</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蒙迪欧牌</w:t>
            </w:r>
            <w:r>
              <w:rPr>
                <w:rFonts w:ascii="Arial Narrow" w:hAnsi="Arial Narrow" w:eastAsia="宋体" w:cs="宋体"/>
                <w:color w:val="000000"/>
                <w:kern w:val="0"/>
                <w:sz w:val="18"/>
                <w:szCs w:val="18"/>
              </w:rPr>
              <w:t>CAF7230A</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2008/12/26</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15,000.00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15,000.00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6</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FC0013</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尼桑牌</w:t>
            </w:r>
            <w:r>
              <w:rPr>
                <w:rFonts w:ascii="Arial Narrow" w:hAnsi="Arial Narrow" w:eastAsia="宋体" w:cs="宋体"/>
                <w:color w:val="000000"/>
                <w:kern w:val="0"/>
                <w:sz w:val="18"/>
                <w:szCs w:val="18"/>
              </w:rPr>
              <w:t>ZN6454WAG4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2011/11/15</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416,874.00</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Arial Narrow" w:hAnsi="Arial Narrow" w:eastAsia="宋体" w:cs="宋体"/>
                <w:color w:val="000000"/>
                <w:kern w:val="0"/>
                <w:sz w:val="18"/>
                <w:szCs w:val="18"/>
              </w:rPr>
              <w:t>7</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FC0015</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尼桑牌</w:t>
            </w:r>
            <w:r>
              <w:rPr>
                <w:rFonts w:ascii="Arial Narrow" w:hAnsi="Arial Narrow" w:eastAsia="宋体" w:cs="宋体"/>
                <w:kern w:val="0"/>
                <w:sz w:val="18"/>
                <w:szCs w:val="18"/>
              </w:rPr>
              <w:t>ZN6454W1G4</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2011/11/17</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Arial Narrow" w:hAnsi="Arial Narrow" w:eastAsia="宋体" w:cs="宋体"/>
                <w:color w:val="000000"/>
                <w:kern w:val="0"/>
                <w:sz w:val="18"/>
                <w:szCs w:val="18"/>
              </w:rPr>
              <w:t>8</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F11630</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亚特重工牌</w:t>
            </w:r>
            <w:r>
              <w:rPr>
                <w:rFonts w:ascii="Arial Narrow" w:hAnsi="Arial Narrow" w:eastAsia="宋体" w:cs="宋体"/>
                <w:kern w:val="0"/>
                <w:sz w:val="18"/>
                <w:szCs w:val="18"/>
              </w:rPr>
              <w:t>TZ5257GJBZ4M</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2011/11/3</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41,600.00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41,600.00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Arial Narrow" w:hAnsi="Arial Narrow" w:eastAsia="宋体" w:cs="宋体"/>
                <w:color w:val="000000"/>
                <w:kern w:val="0"/>
                <w:sz w:val="18"/>
                <w:szCs w:val="18"/>
              </w:rPr>
              <w:t>9</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F11629</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亚特重工牌</w:t>
            </w:r>
            <w:r>
              <w:rPr>
                <w:rFonts w:ascii="Arial Narrow" w:hAnsi="Arial Narrow" w:eastAsia="宋体" w:cs="宋体"/>
                <w:kern w:val="0"/>
                <w:sz w:val="18"/>
                <w:szCs w:val="18"/>
              </w:rPr>
              <w:t>TZ5257GJBZ4M</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2011/11/3</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41,600.00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41,600.00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52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10</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F11389</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三一牌</w:t>
            </w:r>
            <w:r>
              <w:rPr>
                <w:rFonts w:ascii="Arial Narrow" w:hAnsi="Arial Narrow" w:eastAsia="宋体" w:cs="宋体"/>
                <w:kern w:val="0"/>
                <w:sz w:val="18"/>
                <w:szCs w:val="18"/>
              </w:rPr>
              <w:t>SYM5330JQZ(STC250)</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2011/8/22</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78,000.00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78,000.00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F11390</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三一牌</w:t>
            </w:r>
            <w:r>
              <w:rPr>
                <w:rFonts w:ascii="Arial Narrow" w:hAnsi="Arial Narrow" w:eastAsia="宋体" w:cs="宋体"/>
                <w:kern w:val="0"/>
                <w:sz w:val="18"/>
                <w:szCs w:val="18"/>
              </w:rPr>
              <w:t>SYM5421JQZ(QY500)</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2011/8/22</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78,000.00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78,000.00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561"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豫</w:t>
            </w:r>
            <w:r>
              <w:rPr>
                <w:rFonts w:ascii="Arial Narrow" w:hAnsi="Arial Narrow" w:eastAsia="宋体" w:cs="宋体"/>
                <w:color w:val="000000"/>
                <w:kern w:val="0"/>
                <w:sz w:val="18"/>
                <w:szCs w:val="18"/>
                <w:highlight w:val="yellow"/>
              </w:rPr>
              <w:t>F06869</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highlight w:val="yellow"/>
              </w:rPr>
            </w:pPr>
            <w:r>
              <w:rPr>
                <w:rFonts w:hint="eastAsia" w:ascii="宋体" w:hAnsi="宋体" w:eastAsia="宋体" w:cs="宋体"/>
                <w:kern w:val="0"/>
                <w:sz w:val="18"/>
                <w:szCs w:val="18"/>
                <w:highlight w:val="yellow"/>
              </w:rPr>
              <w:t>桑塔纳</w:t>
            </w:r>
            <w:r>
              <w:rPr>
                <w:rFonts w:ascii="Arial Narrow" w:hAnsi="Arial Narrow" w:eastAsia="宋体" w:cs="宋体"/>
                <w:kern w:val="0"/>
                <w:sz w:val="18"/>
                <w:szCs w:val="18"/>
                <w:highlight w:val="yellow"/>
              </w:rPr>
              <w:t>330K8LL0LTD2</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1999/3/1</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2,030.00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2,030.00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　</w:t>
            </w:r>
          </w:p>
        </w:tc>
      </w:tr>
      <w:tr>
        <w:tblPrEx>
          <w:tblCellMar>
            <w:top w:w="0" w:type="dxa"/>
            <w:left w:w="108" w:type="dxa"/>
            <w:bottom w:w="0" w:type="dxa"/>
            <w:right w:w="108" w:type="dxa"/>
          </w:tblCellMar>
        </w:tblPrEx>
        <w:trPr>
          <w:trHeight w:val="315"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13</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F12P90</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大众汽车牌</w:t>
            </w:r>
            <w:r>
              <w:rPr>
                <w:rFonts w:ascii="Arial Narrow" w:hAnsi="Arial Narrow" w:eastAsia="宋体" w:cs="宋体"/>
                <w:kern w:val="0"/>
                <w:sz w:val="18"/>
                <w:szCs w:val="18"/>
              </w:rPr>
              <w:t>SVW7181OCJ</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2014/3/28</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252,380.00</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70,000.00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70,000.00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14</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FFC399</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北京现代牌</w:t>
            </w:r>
            <w:r>
              <w:rPr>
                <w:rFonts w:ascii="Arial Narrow" w:hAnsi="Arial Narrow" w:eastAsia="宋体" w:cs="宋体"/>
                <w:kern w:val="0"/>
                <w:sz w:val="18"/>
                <w:szCs w:val="18"/>
              </w:rPr>
              <w:t>BH6430MY</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2009/5/6</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25,000.00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25,000.00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3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15</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F31869</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昌河牌</w:t>
            </w:r>
            <w:r>
              <w:rPr>
                <w:rFonts w:ascii="Arial Narrow" w:hAnsi="Arial Narrow" w:eastAsia="宋体" w:cs="宋体"/>
                <w:kern w:val="0"/>
                <w:sz w:val="18"/>
                <w:szCs w:val="18"/>
              </w:rPr>
              <w:t>CH6390E</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2008/6/12</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233,903.00</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16</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豫</w:t>
            </w:r>
            <w:r>
              <w:rPr>
                <w:rFonts w:ascii="Arial Narrow" w:hAnsi="Arial Narrow" w:eastAsia="宋体" w:cs="宋体"/>
                <w:color w:val="000000"/>
                <w:kern w:val="0"/>
                <w:sz w:val="18"/>
                <w:szCs w:val="18"/>
                <w:highlight w:val="yellow"/>
              </w:rPr>
              <w:t>F20728</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highlight w:val="yellow"/>
              </w:rPr>
            </w:pPr>
            <w:r>
              <w:rPr>
                <w:rFonts w:hint="eastAsia" w:ascii="宋体" w:hAnsi="宋体" w:eastAsia="宋体" w:cs="宋体"/>
                <w:kern w:val="0"/>
                <w:sz w:val="18"/>
                <w:szCs w:val="18"/>
                <w:highlight w:val="yellow"/>
              </w:rPr>
              <w:t>航天</w:t>
            </w:r>
            <w:r>
              <w:rPr>
                <w:rFonts w:ascii="Arial Narrow" w:hAnsi="Arial Narrow" w:eastAsia="宋体" w:cs="宋体"/>
                <w:kern w:val="0"/>
                <w:sz w:val="18"/>
                <w:szCs w:val="18"/>
                <w:highlight w:val="yellow"/>
              </w:rPr>
              <w:t>GHT6501</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2005/8/16</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　</w:t>
            </w:r>
          </w:p>
        </w:tc>
      </w:tr>
      <w:tr>
        <w:tblPrEx>
          <w:tblCellMar>
            <w:top w:w="0" w:type="dxa"/>
            <w:left w:w="108" w:type="dxa"/>
            <w:bottom w:w="0" w:type="dxa"/>
            <w:right w:w="108" w:type="dxa"/>
          </w:tblCellMar>
        </w:tblPrEx>
        <w:trPr>
          <w:trHeight w:val="36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17</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豫</w:t>
            </w:r>
            <w:r>
              <w:rPr>
                <w:rFonts w:ascii="Arial Narrow" w:hAnsi="Arial Narrow" w:eastAsia="宋体" w:cs="宋体"/>
                <w:color w:val="000000"/>
                <w:kern w:val="0"/>
                <w:sz w:val="18"/>
                <w:szCs w:val="18"/>
                <w:highlight w:val="yellow"/>
              </w:rPr>
              <w:t>F17199</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highlight w:val="yellow"/>
              </w:rPr>
            </w:pPr>
            <w:r>
              <w:rPr>
                <w:rFonts w:hint="eastAsia" w:ascii="宋体" w:hAnsi="宋体" w:eastAsia="宋体" w:cs="宋体"/>
                <w:kern w:val="0"/>
                <w:sz w:val="18"/>
                <w:szCs w:val="18"/>
                <w:highlight w:val="yellow"/>
              </w:rPr>
              <w:t>美亚牌</w:t>
            </w:r>
            <w:r>
              <w:rPr>
                <w:rFonts w:ascii="Arial Narrow" w:hAnsi="Arial Narrow" w:eastAsia="宋体" w:cs="宋体"/>
                <w:kern w:val="0"/>
                <w:sz w:val="18"/>
                <w:szCs w:val="18"/>
                <w:highlight w:val="yellow"/>
              </w:rPr>
              <w:t>TM6560</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2004/5/10</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　</w:t>
            </w:r>
          </w:p>
        </w:tc>
      </w:tr>
      <w:tr>
        <w:tblPrEx>
          <w:tblCellMar>
            <w:top w:w="0" w:type="dxa"/>
            <w:left w:w="108" w:type="dxa"/>
            <w:bottom w:w="0" w:type="dxa"/>
            <w:right w:w="108" w:type="dxa"/>
          </w:tblCellMar>
        </w:tblPrEx>
        <w:trPr>
          <w:trHeight w:val="36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18</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F18676</w:t>
            </w:r>
          </w:p>
        </w:tc>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kern w:val="0"/>
                <w:sz w:val="18"/>
                <w:szCs w:val="18"/>
              </w:rPr>
            </w:pPr>
            <w:r>
              <w:rPr>
                <w:rFonts w:hint="eastAsia" w:ascii="宋体" w:hAnsi="宋体" w:eastAsia="宋体" w:cs="宋体"/>
                <w:kern w:val="0"/>
                <w:sz w:val="18"/>
                <w:szCs w:val="18"/>
              </w:rPr>
              <w:t>桑塔纳</w:t>
            </w:r>
            <w:r>
              <w:rPr>
                <w:rFonts w:ascii="Arial Narrow" w:hAnsi="Arial Narrow" w:eastAsia="宋体" w:cs="宋体"/>
                <w:kern w:val="0"/>
                <w:sz w:val="18"/>
                <w:szCs w:val="18"/>
              </w:rPr>
              <w:t>SVW7182KFI</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2005/3/2</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Arial Narrow" w:hAnsi="Arial Narrow" w:eastAsia="宋体" w:cs="宋体"/>
                <w:color w:val="000000"/>
                <w:kern w:val="0"/>
                <w:sz w:val="18"/>
                <w:szCs w:val="18"/>
                <w:highlight w:val="yellow"/>
              </w:rPr>
              <w:t>1</w:t>
            </w:r>
            <w:r>
              <w:rPr>
                <w:rFonts w:ascii="Arial Narrow" w:hAnsi="Arial Narrow" w:eastAsia="宋体" w:cs="宋体"/>
                <w:color w:val="000000"/>
                <w:kern w:val="0"/>
                <w:sz w:val="18"/>
                <w:szCs w:val="18"/>
                <w:highlight w:val="yellow"/>
              </w:rPr>
              <w:t>9</w:t>
            </w: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豫</w:t>
            </w:r>
            <w:r>
              <w:rPr>
                <w:rFonts w:ascii="Arial Narrow" w:hAnsi="Arial Narrow" w:eastAsia="宋体" w:cs="宋体"/>
                <w:color w:val="000000"/>
                <w:kern w:val="0"/>
                <w:sz w:val="18"/>
                <w:szCs w:val="18"/>
                <w:highlight w:val="yellow"/>
              </w:rPr>
              <w:t>F20706</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吉奥</w:t>
            </w:r>
            <w:r>
              <w:rPr>
                <w:rFonts w:ascii="Arial Narrow" w:hAnsi="Arial Narrow" w:eastAsia="宋体" w:cs="宋体"/>
                <w:color w:val="000000"/>
                <w:kern w:val="0"/>
                <w:sz w:val="18"/>
                <w:szCs w:val="18"/>
                <w:highlight w:val="yellow"/>
              </w:rPr>
              <w:t>GA6490-1</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hint="eastAsia" w:ascii="宋体" w:hAnsi="宋体" w:eastAsia="宋体" w:cs="宋体"/>
                <w:color w:val="000000"/>
                <w:kern w:val="0"/>
                <w:sz w:val="18"/>
                <w:szCs w:val="18"/>
                <w:highlight w:val="yellow"/>
              </w:rPr>
              <w:t>辆</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2005/8/16</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highlight w:val="yellow"/>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2,000.00</w:t>
            </w:r>
          </w:p>
        </w:tc>
        <w:tc>
          <w:tcPr>
            <w:tcW w:w="105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highlight w:val="yellow"/>
              </w:rPr>
            </w:pPr>
            <w:r>
              <w:rPr>
                <w:rFonts w:ascii="Arial Narrow" w:hAnsi="Arial Narrow" w:eastAsia="宋体" w:cs="宋体"/>
                <w:color w:val="000000"/>
                <w:kern w:val="0"/>
                <w:sz w:val="18"/>
                <w:szCs w:val="18"/>
                <w:highlight w:val="yellow"/>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Arial Narrow" w:hAnsi="Arial Narrow" w:eastAsia="宋体" w:cs="宋体"/>
                <w:color w:val="000000"/>
                <w:kern w:val="0"/>
                <w:sz w:val="18"/>
                <w:szCs w:val="18"/>
                <w:lang w:val="en-US" w:eastAsia="zh-CN"/>
              </w:rPr>
            </w:pPr>
            <w:r>
              <w:rPr>
                <w:rFonts w:hint="eastAsia" w:ascii="Arial Narrow" w:hAnsi="Arial Narrow" w:eastAsia="宋体" w:cs="宋体"/>
                <w:color w:val="000000"/>
                <w:kern w:val="0"/>
                <w:sz w:val="18"/>
                <w:szCs w:val="18"/>
                <w:lang w:val="en-US" w:eastAsia="zh-CN"/>
              </w:rPr>
              <w:t>20</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晋</w:t>
            </w:r>
            <w:r>
              <w:rPr>
                <w:rFonts w:ascii="Arial Narrow" w:hAnsi="Arial Narrow" w:eastAsia="宋体" w:cs="宋体"/>
                <w:color w:val="000000"/>
                <w:kern w:val="0"/>
                <w:sz w:val="18"/>
                <w:szCs w:val="18"/>
              </w:rPr>
              <w:t>DFC078</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奥迪牌</w:t>
            </w:r>
            <w:r>
              <w:rPr>
                <w:rFonts w:ascii="Arial Narrow" w:hAnsi="Arial Narrow" w:eastAsia="宋体" w:cs="宋体"/>
                <w:color w:val="000000"/>
                <w:kern w:val="0"/>
                <w:sz w:val="18"/>
                <w:szCs w:val="18"/>
              </w:rPr>
              <w:t>FV7241CVT</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2008/1/8</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21,000.00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21,000.00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Arial Narrow" w:hAnsi="Arial Narrow" w:eastAsia="宋体" w:cs="宋体"/>
                <w:color w:val="000000"/>
                <w:kern w:val="0"/>
                <w:sz w:val="18"/>
                <w:szCs w:val="18"/>
                <w:lang w:val="en-US" w:eastAsia="zh-CN"/>
              </w:rPr>
            </w:pPr>
            <w:r>
              <w:rPr>
                <w:rFonts w:hint="eastAsia" w:ascii="Arial Narrow" w:hAnsi="Arial Narrow" w:eastAsia="宋体" w:cs="宋体"/>
                <w:color w:val="000000"/>
                <w:kern w:val="0"/>
                <w:sz w:val="18"/>
                <w:szCs w:val="18"/>
                <w:lang w:val="en-US" w:eastAsia="zh-CN"/>
              </w:rPr>
              <w:t>21</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F36779</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解放牌</w:t>
            </w:r>
            <w:r>
              <w:rPr>
                <w:rFonts w:ascii="Arial Narrow" w:hAnsi="Arial Narrow" w:eastAsia="宋体" w:cs="宋体"/>
                <w:color w:val="000000"/>
                <w:kern w:val="0"/>
                <w:sz w:val="18"/>
                <w:szCs w:val="18"/>
              </w:rPr>
              <w:t>CA6480P6E1</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2008/6/17</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3,000.00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15"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Arial Narrow" w:hAnsi="Arial Narrow" w:eastAsia="宋体" w:cs="宋体"/>
                <w:color w:val="000000"/>
                <w:kern w:val="0"/>
                <w:sz w:val="18"/>
                <w:szCs w:val="18"/>
                <w:lang w:val="en-US" w:eastAsia="zh-CN"/>
              </w:rPr>
            </w:pPr>
            <w:r>
              <w:rPr>
                <w:rFonts w:hint="eastAsia" w:ascii="Arial Narrow" w:hAnsi="Arial Narrow" w:eastAsia="宋体" w:cs="宋体"/>
                <w:color w:val="000000"/>
                <w:kern w:val="0"/>
                <w:sz w:val="18"/>
                <w:szCs w:val="18"/>
                <w:lang w:val="en-US" w:eastAsia="zh-CN"/>
              </w:rPr>
              <w:t>22</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豫</w:t>
            </w:r>
            <w:r>
              <w:rPr>
                <w:rFonts w:ascii="Arial Narrow" w:hAnsi="Arial Narrow" w:eastAsia="宋体" w:cs="宋体"/>
                <w:color w:val="000000"/>
                <w:kern w:val="0"/>
                <w:sz w:val="18"/>
                <w:szCs w:val="18"/>
              </w:rPr>
              <w:t>FQ8911</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大众牌</w:t>
            </w:r>
            <w:r>
              <w:rPr>
                <w:rFonts w:ascii="Arial Narrow" w:hAnsi="Arial Narrow" w:eastAsia="宋体" w:cs="宋体"/>
                <w:color w:val="000000"/>
                <w:kern w:val="0"/>
                <w:sz w:val="18"/>
                <w:szCs w:val="18"/>
              </w:rPr>
              <w:t>FV7166FAMGG</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hint="eastAsia" w:ascii="宋体" w:hAnsi="宋体" w:eastAsia="宋体" w:cs="宋体"/>
                <w:color w:val="000000"/>
                <w:kern w:val="0"/>
                <w:sz w:val="18"/>
                <w:szCs w:val="18"/>
              </w:rPr>
              <w:t>辆</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2012/9/19</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color w:val="000000"/>
                <w:kern w:val="0"/>
                <w:sz w:val="18"/>
                <w:szCs w:val="18"/>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43,000.00</w:t>
            </w:r>
          </w:p>
        </w:tc>
        <w:tc>
          <w:tcPr>
            <w:tcW w:w="1418" w:type="dxa"/>
            <w:tcBorders>
              <w:top w:val="nil"/>
              <w:left w:val="nil"/>
              <w:bottom w:val="single" w:color="auto" w:sz="4" w:space="0"/>
              <w:right w:val="single" w:color="auto" w:sz="4" w:space="0"/>
            </w:tcBorders>
            <w:shd w:val="clear" w:color="auto" w:fill="auto"/>
            <w:noWrap/>
            <w:vAlign w:val="center"/>
          </w:tcPr>
          <w:p>
            <w:pPr>
              <w:widowControl/>
              <w:jc w:val="righ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43,000.00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812"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Arial Narrow" w:hAnsi="Arial Narrow" w:eastAsia="宋体" w:cs="宋体"/>
                <w:b/>
                <w:bCs/>
                <w:color w:val="000000"/>
                <w:kern w:val="0"/>
                <w:sz w:val="18"/>
                <w:szCs w:val="18"/>
              </w:rPr>
            </w:pPr>
            <w:r>
              <w:rPr>
                <w:rFonts w:hint="eastAsia" w:ascii="宋体" w:hAnsi="宋体" w:eastAsia="宋体" w:cs="宋体"/>
                <w:b/>
                <w:bCs/>
                <w:color w:val="000000"/>
                <w:kern w:val="0"/>
                <w:sz w:val="18"/>
                <w:szCs w:val="18"/>
              </w:rPr>
              <w:t>合</w:t>
            </w:r>
            <w:r>
              <w:rPr>
                <w:rFonts w:ascii="Arial Narrow" w:hAnsi="Arial Narrow" w:eastAsia="宋体" w:cs="宋体"/>
                <w:b/>
                <w:bCs/>
                <w:color w:val="000000"/>
                <w:kern w:val="0"/>
                <w:sz w:val="18"/>
                <w:szCs w:val="18"/>
              </w:rPr>
              <w:t xml:space="preserve">            </w:t>
            </w:r>
            <w:r>
              <w:rPr>
                <w:rFonts w:hint="eastAsia" w:ascii="宋体" w:hAnsi="宋体" w:eastAsia="宋体" w:cs="宋体"/>
                <w:b/>
                <w:bCs/>
                <w:color w:val="000000"/>
                <w:kern w:val="0"/>
                <w:sz w:val="18"/>
                <w:szCs w:val="18"/>
              </w:rPr>
              <w:t>计</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b/>
                <w:bCs/>
                <w:color w:val="000000"/>
                <w:kern w:val="0"/>
                <w:sz w:val="18"/>
                <w:szCs w:val="18"/>
              </w:rPr>
            </w:pPr>
            <w:r>
              <w:rPr>
                <w:rFonts w:ascii="Arial Narrow" w:hAnsi="Arial Narrow" w:eastAsia="宋体" w:cs="宋体"/>
                <w:b/>
                <w:bCs/>
                <w:color w:val="000000"/>
                <w:kern w:val="0"/>
                <w:sz w:val="18"/>
                <w:szCs w:val="18"/>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b/>
                <w:bCs/>
                <w:color w:val="000000"/>
                <w:kern w:val="0"/>
                <w:sz w:val="18"/>
                <w:szCs w:val="18"/>
              </w:rPr>
            </w:pPr>
            <w:r>
              <w:rPr>
                <w:rFonts w:ascii="Arial Narrow" w:hAnsi="Arial Narrow" w:eastAsia="宋体" w:cs="宋体"/>
                <w:b/>
                <w:bCs/>
                <w:color w:val="000000"/>
                <w:kern w:val="0"/>
                <w:sz w:val="18"/>
                <w:szCs w:val="18"/>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b/>
                <w:bCs/>
                <w:color w:val="000000"/>
                <w:kern w:val="0"/>
                <w:sz w:val="18"/>
                <w:szCs w:val="18"/>
              </w:rPr>
            </w:pPr>
            <w:r>
              <w:rPr>
                <w:rFonts w:ascii="Arial Narrow" w:hAnsi="Arial Narrow" w:eastAsia="宋体" w:cs="宋体"/>
                <w:b/>
                <w:bCs/>
                <w:color w:val="000000"/>
                <w:kern w:val="0"/>
                <w:sz w:val="18"/>
                <w:szCs w:val="18"/>
              </w:rPr>
              <w:t>　</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Arial Narrow" w:hAnsi="Arial Narrow" w:eastAsia="宋体" w:cs="宋体"/>
                <w:b/>
                <w:bCs/>
                <w:color w:val="000000"/>
                <w:kern w:val="0"/>
                <w:sz w:val="18"/>
                <w:szCs w:val="18"/>
              </w:rPr>
            </w:pPr>
            <w:r>
              <w:rPr>
                <w:rFonts w:ascii="Arial Narrow" w:hAnsi="Arial Narrow" w:eastAsia="宋体" w:cs="宋体"/>
                <w:b/>
                <w:bCs/>
                <w:color w:val="000000"/>
                <w:kern w:val="0"/>
                <w:sz w:val="18"/>
                <w:szCs w:val="18"/>
              </w:rPr>
              <w:t>　</w:t>
            </w:r>
          </w:p>
        </w:tc>
        <w:tc>
          <w:tcPr>
            <w:tcW w:w="1417" w:type="dxa"/>
            <w:tcBorders>
              <w:top w:val="nil"/>
              <w:left w:val="nil"/>
              <w:bottom w:val="single" w:color="auto" w:sz="4" w:space="0"/>
              <w:right w:val="single" w:color="auto" w:sz="4" w:space="0"/>
            </w:tcBorders>
            <w:shd w:val="clear" w:color="auto" w:fill="auto"/>
            <w:noWrap/>
          </w:tcPr>
          <w:p>
            <w:pPr>
              <w:widowControl/>
              <w:jc w:val="right"/>
              <w:rPr>
                <w:rFonts w:ascii="Arial Narrow" w:hAnsi="Arial Narrow" w:eastAsia="宋体" w:cs="宋体"/>
                <w:b/>
                <w:bCs/>
                <w:color w:val="000000"/>
                <w:kern w:val="0"/>
                <w:sz w:val="18"/>
                <w:szCs w:val="18"/>
              </w:rPr>
            </w:pPr>
            <w:r>
              <w:rPr>
                <w:rFonts w:hint="eastAsia" w:ascii="Arial Narrow" w:hAnsi="Arial Narrow" w:eastAsia="宋体" w:cs="宋体"/>
                <w:b/>
                <w:bCs/>
                <w:color w:val="000000"/>
                <w:kern w:val="0"/>
                <w:sz w:val="18"/>
                <w:szCs w:val="18"/>
                <w:lang w:val="en-US" w:eastAsia="zh-CN"/>
              </w:rPr>
              <w:t>56</w:t>
            </w:r>
            <w:r>
              <w:rPr>
                <w:rFonts w:ascii="Arial Narrow" w:hAnsi="Arial Narrow" w:eastAsia="宋体" w:cs="宋体"/>
                <w:b/>
                <w:bCs/>
                <w:color w:val="000000"/>
                <w:kern w:val="0"/>
                <w:sz w:val="18"/>
                <w:szCs w:val="18"/>
              </w:rPr>
              <w:t>6,230.00</w:t>
            </w:r>
          </w:p>
        </w:tc>
        <w:tc>
          <w:tcPr>
            <w:tcW w:w="1418" w:type="dxa"/>
            <w:tcBorders>
              <w:top w:val="nil"/>
              <w:left w:val="nil"/>
              <w:bottom w:val="single" w:color="auto" w:sz="4" w:space="0"/>
              <w:right w:val="single" w:color="auto" w:sz="4" w:space="0"/>
            </w:tcBorders>
            <w:shd w:val="clear" w:color="auto" w:fill="auto"/>
            <w:noWrap/>
          </w:tcPr>
          <w:p>
            <w:pPr>
              <w:widowControl/>
              <w:jc w:val="right"/>
              <w:rPr>
                <w:rFonts w:ascii="Arial Narrow" w:hAnsi="Arial Narrow" w:eastAsia="宋体" w:cs="宋体"/>
                <w:b/>
                <w:bCs/>
                <w:color w:val="000000"/>
                <w:kern w:val="0"/>
                <w:sz w:val="18"/>
                <w:szCs w:val="18"/>
              </w:rPr>
            </w:pPr>
            <w:r>
              <w:rPr>
                <w:rFonts w:hint="eastAsia" w:ascii="Arial Narrow" w:hAnsi="Arial Narrow" w:eastAsia="宋体" w:cs="宋体"/>
                <w:b/>
                <w:bCs/>
                <w:color w:val="000000"/>
                <w:kern w:val="0"/>
                <w:sz w:val="18"/>
                <w:szCs w:val="18"/>
                <w:lang w:val="en-US" w:eastAsia="zh-CN"/>
              </w:rPr>
              <w:t>56</w:t>
            </w:r>
            <w:r>
              <w:rPr>
                <w:rFonts w:ascii="Arial Narrow" w:hAnsi="Arial Narrow" w:eastAsia="宋体" w:cs="宋体"/>
                <w:b/>
                <w:bCs/>
                <w:color w:val="000000"/>
                <w:kern w:val="0"/>
                <w:sz w:val="18"/>
                <w:szCs w:val="18"/>
              </w:rPr>
              <w:t>6,230.00</w:t>
            </w:r>
          </w:p>
        </w:tc>
        <w:tc>
          <w:tcPr>
            <w:tcW w:w="1058" w:type="dxa"/>
            <w:tcBorders>
              <w:top w:val="nil"/>
              <w:left w:val="nil"/>
              <w:bottom w:val="single" w:color="auto" w:sz="4" w:space="0"/>
              <w:right w:val="single" w:color="auto" w:sz="4" w:space="0"/>
            </w:tcBorders>
            <w:shd w:val="clear" w:color="auto" w:fill="auto"/>
            <w:noWrap/>
            <w:vAlign w:val="bottom"/>
          </w:tcPr>
          <w:p>
            <w:pPr>
              <w:widowControl/>
              <w:jc w:val="left"/>
              <w:rPr>
                <w:rFonts w:ascii="Arial Narrow" w:hAnsi="Arial Narrow" w:eastAsia="宋体" w:cs="宋体"/>
                <w:color w:val="000000"/>
                <w:kern w:val="0"/>
                <w:sz w:val="18"/>
                <w:szCs w:val="18"/>
              </w:rPr>
            </w:pPr>
            <w:r>
              <w:rPr>
                <w:rFonts w:ascii="Arial Narrow" w:hAnsi="Arial Narrow" w:eastAsia="宋体" w:cs="宋体"/>
                <w:color w:val="000000"/>
                <w:kern w:val="0"/>
                <w:sz w:val="18"/>
                <w:szCs w:val="18"/>
              </w:rPr>
              <w:t>　</w:t>
            </w:r>
          </w:p>
        </w:tc>
      </w:tr>
    </w:tbl>
    <w:p>
      <w:pPr>
        <w:pStyle w:val="3"/>
        <w:spacing w:line="600" w:lineRule="exact"/>
        <w:ind w:firstLine="723" w:firstLineChars="200"/>
        <w:jc w:val="center"/>
        <w:rPr>
          <w:rFonts w:ascii="宋体" w:hAnsi="宋体"/>
          <w:b/>
          <w:bCs/>
          <w:color w:val="auto"/>
          <w:sz w:val="36"/>
          <w:szCs w:val="24"/>
        </w:rPr>
        <w:sectPr>
          <w:pgSz w:w="16838" w:h="11906" w:orient="landscape"/>
          <w:pgMar w:top="1800" w:right="1440" w:bottom="1800" w:left="1440" w:header="851" w:footer="992" w:gutter="0"/>
          <w:cols w:space="425" w:num="1"/>
          <w:docGrid w:type="lines" w:linePitch="312" w:charSpace="0"/>
        </w:sectPr>
      </w:pPr>
      <w:bookmarkStart w:id="3" w:name="_GoBack"/>
      <w:bookmarkEnd w:id="3"/>
    </w:p>
    <w:p>
      <w:pPr>
        <w:pStyle w:val="3"/>
        <w:spacing w:line="600" w:lineRule="exact"/>
        <w:ind w:firstLine="480" w:firstLineChars="200"/>
        <w:rPr>
          <w:rFonts w:ascii="宋体" w:hAnsi="宋体"/>
          <w:color w:val="auto"/>
        </w:rPr>
      </w:pPr>
      <w:r>
        <w:rPr>
          <w:rFonts w:hint="eastAsia" w:ascii="宋体" w:hAnsi="宋体"/>
          <w:color w:val="auto"/>
        </w:rPr>
        <w:t>评估报告使用者应充分考虑评估报告正文中描述的评估报告成立的前提、假设条件、特别事项及使用限制等对评估结论的影响。</w:t>
      </w:r>
    </w:p>
    <w:p>
      <w:pPr>
        <w:pStyle w:val="3"/>
        <w:spacing w:line="600" w:lineRule="exact"/>
        <w:ind w:firstLine="480" w:firstLineChars="200"/>
        <w:rPr>
          <w:rFonts w:ascii="宋体" w:hAnsi="宋体"/>
          <w:color w:val="auto"/>
        </w:rPr>
      </w:pPr>
      <w:r>
        <w:rPr>
          <w:rFonts w:hint="eastAsia" w:ascii="宋体" w:hAnsi="宋体"/>
          <w:color w:val="auto"/>
        </w:rPr>
        <w:t>本评估报告仅供委托人及评估报告中列示的其他使用者为本次评估目的参考使用。除法律、法规规定以及相关当事人另有约定外，未经本评估机构及签字资产评估师同意，评估报告的全部或部分内容不得被摘抄、引用或披露于任何公开媒体。</w:t>
      </w:r>
    </w:p>
    <w:p>
      <w:pPr>
        <w:pStyle w:val="3"/>
        <w:spacing w:line="600" w:lineRule="exact"/>
        <w:ind w:firstLine="480" w:firstLineChars="200"/>
        <w:rPr>
          <w:rFonts w:ascii="宋体" w:hAnsi="宋体"/>
          <w:color w:val="auto"/>
        </w:rPr>
      </w:pPr>
      <w:r>
        <w:rPr>
          <w:rFonts w:hint="eastAsia" w:ascii="宋体" w:hAnsi="宋体"/>
          <w:color w:val="auto"/>
        </w:rPr>
        <w:t>本评估结论的使用有效期为一年，即自评估基准日</w:t>
      </w:r>
      <w:r>
        <w:rPr>
          <w:rFonts w:ascii="宋体" w:hAnsi="宋体"/>
          <w:color w:val="auto"/>
        </w:rPr>
        <w:t>2022年1月13日起至2023年1月12日止。</w:t>
      </w:r>
    </w:p>
    <w:p>
      <w:pPr>
        <w:pStyle w:val="3"/>
        <w:spacing w:line="600" w:lineRule="exact"/>
        <w:ind w:firstLine="480" w:firstLineChars="200"/>
        <w:rPr>
          <w:rFonts w:ascii="宋体" w:hAnsi="宋体"/>
          <w:color w:val="auto"/>
        </w:rPr>
      </w:pPr>
    </w:p>
    <w:p>
      <w:pPr>
        <w:pStyle w:val="3"/>
        <w:spacing w:line="600" w:lineRule="exact"/>
        <w:ind w:firstLine="480" w:firstLineChars="200"/>
        <w:rPr>
          <w:rFonts w:ascii="宋体" w:hAnsi="宋体"/>
          <w:color w:val="auto"/>
        </w:rPr>
      </w:pPr>
      <w:r>
        <w:rPr>
          <w:rFonts w:hint="eastAsia" w:ascii="宋体" w:hAnsi="宋体"/>
          <w:color w:val="auto"/>
        </w:rPr>
        <w:t>重要提示：以上内容摘自评估报告正文，欲了解本评估项目的详细情况和合理理解评估结论，应当阅读评估报告正文。</w:t>
      </w:r>
    </w:p>
    <w:p>
      <w:pPr>
        <w:pStyle w:val="3"/>
        <w:spacing w:line="600" w:lineRule="exact"/>
        <w:ind w:firstLine="480" w:firstLineChars="200"/>
        <w:rPr>
          <w:rFonts w:ascii="宋体" w:hAnsi="宋体"/>
          <w:color w:val="auto"/>
        </w:rPr>
      </w:pPr>
    </w:p>
    <w:p>
      <w:pPr>
        <w:pStyle w:val="3"/>
        <w:spacing w:line="600" w:lineRule="exact"/>
        <w:ind w:firstLine="480" w:firstLineChars="200"/>
        <w:rPr>
          <w:rFonts w:ascii="宋体" w:hAnsi="宋体"/>
          <w:color w:val="auto"/>
        </w:rPr>
      </w:pPr>
    </w:p>
    <w:p>
      <w:pPr>
        <w:pStyle w:val="3"/>
        <w:spacing w:line="600" w:lineRule="exact"/>
        <w:ind w:firstLine="480" w:firstLineChars="200"/>
        <w:rPr>
          <w:rFonts w:ascii="宋体" w:hAnsi="宋体"/>
          <w:color w:val="auto"/>
        </w:rPr>
      </w:pPr>
    </w:p>
    <w:p>
      <w:pPr>
        <w:pStyle w:val="3"/>
        <w:spacing w:line="600" w:lineRule="exact"/>
        <w:ind w:firstLine="480" w:firstLineChars="200"/>
        <w:rPr>
          <w:rFonts w:ascii="宋体" w:hAnsi="宋体"/>
          <w:color w:val="auto"/>
        </w:rPr>
      </w:pPr>
    </w:p>
    <w:p>
      <w:pPr>
        <w:pStyle w:val="3"/>
        <w:spacing w:line="600" w:lineRule="exact"/>
        <w:ind w:firstLine="480" w:firstLineChars="200"/>
        <w:rPr>
          <w:rFonts w:ascii="宋体" w:hAnsi="宋体"/>
          <w:color w:val="auto"/>
        </w:rPr>
      </w:pPr>
    </w:p>
    <w:p>
      <w:pPr>
        <w:pStyle w:val="3"/>
        <w:spacing w:line="600" w:lineRule="exact"/>
        <w:ind w:firstLine="562" w:firstLineChars="200"/>
        <w:jc w:val="right"/>
        <w:rPr>
          <w:rFonts w:ascii="宋体" w:hAnsi="宋体"/>
          <w:b/>
          <w:bCs/>
          <w:color w:val="auto"/>
          <w:sz w:val="28"/>
          <w:szCs w:val="21"/>
        </w:rPr>
      </w:pPr>
      <w:r>
        <w:rPr>
          <w:rFonts w:hint="eastAsia" w:ascii="宋体" w:hAnsi="宋体"/>
          <w:b/>
          <w:bCs/>
          <w:color w:val="auto"/>
          <w:sz w:val="28"/>
          <w:szCs w:val="21"/>
        </w:rPr>
        <w:t>河南大平资产评估事务所（普通合伙）</w:t>
      </w:r>
    </w:p>
    <w:p>
      <w:pPr>
        <w:pStyle w:val="3"/>
        <w:spacing w:line="600" w:lineRule="exact"/>
        <w:ind w:firstLine="562" w:firstLineChars="200"/>
        <w:jc w:val="right"/>
        <w:rPr>
          <w:rFonts w:ascii="宋体" w:hAnsi="宋体"/>
          <w:b/>
          <w:bCs/>
          <w:color w:val="auto"/>
          <w:sz w:val="28"/>
          <w:szCs w:val="21"/>
        </w:rPr>
      </w:pPr>
    </w:p>
    <w:p>
      <w:pPr>
        <w:pStyle w:val="3"/>
        <w:spacing w:line="600" w:lineRule="exact"/>
        <w:ind w:firstLine="562" w:firstLineChars="200"/>
        <w:jc w:val="right"/>
        <w:rPr>
          <w:rFonts w:ascii="宋体" w:hAnsi="宋体"/>
          <w:b/>
          <w:bCs/>
          <w:color w:val="auto"/>
          <w:sz w:val="28"/>
          <w:szCs w:val="21"/>
        </w:rPr>
      </w:pPr>
      <w:r>
        <w:rPr>
          <w:rFonts w:hint="eastAsia" w:ascii="宋体" w:hAnsi="宋体"/>
          <w:b/>
          <w:bCs/>
          <w:color w:val="auto"/>
          <w:sz w:val="28"/>
          <w:szCs w:val="21"/>
        </w:rPr>
        <w:t>二零二二年十月二十三日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819937"/>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MzQ2ZmFkNGM1MDM1ODljM2I2NDM4OTkyYWVkYTAifQ=="/>
  </w:docVars>
  <w:rsids>
    <w:rsidRoot w:val="00662298"/>
    <w:rsid w:val="00001035"/>
    <w:rsid w:val="00031918"/>
    <w:rsid w:val="000702D1"/>
    <w:rsid w:val="00073C7E"/>
    <w:rsid w:val="000C63F7"/>
    <w:rsid w:val="001B62D3"/>
    <w:rsid w:val="001C2079"/>
    <w:rsid w:val="002311B5"/>
    <w:rsid w:val="00257718"/>
    <w:rsid w:val="00267D3E"/>
    <w:rsid w:val="0028526D"/>
    <w:rsid w:val="002A4DB3"/>
    <w:rsid w:val="002A654B"/>
    <w:rsid w:val="00302D74"/>
    <w:rsid w:val="003A4964"/>
    <w:rsid w:val="004044AF"/>
    <w:rsid w:val="0048085A"/>
    <w:rsid w:val="004E0095"/>
    <w:rsid w:val="00514ED6"/>
    <w:rsid w:val="005533A9"/>
    <w:rsid w:val="005B5C9D"/>
    <w:rsid w:val="00617E85"/>
    <w:rsid w:val="00626497"/>
    <w:rsid w:val="00662298"/>
    <w:rsid w:val="0067128E"/>
    <w:rsid w:val="007B24CC"/>
    <w:rsid w:val="007C6E04"/>
    <w:rsid w:val="008114AF"/>
    <w:rsid w:val="00862EA0"/>
    <w:rsid w:val="008B4398"/>
    <w:rsid w:val="008D5398"/>
    <w:rsid w:val="008F103B"/>
    <w:rsid w:val="00A345EC"/>
    <w:rsid w:val="00A51F46"/>
    <w:rsid w:val="00AB29B1"/>
    <w:rsid w:val="00C3726B"/>
    <w:rsid w:val="00C5348B"/>
    <w:rsid w:val="00C5551E"/>
    <w:rsid w:val="00CC6184"/>
    <w:rsid w:val="00D02DFE"/>
    <w:rsid w:val="00D2096E"/>
    <w:rsid w:val="00D3163D"/>
    <w:rsid w:val="00D405D3"/>
    <w:rsid w:val="00D96FBD"/>
    <w:rsid w:val="00DA4285"/>
    <w:rsid w:val="00DC52AE"/>
    <w:rsid w:val="00DE50B4"/>
    <w:rsid w:val="00E53858"/>
    <w:rsid w:val="00E54802"/>
    <w:rsid w:val="00E928A0"/>
    <w:rsid w:val="00F74686"/>
    <w:rsid w:val="00F94828"/>
    <w:rsid w:val="00FB6B24"/>
    <w:rsid w:val="00FD5C9E"/>
    <w:rsid w:val="00FF7330"/>
    <w:rsid w:val="3C8D5C9A"/>
    <w:rsid w:val="75CA6888"/>
    <w:rsid w:val="7CDD6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3"/>
    <w:semiHidden/>
    <w:unhideWhenUsed/>
    <w:uiPriority w:val="99"/>
    <w:pPr>
      <w:spacing w:after="120"/>
      <w:ind w:left="420" w:leftChars="200"/>
    </w:pPr>
  </w:style>
  <w:style w:type="paragraph" w:styleId="3">
    <w:name w:val="Body Text Indent 2"/>
    <w:basedOn w:val="1"/>
    <w:link w:val="12"/>
    <w:uiPriority w:val="0"/>
    <w:pPr>
      <w:tabs>
        <w:tab w:val="left" w:pos="0"/>
      </w:tabs>
      <w:autoSpaceDE w:val="0"/>
      <w:autoSpaceDN w:val="0"/>
      <w:spacing w:line="360" w:lineRule="auto"/>
      <w:ind w:right="68" w:firstLine="567"/>
      <w:textAlignment w:val="bottom"/>
    </w:pPr>
    <w:rPr>
      <w:rFonts w:ascii="Times New Roman" w:hAnsi="Times New Roman" w:eastAsia="宋体" w:cs="Times New Roman"/>
      <w:color w:val="0000FF"/>
      <w:sz w:val="24"/>
      <w:szCs w:val="20"/>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uiPriority w:val="99"/>
    <w:rPr>
      <w:color w:val="800080"/>
      <w:u w:val="single"/>
    </w:rPr>
  </w:style>
  <w:style w:type="character" w:styleId="9">
    <w:name w:val="Hyperlink"/>
    <w:basedOn w:val="7"/>
    <w:semiHidden/>
    <w:unhideWhenUsed/>
    <w:uiPriority w:val="99"/>
    <w:rPr>
      <w:color w:val="0000FF"/>
      <w:u w:val="single"/>
    </w:rPr>
  </w:style>
  <w:style w:type="character" w:customStyle="1" w:styleId="10">
    <w:name w:val="页眉 字符"/>
    <w:basedOn w:val="7"/>
    <w:link w:val="5"/>
    <w:uiPriority w:val="99"/>
    <w:rPr>
      <w:sz w:val="18"/>
      <w:szCs w:val="18"/>
    </w:rPr>
  </w:style>
  <w:style w:type="character" w:customStyle="1" w:styleId="11">
    <w:name w:val="页脚 字符"/>
    <w:basedOn w:val="7"/>
    <w:link w:val="4"/>
    <w:uiPriority w:val="99"/>
    <w:rPr>
      <w:sz w:val="18"/>
      <w:szCs w:val="18"/>
    </w:rPr>
  </w:style>
  <w:style w:type="character" w:customStyle="1" w:styleId="12">
    <w:name w:val="正文文本缩进 2 字符"/>
    <w:basedOn w:val="7"/>
    <w:link w:val="3"/>
    <w:uiPriority w:val="0"/>
    <w:rPr>
      <w:rFonts w:ascii="Times New Roman" w:hAnsi="Times New Roman" w:eastAsia="宋体" w:cs="Times New Roman"/>
      <w:color w:val="0000FF"/>
      <w:sz w:val="24"/>
      <w:szCs w:val="20"/>
    </w:rPr>
  </w:style>
  <w:style w:type="character" w:customStyle="1" w:styleId="13">
    <w:name w:val="正文文本缩进 字符"/>
    <w:basedOn w:val="7"/>
    <w:link w:val="2"/>
    <w:semiHidden/>
    <w:uiPriority w:val="99"/>
  </w:style>
  <w:style w:type="paragraph" w:customStyle="1" w:styleId="14">
    <w:name w:val="msonormal"/>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
    <w:name w:val="font5"/>
    <w:basedOn w:val="1"/>
    <w:uiPriority w:val="0"/>
    <w:pPr>
      <w:widowControl/>
      <w:spacing w:before="100" w:beforeAutospacing="1" w:after="100" w:afterAutospacing="1"/>
      <w:jc w:val="left"/>
    </w:pPr>
    <w:rPr>
      <w:rFonts w:ascii="Arial Narrow" w:hAnsi="Arial Narrow" w:eastAsia="宋体" w:cs="宋体"/>
      <w:color w:val="000000"/>
      <w:kern w:val="0"/>
      <w:sz w:val="20"/>
      <w:szCs w:val="20"/>
    </w:rPr>
  </w:style>
  <w:style w:type="paragraph" w:customStyle="1" w:styleId="16">
    <w:name w:val="font6"/>
    <w:basedOn w:val="1"/>
    <w:uiPriority w:val="0"/>
    <w:pPr>
      <w:widowControl/>
      <w:spacing w:before="100" w:beforeAutospacing="1" w:after="100" w:afterAutospacing="1"/>
      <w:jc w:val="left"/>
    </w:pPr>
    <w:rPr>
      <w:rFonts w:ascii="Arial Narrow" w:hAnsi="Arial Narrow" w:eastAsia="宋体" w:cs="宋体"/>
      <w:color w:val="000000"/>
      <w:kern w:val="0"/>
      <w:sz w:val="18"/>
      <w:szCs w:val="18"/>
    </w:rPr>
  </w:style>
  <w:style w:type="paragraph" w:customStyle="1" w:styleId="17">
    <w:name w:val="font7"/>
    <w:basedOn w:val="1"/>
    <w:uiPriority w:val="0"/>
    <w:pPr>
      <w:widowControl/>
      <w:spacing w:before="100" w:beforeAutospacing="1" w:after="100" w:afterAutospacing="1"/>
      <w:jc w:val="left"/>
    </w:pPr>
    <w:rPr>
      <w:rFonts w:ascii="Arial Narrow" w:hAnsi="Arial Narrow" w:eastAsia="宋体" w:cs="宋体"/>
      <w:kern w:val="0"/>
      <w:sz w:val="18"/>
      <w:szCs w:val="18"/>
    </w:rPr>
  </w:style>
  <w:style w:type="paragraph" w:customStyle="1" w:styleId="18">
    <w:name w:val="font8"/>
    <w:basedOn w:val="1"/>
    <w:uiPriority w:val="0"/>
    <w:pPr>
      <w:widowControl/>
      <w:spacing w:before="100" w:beforeAutospacing="1" w:after="100" w:afterAutospacing="1"/>
      <w:jc w:val="left"/>
    </w:pPr>
    <w:rPr>
      <w:rFonts w:ascii="Arial Narrow" w:hAnsi="Arial Narrow" w:eastAsia="宋体" w:cs="宋体"/>
      <w:color w:val="000000"/>
      <w:kern w:val="0"/>
      <w:sz w:val="18"/>
      <w:szCs w:val="18"/>
    </w:rPr>
  </w:style>
  <w:style w:type="paragraph" w:customStyle="1" w:styleId="19">
    <w:name w:val="font9"/>
    <w:basedOn w:val="1"/>
    <w:uiPriority w:val="0"/>
    <w:pPr>
      <w:widowControl/>
      <w:spacing w:before="100" w:beforeAutospacing="1" w:after="100" w:afterAutospacing="1"/>
      <w:jc w:val="left"/>
    </w:pPr>
    <w:rPr>
      <w:rFonts w:ascii="Arial Narrow" w:hAnsi="Arial Narrow" w:eastAsia="宋体" w:cs="宋体"/>
      <w:b/>
      <w:bCs/>
      <w:kern w:val="0"/>
      <w:sz w:val="36"/>
      <w:szCs w:val="36"/>
    </w:rPr>
  </w:style>
  <w:style w:type="paragraph" w:customStyle="1" w:styleId="20">
    <w:name w:val="font10"/>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font11"/>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
    <w:name w:val="font12"/>
    <w:basedOn w:val="1"/>
    <w:uiPriority w:val="0"/>
    <w:pPr>
      <w:widowControl/>
      <w:spacing w:before="100" w:beforeAutospacing="1" w:after="100" w:afterAutospacing="1"/>
      <w:jc w:val="left"/>
    </w:pPr>
    <w:rPr>
      <w:rFonts w:ascii="宋体" w:hAnsi="宋体" w:eastAsia="宋体" w:cs="宋体"/>
      <w:b/>
      <w:bCs/>
      <w:kern w:val="0"/>
      <w:sz w:val="18"/>
      <w:szCs w:val="18"/>
    </w:rPr>
  </w:style>
  <w:style w:type="paragraph" w:customStyle="1" w:styleId="23">
    <w:name w:val="font13"/>
    <w:basedOn w:val="1"/>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4">
    <w:name w:val="font14"/>
    <w:basedOn w:val="1"/>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25">
    <w:name w:val="font15"/>
    <w:basedOn w:val="1"/>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26">
    <w:name w:val="font16"/>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7">
    <w:name w:val="font17"/>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8">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29">
    <w:name w:val="xl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30">
    <w:name w:val="xl72"/>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32">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33">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color w:val="000000"/>
      <w:kern w:val="0"/>
      <w:sz w:val="18"/>
      <w:szCs w:val="18"/>
    </w:rPr>
  </w:style>
  <w:style w:type="paragraph" w:customStyle="1" w:styleId="34">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35">
    <w:name w:val="xl77"/>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78"/>
    <w:basedOn w:val="1"/>
    <w:uiPriority w:val="0"/>
    <w:pPr>
      <w:widowControl/>
      <w:spacing w:before="100" w:beforeAutospacing="1" w:after="100" w:afterAutospacing="1"/>
      <w:jc w:val="center"/>
    </w:pPr>
    <w:rPr>
      <w:rFonts w:ascii="宋体" w:hAnsi="宋体" w:eastAsia="宋体" w:cs="宋体"/>
      <w:b/>
      <w:bCs/>
      <w:kern w:val="0"/>
      <w:sz w:val="24"/>
      <w:szCs w:val="24"/>
    </w:rPr>
  </w:style>
  <w:style w:type="paragraph" w:customStyle="1" w:styleId="37">
    <w:name w:val="xl79"/>
    <w:basedOn w:val="1"/>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38">
    <w:name w:val="xl8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39">
    <w:name w:val="xl8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40">
    <w:name w:val="xl8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41">
    <w:name w:val="xl8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42">
    <w:name w:val="xl8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b/>
      <w:bCs/>
      <w:kern w:val="0"/>
      <w:sz w:val="18"/>
      <w:szCs w:val="18"/>
    </w:rPr>
  </w:style>
  <w:style w:type="paragraph" w:customStyle="1" w:styleId="43">
    <w:name w:val="xl8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b/>
      <w:bCs/>
      <w:kern w:val="0"/>
      <w:sz w:val="18"/>
      <w:szCs w:val="18"/>
    </w:rPr>
  </w:style>
  <w:style w:type="paragraph" w:customStyle="1" w:styleId="44">
    <w:name w:val="xl86"/>
    <w:basedOn w:val="1"/>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Arial Narrow" w:hAnsi="Arial Narrow" w:eastAsia="宋体" w:cs="宋体"/>
      <w:b/>
      <w:bCs/>
      <w:kern w:val="0"/>
      <w:sz w:val="18"/>
      <w:szCs w:val="18"/>
    </w:rPr>
  </w:style>
  <w:style w:type="paragraph" w:customStyle="1" w:styleId="45">
    <w:name w:val="xl8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46">
    <w:name w:val="xl88"/>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7">
    <w:name w:val="xl8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48">
    <w:name w:val="xl9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49">
    <w:name w:val="xl91"/>
    <w:basedOn w:val="1"/>
    <w:uiPriority w:val="0"/>
    <w:pPr>
      <w:widowControl/>
      <w:spacing w:before="100" w:beforeAutospacing="1" w:after="100" w:afterAutospacing="1"/>
      <w:jc w:val="center"/>
    </w:pPr>
    <w:rPr>
      <w:rFonts w:ascii="Arial Narrow" w:hAnsi="Arial Narrow" w:eastAsia="宋体" w:cs="宋体"/>
      <w:b/>
      <w:bCs/>
      <w:color w:val="000000"/>
      <w:kern w:val="0"/>
      <w:sz w:val="28"/>
      <w:szCs w:val="28"/>
    </w:rPr>
  </w:style>
  <w:style w:type="paragraph" w:customStyle="1" w:styleId="50">
    <w:name w:val="xl9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51">
    <w:name w:val="xl9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52">
    <w:name w:val="xl9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53">
    <w:name w:val="xl95"/>
    <w:basedOn w:val="1"/>
    <w:uiPriority w:val="0"/>
    <w:pPr>
      <w:widowControl/>
      <w:spacing w:before="100" w:beforeAutospacing="1" w:after="100" w:afterAutospacing="1"/>
      <w:jc w:val="left"/>
    </w:pPr>
    <w:rPr>
      <w:rFonts w:ascii="Arial Narrow" w:hAnsi="Arial Narrow" w:eastAsia="宋体" w:cs="宋体"/>
      <w:kern w:val="0"/>
      <w:sz w:val="24"/>
      <w:szCs w:val="24"/>
    </w:rPr>
  </w:style>
  <w:style w:type="paragraph" w:customStyle="1" w:styleId="54">
    <w:name w:val="xl96"/>
    <w:basedOn w:val="1"/>
    <w:uiPriority w:val="0"/>
    <w:pPr>
      <w:widowControl/>
      <w:spacing w:before="100" w:beforeAutospacing="1" w:after="100" w:afterAutospacing="1"/>
      <w:jc w:val="center"/>
    </w:pPr>
    <w:rPr>
      <w:rFonts w:ascii="Arial Narrow" w:hAnsi="Arial Narrow" w:eastAsia="宋体" w:cs="宋体"/>
      <w:kern w:val="0"/>
      <w:sz w:val="24"/>
      <w:szCs w:val="24"/>
    </w:rPr>
  </w:style>
  <w:style w:type="paragraph" w:customStyle="1" w:styleId="55">
    <w:name w:val="xl9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4"/>
      <w:szCs w:val="24"/>
    </w:rPr>
  </w:style>
  <w:style w:type="paragraph" w:customStyle="1" w:styleId="56">
    <w:name w:val="xl98"/>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7">
    <w:name w:val="xl9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58">
    <w:name w:val="xl10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59">
    <w:name w:val="xl10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60">
    <w:name w:val="xl10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61">
    <w:name w:val="xl10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eastAsia="宋体" w:cs="宋体"/>
      <w:kern w:val="0"/>
      <w:sz w:val="18"/>
      <w:szCs w:val="18"/>
    </w:rPr>
  </w:style>
  <w:style w:type="paragraph" w:customStyle="1" w:styleId="62">
    <w:name w:val="xl10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63">
    <w:name w:val="xl10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b/>
      <w:bCs/>
      <w:kern w:val="0"/>
      <w:sz w:val="18"/>
      <w:szCs w:val="18"/>
    </w:rPr>
  </w:style>
  <w:style w:type="paragraph" w:customStyle="1" w:styleId="64">
    <w:name w:val="xl10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65">
    <w:name w:val="xl10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66">
    <w:name w:val="xl10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67">
    <w:name w:val="xl10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68">
    <w:name w:val="xl110"/>
    <w:basedOn w:val="1"/>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Arial Narrow" w:hAnsi="Arial Narrow" w:eastAsia="宋体" w:cs="宋体"/>
      <w:b/>
      <w:bCs/>
      <w:kern w:val="0"/>
      <w:sz w:val="18"/>
      <w:szCs w:val="18"/>
    </w:rPr>
  </w:style>
  <w:style w:type="paragraph" w:customStyle="1" w:styleId="69">
    <w:name w:val="xl11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70">
    <w:name w:val="xl1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71">
    <w:name w:val="xl11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72">
    <w:name w:val="xl11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0"/>
      <w:szCs w:val="20"/>
    </w:rPr>
  </w:style>
  <w:style w:type="paragraph" w:customStyle="1" w:styleId="73">
    <w:name w:val="xl11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0"/>
      <w:szCs w:val="20"/>
    </w:rPr>
  </w:style>
  <w:style w:type="paragraph" w:customStyle="1" w:styleId="74">
    <w:name w:val="xl11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C00000"/>
      <w:kern w:val="0"/>
      <w:sz w:val="18"/>
      <w:szCs w:val="18"/>
    </w:rPr>
  </w:style>
  <w:style w:type="paragraph" w:customStyle="1" w:styleId="75">
    <w:name w:val="xl11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76">
    <w:name w:val="xl118"/>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7">
    <w:name w:val="xl119"/>
    <w:basedOn w:val="1"/>
    <w:uiPriority w:val="0"/>
    <w:pPr>
      <w:widowControl/>
      <w:spacing w:before="100" w:beforeAutospacing="1" w:after="100" w:afterAutospacing="1"/>
      <w:jc w:val="left"/>
    </w:pPr>
    <w:rPr>
      <w:rFonts w:ascii="Arial Narrow" w:hAnsi="Arial Narrow" w:eastAsia="宋体" w:cs="宋体"/>
      <w:kern w:val="0"/>
      <w:sz w:val="18"/>
      <w:szCs w:val="18"/>
    </w:rPr>
  </w:style>
  <w:style w:type="paragraph" w:customStyle="1" w:styleId="78">
    <w:name w:val="xl120"/>
    <w:basedOn w:val="1"/>
    <w:uiPriority w:val="0"/>
    <w:pPr>
      <w:widowControl/>
      <w:spacing w:before="100" w:beforeAutospacing="1" w:after="100" w:afterAutospacing="1"/>
      <w:jc w:val="left"/>
    </w:pPr>
    <w:rPr>
      <w:rFonts w:ascii="Arial Narrow" w:hAnsi="Arial Narrow" w:eastAsia="宋体" w:cs="宋体"/>
      <w:color w:val="FF0000"/>
      <w:kern w:val="0"/>
      <w:sz w:val="24"/>
      <w:szCs w:val="24"/>
    </w:rPr>
  </w:style>
  <w:style w:type="paragraph" w:customStyle="1" w:styleId="79">
    <w:name w:val="xl121"/>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0">
    <w:name w:val="xl12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81">
    <w:name w:val="xl1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82">
    <w:name w:val="xl1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83">
    <w:name w:val="xl1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84">
    <w:name w:val="xl1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8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86">
    <w:name w:val="xl1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87">
    <w:name w:val="xl1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88">
    <w:name w:val="xl1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89">
    <w:name w:val="xl1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90">
    <w:name w:val="xl1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91">
    <w:name w:val="xl1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92">
    <w:name w:val="xl1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93">
    <w:name w:val="xl1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4"/>
      <w:szCs w:val="24"/>
    </w:rPr>
  </w:style>
  <w:style w:type="paragraph" w:customStyle="1" w:styleId="94">
    <w:name w:val="xl1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color w:val="FF0000"/>
      <w:kern w:val="0"/>
      <w:sz w:val="24"/>
      <w:szCs w:val="24"/>
    </w:rPr>
  </w:style>
  <w:style w:type="paragraph" w:customStyle="1" w:styleId="95">
    <w:name w:val="xl1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96">
    <w:name w:val="xl13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w:hAnsi="Arial" w:eastAsia="宋体" w:cs="Arial"/>
      <w:color w:val="000000"/>
      <w:kern w:val="0"/>
      <w:sz w:val="16"/>
      <w:szCs w:val="16"/>
    </w:rPr>
  </w:style>
  <w:style w:type="paragraph" w:customStyle="1" w:styleId="97">
    <w:name w:val="xl139"/>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w:hAnsi="Arial" w:eastAsia="宋体" w:cs="Arial"/>
      <w:color w:val="000000"/>
      <w:kern w:val="0"/>
      <w:sz w:val="16"/>
      <w:szCs w:val="16"/>
    </w:rPr>
  </w:style>
  <w:style w:type="paragraph" w:customStyle="1" w:styleId="98">
    <w:name w:val="xl140"/>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w:hAnsi="Arial" w:eastAsia="宋体" w:cs="Arial"/>
      <w:color w:val="000000"/>
      <w:kern w:val="0"/>
      <w:sz w:val="16"/>
      <w:szCs w:val="16"/>
    </w:rPr>
  </w:style>
  <w:style w:type="paragraph" w:customStyle="1" w:styleId="99">
    <w:name w:val="xl14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00">
    <w:name w:val="xl1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101">
    <w:name w:val="xl1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102">
    <w:name w:val="xl1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0"/>
      <w:szCs w:val="20"/>
    </w:rPr>
  </w:style>
  <w:style w:type="paragraph" w:customStyle="1" w:styleId="103">
    <w:name w:val="xl1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104">
    <w:name w:val="xl1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4"/>
      <w:szCs w:val="24"/>
    </w:rPr>
  </w:style>
  <w:style w:type="paragraph" w:customStyle="1" w:styleId="105">
    <w:name w:val="xl1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 w:type="paragraph" w:customStyle="1" w:styleId="106">
    <w:name w:val="xl1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20"/>
      <w:szCs w:val="20"/>
    </w:rPr>
  </w:style>
  <w:style w:type="paragraph" w:customStyle="1" w:styleId="107">
    <w:name w:val="xl1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0"/>
      <w:szCs w:val="20"/>
    </w:rPr>
  </w:style>
  <w:style w:type="paragraph" w:customStyle="1" w:styleId="108">
    <w:name w:val="xl1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20"/>
      <w:szCs w:val="20"/>
    </w:rPr>
  </w:style>
  <w:style w:type="paragraph" w:customStyle="1" w:styleId="109">
    <w:name w:val="xl1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20"/>
      <w:szCs w:val="20"/>
    </w:rPr>
  </w:style>
  <w:style w:type="paragraph" w:customStyle="1" w:styleId="110">
    <w:name w:val="xl15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0"/>
      <w:szCs w:val="20"/>
    </w:rPr>
  </w:style>
  <w:style w:type="paragraph" w:customStyle="1" w:styleId="111">
    <w:name w:val="xl15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0"/>
      <w:szCs w:val="20"/>
    </w:rPr>
  </w:style>
  <w:style w:type="paragraph" w:customStyle="1" w:styleId="112">
    <w:name w:val="xl15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color w:val="000000"/>
      <w:kern w:val="0"/>
      <w:sz w:val="20"/>
      <w:szCs w:val="20"/>
    </w:rPr>
  </w:style>
  <w:style w:type="paragraph" w:customStyle="1" w:styleId="113">
    <w:name w:val="xl155"/>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Narrow" w:hAnsi="Arial Narrow" w:eastAsia="宋体" w:cs="宋体"/>
      <w:color w:val="000000"/>
      <w:kern w:val="0"/>
      <w:sz w:val="18"/>
      <w:szCs w:val="18"/>
    </w:rPr>
  </w:style>
  <w:style w:type="paragraph" w:customStyle="1" w:styleId="114">
    <w:name w:val="xl156"/>
    <w:basedOn w:val="1"/>
    <w:uiPriority w:val="0"/>
    <w:pPr>
      <w:widowControl/>
      <w:spacing w:before="100" w:beforeAutospacing="1" w:after="100" w:afterAutospacing="1"/>
      <w:jc w:val="center"/>
    </w:pPr>
    <w:rPr>
      <w:rFonts w:ascii="宋体" w:hAnsi="宋体" w:eastAsia="宋体" w:cs="宋体"/>
      <w:b/>
      <w:bCs/>
      <w:kern w:val="0"/>
      <w:sz w:val="36"/>
      <w:szCs w:val="36"/>
    </w:rPr>
  </w:style>
  <w:style w:type="paragraph" w:customStyle="1" w:styleId="115">
    <w:name w:val="xl157"/>
    <w:basedOn w:val="1"/>
    <w:uiPriority w:val="0"/>
    <w:pPr>
      <w:widowControl/>
      <w:spacing w:before="100" w:beforeAutospacing="1" w:after="100" w:afterAutospacing="1"/>
      <w:jc w:val="center"/>
    </w:pPr>
    <w:rPr>
      <w:rFonts w:ascii="Arial Narrow" w:hAnsi="Arial Narrow" w:eastAsia="宋体" w:cs="宋体"/>
      <w:color w:val="000000"/>
      <w:kern w:val="0"/>
      <w:sz w:val="20"/>
      <w:szCs w:val="20"/>
    </w:rPr>
  </w:style>
  <w:style w:type="paragraph" w:customStyle="1" w:styleId="116">
    <w:name w:val="xl158"/>
    <w:basedOn w:val="1"/>
    <w:uiPriority w:val="0"/>
    <w:pPr>
      <w:widowControl/>
      <w:pBdr>
        <w:bottom w:val="single" w:color="auto" w:sz="4" w:space="0"/>
      </w:pBdr>
      <w:spacing w:before="100" w:beforeAutospacing="1" w:after="100" w:afterAutospacing="1"/>
      <w:jc w:val="left"/>
    </w:pPr>
    <w:rPr>
      <w:rFonts w:ascii="Arial Narrow" w:hAnsi="Arial Narrow" w:eastAsia="宋体" w:cs="宋体"/>
      <w:kern w:val="0"/>
      <w:sz w:val="18"/>
      <w:szCs w:val="18"/>
    </w:rPr>
  </w:style>
  <w:style w:type="paragraph" w:customStyle="1" w:styleId="117">
    <w:name w:val="xl159"/>
    <w:basedOn w:val="1"/>
    <w:uiPriority w:val="0"/>
    <w:pPr>
      <w:widowControl/>
      <w:pBdr>
        <w:bottom w:val="single" w:color="auto" w:sz="4" w:space="0"/>
      </w:pBdr>
      <w:spacing w:before="100" w:beforeAutospacing="1" w:after="100" w:afterAutospacing="1"/>
      <w:jc w:val="center"/>
    </w:pPr>
    <w:rPr>
      <w:rFonts w:ascii="Arial Narrow" w:hAnsi="Arial Narrow" w:eastAsia="宋体" w:cs="宋体"/>
      <w:kern w:val="0"/>
      <w:sz w:val="18"/>
      <w:szCs w:val="18"/>
    </w:rPr>
  </w:style>
  <w:style w:type="paragraph" w:customStyle="1" w:styleId="118">
    <w:name w:val="xl160"/>
    <w:basedOn w:val="1"/>
    <w:uiPriority w:val="0"/>
    <w:pPr>
      <w:widowControl/>
      <w:pBdr>
        <w:bottom w:val="single" w:color="auto" w:sz="4" w:space="0"/>
      </w:pBdr>
      <w:spacing w:before="100" w:beforeAutospacing="1" w:after="100" w:afterAutospacing="1"/>
      <w:jc w:val="center"/>
    </w:pPr>
    <w:rPr>
      <w:rFonts w:ascii="Arial Narrow" w:hAnsi="Arial Narrow" w:eastAsia="宋体" w:cs="宋体"/>
      <w:color w:val="000000"/>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382</Words>
  <Characters>2183</Characters>
  <Lines>18</Lines>
  <Paragraphs>5</Paragraphs>
  <TotalTime>0</TotalTime>
  <ScaleCrop>false</ScaleCrop>
  <LinksUpToDate>false</LinksUpToDate>
  <CharactersWithSpaces>2560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2022-06-27T04:24:00Z</dcterms:created>
  <dc:creator>459460933@qq.com</dc:creator>
  <cp:lastModifiedBy>Administrator</cp:lastModifiedBy>
  <cp:lastPrinted>2022-10-24T11:15:00Z</cp:lastPrinted>
  <dcterms:modified xsi:type="dcterms:W3CDTF">2022-11-17T07:35:21Z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4BE759FA97314C7AAE9C0ACB3A5A4073</vt:lpwstr>
  </property>
</Properties>
</file>