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kinsoku/>
        <w:wordWrap/>
        <w:overflowPunct/>
        <w:topLinePunct w:val="0"/>
        <w:autoSpaceDE/>
        <w:autoSpaceDN/>
        <w:bidi w:val="0"/>
        <w:snapToGrid/>
        <w:spacing w:line="360" w:lineRule="auto"/>
        <w:ind w:left="0" w:leftChars="0" w:right="0" w:rightChars="0" w:firstLine="0" w:firstLineChars="0"/>
        <w:jc w:val="center"/>
        <w:textAlignment w:val="auto"/>
        <w:rPr>
          <w:rFonts w:hint="eastAsia" w:ascii="仿宋_GB2312" w:hAnsi="仿宋_GB2312" w:eastAsia="仿宋_GB2312" w:cs="仿宋_GB2312"/>
          <w:color w:val="auto"/>
          <w:sz w:val="32"/>
          <w:szCs w:val="32"/>
          <w:lang w:val="en-US" w:eastAsia="zh-CN"/>
        </w:rPr>
      </w:pPr>
      <w:r>
        <w:rPr>
          <w:sz w:val="32"/>
        </w:rPr>
        <mc:AlternateContent>
          <mc:Choice Requires="wpg">
            <w:drawing>
              <wp:inline distT="0" distB="0" distL="114935" distR="114935">
                <wp:extent cx="5579110" cy="2322830"/>
                <wp:effectExtent l="0" t="0" r="0" b="0"/>
                <wp:docPr id="5" name="组合 5"/>
                <wp:cNvGraphicFramePr/>
                <a:graphic xmlns:a="http://schemas.openxmlformats.org/drawingml/2006/main">
                  <a:graphicData uri="http://schemas.microsoft.com/office/word/2010/wordprocessingGroup">
                    <wpg:wgp>
                      <wpg:cNvGrpSpPr/>
                      <wpg:grpSpPr>
                        <a:xfrm>
                          <a:off x="0" y="0"/>
                          <a:ext cx="5579110" cy="2322830"/>
                          <a:chOff x="3554" y="4811"/>
                          <a:chExt cx="8786" cy="3658"/>
                        </a:xfrm>
                      </wpg:grpSpPr>
                      <wps:wsp>
                        <wps:cNvPr id="11" name="矩形 11"/>
                        <wps:cNvSpPr/>
                        <wps:spPr>
                          <a:xfrm>
                            <a:off x="3565" y="4811"/>
                            <a:ext cx="8775" cy="1738"/>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ind w:left="0" w:leftChars="0" w:right="0" w:rightChars="0" w:firstLine="0" w:firstLineChars="0"/>
                                <w:jc w:val="distribute"/>
                              </w:pPr>
                              <w:r>
                                <w:rPr>
                                  <w:rFonts w:ascii="方正小标宋简体" w:hAnsi="宋体" w:eastAsia="方正小标宋简体"/>
                                  <w:bCs/>
                                  <w:color w:val="auto"/>
                                </w:rPr>
                                <w:pict>
                                  <v:shape id="_x0000_i1025" o:spt="136" type="#_x0000_t136" style="height:77pt;width:432.25pt;" fillcolor="#FF0000" filled="t" stroked="t" coordsize="21600,21600" adj="10800">
                                    <v:path/>
                                    <v:fill on="t" color2="#FFFFFF" focussize="0,0"/>
                                    <v:stroke color="#FF0000"/>
                                    <v:imagedata o:title=""/>
                                    <o:lock v:ext="edit" aspectratio="f"/>
                                    <v:textpath on="t" fitshape="t" fitpath="t" trim="t" xscale="f" string="成都嘉康投资发展有限公司预重整管理人文件" style="font-family:方正小标宋简体;font-size:36pt;v-same-letter-heights:f;v-text-align:center;v-text-spacing:65536f;"/>
                                    <w10:wrap type="none"/>
                                    <w10:anchorlock/>
                                  </v:shape>
                                </w:pict>
                              </w:r>
                            </w:p>
                          </w:txbxContent>
                        </wps:txbx>
                        <wps:bodyPr rot="0" spcFirstLastPara="0" vertOverflow="overflow" horzOverflow="overflow" vert="horz" wrap="square" lIns="0" tIns="0" rIns="0" bIns="0" numCol="1" spcCol="0" rtlCol="0" fromWordArt="0" anchor="t" anchorCtr="0" forceAA="0" compatLnSpc="1">
                          <a:noAutofit/>
                        </wps:bodyPr>
                      </wps:wsp>
                      <wps:wsp>
                        <wps:cNvPr id="12" name="矩形 12"/>
                        <wps:cNvSpPr/>
                        <wps:spPr>
                          <a:xfrm>
                            <a:off x="5097" y="7706"/>
                            <a:ext cx="5722" cy="63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rPr>
                                  <w:rFonts w:hint="eastAsia" w:ascii="仿宋_GB2312" w:hAnsi="仿宋_GB2312" w:eastAsia="仿宋_GB2312" w:cs="仿宋_GB2312"/>
                                  <w:b w:val="0"/>
                                  <w:bCs/>
                                  <w:color w:val="000000" w:themeColor="text1"/>
                                  <w14:textFill>
                                    <w14:solidFill>
                                      <w14:schemeClr w14:val="tx1"/>
                                    </w14:solidFill>
                                  </w14:textFill>
                                </w:rPr>
                              </w:pPr>
                              <w:r>
                                <w:rPr>
                                  <w:rFonts w:hint="eastAsia" w:ascii="仿宋_GB2312" w:hAnsi="仿宋_GB2312" w:eastAsia="仿宋_GB2312" w:cs="仿宋_GB2312"/>
                                  <w:b w:val="0"/>
                                  <w:bCs/>
                                  <w:color w:val="000000" w:themeColor="text1"/>
                                  <w:szCs w:val="32"/>
                                  <w:lang w:val="en-US" w:eastAsia="zh-CN"/>
                                  <w14:textFill>
                                    <w14:solidFill>
                                      <w14:schemeClr w14:val="tx1"/>
                                    </w14:solidFill>
                                  </w14:textFill>
                                </w:rPr>
                                <w:t>嘉康投资预</w:t>
                              </w:r>
                              <w:r>
                                <w:rPr>
                                  <w:rFonts w:hint="eastAsia" w:ascii="仿宋_GB2312" w:hAnsi="仿宋_GB2312" w:eastAsia="仿宋_GB2312" w:cs="仿宋_GB2312"/>
                                  <w:b w:val="0"/>
                                  <w:bCs/>
                                  <w:color w:val="000000" w:themeColor="text1"/>
                                  <w:szCs w:val="32"/>
                                  <w:lang w:eastAsia="zh-Hans"/>
                                  <w14:textFill>
                                    <w14:solidFill>
                                      <w14:schemeClr w14:val="tx1"/>
                                    </w14:solidFill>
                                  </w14:textFill>
                                </w:rPr>
                                <w:t>管</w:t>
                              </w:r>
                              <w:r>
                                <w:rPr>
                                  <w:rFonts w:hint="eastAsia" w:ascii="仿宋_GB2312" w:hAnsi="仿宋_GB2312" w:eastAsia="仿宋_GB2312" w:cs="仿宋_GB2312"/>
                                  <w:b w:val="0"/>
                                  <w:bCs/>
                                  <w:color w:val="000000" w:themeColor="text1"/>
                                  <w:szCs w:val="32"/>
                                  <w14:textFill>
                                    <w14:solidFill>
                                      <w14:schemeClr w14:val="tx1"/>
                                    </w14:solidFill>
                                  </w14:textFill>
                                </w:rPr>
                                <w:t>字〔202</w:t>
                              </w:r>
                              <w:r>
                                <w:rPr>
                                  <w:rFonts w:hint="eastAsia" w:ascii="仿宋_GB2312" w:hAnsi="仿宋_GB2312" w:eastAsia="仿宋_GB2312" w:cs="仿宋_GB2312"/>
                                  <w:b w:val="0"/>
                                  <w:bCs/>
                                  <w:color w:val="000000" w:themeColor="text1"/>
                                  <w:szCs w:val="32"/>
                                  <w:lang w:val="en-US" w:eastAsia="zh-CN"/>
                                  <w14:textFill>
                                    <w14:solidFill>
                                      <w14:schemeClr w14:val="tx1"/>
                                    </w14:solidFill>
                                  </w14:textFill>
                                </w:rPr>
                                <w:t>2</w:t>
                              </w:r>
                              <w:r>
                                <w:rPr>
                                  <w:rFonts w:hint="eastAsia" w:ascii="仿宋_GB2312" w:hAnsi="仿宋_GB2312" w:eastAsia="仿宋_GB2312" w:cs="仿宋_GB2312"/>
                                  <w:b w:val="0"/>
                                  <w:bCs/>
                                  <w:color w:val="000000" w:themeColor="text1"/>
                                  <w:szCs w:val="32"/>
                                  <w14:textFill>
                                    <w14:solidFill>
                                      <w14:schemeClr w14:val="tx1"/>
                                    </w14:solidFill>
                                  </w14:textFill>
                                </w:rPr>
                                <w:t>〕</w:t>
                              </w:r>
                              <w:r>
                                <w:rPr>
                                  <w:rFonts w:hint="eastAsia" w:ascii="仿宋_GB2312" w:hAnsi="仿宋_GB2312" w:eastAsia="仿宋_GB2312" w:cs="仿宋_GB2312"/>
                                  <w:b w:val="0"/>
                                  <w:bCs/>
                                  <w:color w:val="000000" w:themeColor="text1"/>
                                  <w:szCs w:val="32"/>
                                  <w:lang w:val="en-US" w:eastAsia="zh-CN"/>
                                  <w14:textFill>
                                    <w14:solidFill>
                                      <w14:schemeClr w14:val="tx1"/>
                                    </w14:solidFill>
                                  </w14:textFill>
                                </w:rPr>
                                <w:t>16</w:t>
                              </w:r>
                              <w:r>
                                <w:rPr>
                                  <w:rFonts w:hint="eastAsia" w:ascii="仿宋_GB2312" w:hAnsi="仿宋_GB2312" w:eastAsia="仿宋_GB2312" w:cs="仿宋_GB2312"/>
                                  <w:b w:val="0"/>
                                  <w:bCs/>
                                  <w:color w:val="000000" w:themeColor="text1"/>
                                  <w:szCs w:val="32"/>
                                  <w14:textFill>
                                    <w14:solidFill>
                                      <w14:schemeClr w14:val="tx1"/>
                                    </w14:solidFill>
                                  </w14:textFill>
                                </w:rPr>
                                <w:t>号</w:t>
                              </w:r>
                            </w:p>
                          </w:txbxContent>
                        </wps:txbx>
                        <wps:bodyPr rot="0" spcFirstLastPara="0" vertOverflow="overflow" horzOverflow="overflow" vert="horz" wrap="square" lIns="0" tIns="0" rIns="0" bIns="0" numCol="1" spcCol="0" rtlCol="0" fromWordArt="0" anchor="t" anchorCtr="0" forceAA="0" compatLnSpc="1">
                          <a:noAutofit/>
                        </wps:bodyPr>
                      </wps:wsp>
                      <wps:wsp>
                        <wps:cNvPr id="13" name="直线 2"/>
                        <wps:cNvCnPr/>
                        <wps:spPr>
                          <a:xfrm flipV="1">
                            <a:off x="3554" y="8469"/>
                            <a:ext cx="8787" cy="0"/>
                          </a:xfrm>
                          <a:prstGeom prst="line">
                            <a:avLst/>
                          </a:prstGeom>
                          <a:ln w="25400" cap="flat" cmpd="sng">
                            <a:solidFill>
                              <a:srgbClr val="FF0000"/>
                            </a:solidFill>
                            <a:prstDash val="solid"/>
                            <a:headEnd type="none" w="med" len="med"/>
                            <a:tailEnd type="none" w="med" len="med"/>
                          </a:ln>
                        </wps:spPr>
                        <wps:bodyPr lIns="0" tIns="0" rIns="0" bIns="0" anchor="t" anchorCtr="0"/>
                      </wps:wsp>
                    </wpg:wgp>
                  </a:graphicData>
                </a:graphic>
              </wp:inline>
            </w:drawing>
          </mc:Choice>
          <mc:Fallback>
            <w:pict>
              <v:group id="_x0000_s1026" o:spid="_x0000_s1026" o:spt="203" style="height:182.9pt;width:439.3pt;" coordorigin="3554,4811" coordsize="8786,3658" o:gfxdata="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">
                <o:lock v:ext="edit" aspectratio="f"/>
                <v:rect id="_x0000_s1026" o:spid="_x0000_s1026" o:spt="1" style="position:absolute;left:3565;top:4811;height:1738;width:8775;" filled="f" stroked="f" coordsize="21600,21600" o:gfxdata="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laOUugAAANsA&#10;AAAPAAAAAAAAAAEAIAAAACIAAABkcnMvZG93bnJldi54bWxQSwECFAAUAAAACACHTuJAMy8FnjsA&#10;AAA5AAAAEAAAAAAAAAABACAAAAAJAQAAZHJzL3NoYXBleG1sLnhtbFBLBQYAAAAABgAGAFsBAACz&#10;AwAAAAA=&#10;">
                  <v:fill on="f" focussize="0,0"/>
                  <v:stroke on="f" weight="2pt"/>
                  <v:imagedata o:title=""/>
                  <o:lock v:ext="edit" aspectratio="f"/>
                  <v:textbox inset="0mm,0mm,0mm,0mm">
                    <w:txbxContent>
                      <w:p>
                        <w:pPr>
                          <w:ind w:left="0" w:leftChars="0" w:right="0" w:rightChars="0" w:firstLine="0" w:firstLineChars="0"/>
                          <w:jc w:val="distribute"/>
                        </w:pPr>
                        <w:r>
                          <w:rPr>
                            <w:rFonts w:ascii="方正小标宋简体" w:hAnsi="宋体" w:eastAsia="方正小标宋简体"/>
                            <w:bCs/>
                            <w:color w:val="auto"/>
                          </w:rPr>
                          <w:pict>
                            <v:shape id="_x0000_i1025" o:spt="136" type="#_x0000_t136" style="height:77pt;width:432.25pt;" fillcolor="#FF0000" filled="t" stroked="t" coordsize="21600,21600" adj="10800">
                              <v:path/>
                              <v:fill on="t" color2="#FFFFFF" focussize="0,0"/>
                              <v:stroke color="#FF0000"/>
                              <v:imagedata o:title=""/>
                              <o:lock v:ext="edit" aspectratio="f"/>
                              <v:textpath on="t" fitshape="t" fitpath="t" trim="t" xscale="f" string="成都嘉康投资发展有限公司预重整管理人文件" style="font-family:方正小标宋简体;font-size:36pt;v-same-letter-heights:f;v-text-align:center;v-text-spacing:65536f;"/>
                              <w10:wrap type="none"/>
                              <w10:anchorlock/>
                            </v:shape>
                          </w:pict>
                        </w:r>
                      </w:p>
                    </w:txbxContent>
                  </v:textbox>
                </v:rect>
                <v:rect id="_x0000_s1026" o:spid="_x0000_s1026" o:spt="1" style="position:absolute;left:5097;top:7706;height:633;width:5722;" filled="f" stroked="f" coordsize="21600,21600" o:gfxdata="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nRz3jugAAANsA&#10;AAAPAAAAAAAAAAEAIAAAACIAAABkcnMvZG93bnJldi54bWxQSwECFAAUAAAACACHTuJAMy8FnjsA&#10;AAA5AAAAEAAAAAAAAAABACAAAAAJAQAAZHJzL3NoYXBleG1sLnhtbFBLBQYAAAAABgAGAFsBAACz&#10;AwAAAAA=&#10;">
                  <v:fill on="f" focussize="0,0"/>
                  <v:stroke on="f" weight="2pt"/>
                  <v:imagedata o:title=""/>
                  <o:lock v:ext="edit" aspectratio="f"/>
                  <v:textbox inset="0mm,0mm,0mm,0mm">
                    <w:txbxContent>
                      <w:p>
                        <w:pPr>
                          <w:jc w:val="center"/>
                          <w:rPr>
                            <w:rFonts w:hint="eastAsia" w:ascii="仿宋_GB2312" w:hAnsi="仿宋_GB2312" w:eastAsia="仿宋_GB2312" w:cs="仿宋_GB2312"/>
                            <w:b w:val="0"/>
                            <w:bCs/>
                            <w:color w:val="000000" w:themeColor="text1"/>
                            <w14:textFill>
                              <w14:solidFill>
                                <w14:schemeClr w14:val="tx1"/>
                              </w14:solidFill>
                            </w14:textFill>
                          </w:rPr>
                        </w:pPr>
                        <w:r>
                          <w:rPr>
                            <w:rFonts w:hint="eastAsia" w:ascii="仿宋_GB2312" w:hAnsi="仿宋_GB2312" w:eastAsia="仿宋_GB2312" w:cs="仿宋_GB2312"/>
                            <w:b w:val="0"/>
                            <w:bCs/>
                            <w:color w:val="000000" w:themeColor="text1"/>
                            <w:szCs w:val="32"/>
                            <w:lang w:val="en-US" w:eastAsia="zh-CN"/>
                            <w14:textFill>
                              <w14:solidFill>
                                <w14:schemeClr w14:val="tx1"/>
                              </w14:solidFill>
                            </w14:textFill>
                          </w:rPr>
                          <w:t>嘉康投资预</w:t>
                        </w:r>
                        <w:r>
                          <w:rPr>
                            <w:rFonts w:hint="eastAsia" w:ascii="仿宋_GB2312" w:hAnsi="仿宋_GB2312" w:eastAsia="仿宋_GB2312" w:cs="仿宋_GB2312"/>
                            <w:b w:val="0"/>
                            <w:bCs/>
                            <w:color w:val="000000" w:themeColor="text1"/>
                            <w:szCs w:val="32"/>
                            <w:lang w:eastAsia="zh-Hans"/>
                            <w14:textFill>
                              <w14:solidFill>
                                <w14:schemeClr w14:val="tx1"/>
                              </w14:solidFill>
                            </w14:textFill>
                          </w:rPr>
                          <w:t>管</w:t>
                        </w:r>
                        <w:r>
                          <w:rPr>
                            <w:rFonts w:hint="eastAsia" w:ascii="仿宋_GB2312" w:hAnsi="仿宋_GB2312" w:eastAsia="仿宋_GB2312" w:cs="仿宋_GB2312"/>
                            <w:b w:val="0"/>
                            <w:bCs/>
                            <w:color w:val="000000" w:themeColor="text1"/>
                            <w:szCs w:val="32"/>
                            <w14:textFill>
                              <w14:solidFill>
                                <w14:schemeClr w14:val="tx1"/>
                              </w14:solidFill>
                            </w14:textFill>
                          </w:rPr>
                          <w:t>字〔202</w:t>
                        </w:r>
                        <w:r>
                          <w:rPr>
                            <w:rFonts w:hint="eastAsia" w:ascii="仿宋_GB2312" w:hAnsi="仿宋_GB2312" w:eastAsia="仿宋_GB2312" w:cs="仿宋_GB2312"/>
                            <w:b w:val="0"/>
                            <w:bCs/>
                            <w:color w:val="000000" w:themeColor="text1"/>
                            <w:szCs w:val="32"/>
                            <w:lang w:val="en-US" w:eastAsia="zh-CN"/>
                            <w14:textFill>
                              <w14:solidFill>
                                <w14:schemeClr w14:val="tx1"/>
                              </w14:solidFill>
                            </w14:textFill>
                          </w:rPr>
                          <w:t>2</w:t>
                        </w:r>
                        <w:r>
                          <w:rPr>
                            <w:rFonts w:hint="eastAsia" w:ascii="仿宋_GB2312" w:hAnsi="仿宋_GB2312" w:eastAsia="仿宋_GB2312" w:cs="仿宋_GB2312"/>
                            <w:b w:val="0"/>
                            <w:bCs/>
                            <w:color w:val="000000" w:themeColor="text1"/>
                            <w:szCs w:val="32"/>
                            <w14:textFill>
                              <w14:solidFill>
                                <w14:schemeClr w14:val="tx1"/>
                              </w14:solidFill>
                            </w14:textFill>
                          </w:rPr>
                          <w:t>〕</w:t>
                        </w:r>
                        <w:r>
                          <w:rPr>
                            <w:rFonts w:hint="eastAsia" w:ascii="仿宋_GB2312" w:hAnsi="仿宋_GB2312" w:eastAsia="仿宋_GB2312" w:cs="仿宋_GB2312"/>
                            <w:b w:val="0"/>
                            <w:bCs/>
                            <w:color w:val="000000" w:themeColor="text1"/>
                            <w:szCs w:val="32"/>
                            <w:lang w:val="en-US" w:eastAsia="zh-CN"/>
                            <w14:textFill>
                              <w14:solidFill>
                                <w14:schemeClr w14:val="tx1"/>
                              </w14:solidFill>
                            </w14:textFill>
                          </w:rPr>
                          <w:t>16</w:t>
                        </w:r>
                        <w:r>
                          <w:rPr>
                            <w:rFonts w:hint="eastAsia" w:ascii="仿宋_GB2312" w:hAnsi="仿宋_GB2312" w:eastAsia="仿宋_GB2312" w:cs="仿宋_GB2312"/>
                            <w:b w:val="0"/>
                            <w:bCs/>
                            <w:color w:val="000000" w:themeColor="text1"/>
                            <w:szCs w:val="32"/>
                            <w14:textFill>
                              <w14:solidFill>
                                <w14:schemeClr w14:val="tx1"/>
                              </w14:solidFill>
                            </w14:textFill>
                          </w:rPr>
                          <w:t>号</w:t>
                        </w:r>
                      </w:p>
                    </w:txbxContent>
                  </v:textbox>
                </v:rect>
                <v:line id="直线 2" o:spid="_x0000_s1026" o:spt="20" style="position:absolute;left:3554;top:8469;flip:y;height:0;width:8787;" filled="f" stroked="t" coordsize="21600,21600" o:gfxdata="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4W07m5AAAA2wAA&#10;AA8AAAAAAAAAAQAgAAAAIgAAAGRycy9kb3ducmV2LnhtbFBLAQIUABQAAAAIAIdO4kAzLwWeOwAA&#10;ADkAAAAQAAAAAAAAAAEAIAAAAAgBAABkcnMvc2hhcGV4bWwueG1sUEsFBgAAAAAGAAYAWwEAALID&#10;AAAAAA==&#10;">
                  <v:fill on="f" focussize="0,0"/>
                  <v:stroke weight="2pt" color="#FF0000" joinstyle="round"/>
                  <v:imagedata o:title=""/>
                  <o:lock v:ext="edit" aspectratio="f"/>
                </v:line>
                <w10:wrap type="none"/>
                <w10:anchorlock/>
              </v:group>
            </w:pict>
          </mc:Fallback>
        </mc:AlternateContent>
      </w:r>
    </w:p>
    <w:p>
      <w:pPr>
        <w:keepNext w:val="0"/>
        <w:keepLines w:val="0"/>
        <w:pageBreakBefore w:val="0"/>
        <w:widowControl w:val="0"/>
        <w:shd w:val="clea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仿宋_GB2312" w:hAnsi="仿宋_GB2312" w:eastAsia="仿宋_GB2312" w:cs="仿宋_GB2312"/>
          <w:color w:val="auto"/>
          <w:sz w:val="32"/>
          <w:szCs w:val="32"/>
          <w:lang w:val="en-US" w:eastAsia="zh-CN"/>
        </w:rPr>
      </w:pPr>
    </w:p>
    <w:p>
      <w:pPr>
        <w:pStyle w:val="8"/>
        <w:widowControl/>
        <w:shd w:val="clear" w:color="auto"/>
        <w:spacing w:before="0" w:beforeAutospacing="0" w:after="103" w:afterAutospacing="0" w:line="560" w:lineRule="exact"/>
        <w:ind w:left="-634" w:leftChars="-200" w:right="-773" w:rightChars="-244"/>
        <w:jc w:val="center"/>
        <w:textAlignment w:val="baseline"/>
        <w:rPr>
          <w:rStyle w:val="12"/>
          <w:rFonts w:ascii="仿宋" w:hAnsi="仿宋" w:eastAsia="仿宋" w:cs="仿宋"/>
          <w:spacing w:val="5"/>
          <w:sz w:val="32"/>
          <w:szCs w:val="32"/>
          <w:shd w:val="clear" w:color="auto" w:fill="FFFFFF"/>
        </w:rPr>
      </w:pPr>
      <w:r>
        <w:rPr>
          <w:rStyle w:val="12"/>
          <w:rFonts w:hint="eastAsia" w:ascii="仿宋" w:hAnsi="仿宋" w:eastAsia="仿宋" w:cs="仿宋"/>
          <w:spacing w:val="5"/>
          <w:sz w:val="32"/>
          <w:szCs w:val="32"/>
          <w:shd w:val="clear" w:color="auto" w:fill="FFFFFF"/>
        </w:rPr>
        <w:t>成都嘉康投资发展有限公司预重整</w:t>
      </w:r>
    </w:p>
    <w:p>
      <w:pPr>
        <w:pStyle w:val="8"/>
        <w:widowControl/>
        <w:shd w:val="clear" w:color="auto"/>
        <w:spacing w:before="0" w:beforeAutospacing="0" w:after="103" w:afterAutospacing="0" w:line="560" w:lineRule="exact"/>
        <w:ind w:left="-634" w:leftChars="-200" w:right="-773" w:rightChars="-244"/>
        <w:jc w:val="center"/>
        <w:textAlignment w:val="baseline"/>
        <w:rPr>
          <w:rStyle w:val="12"/>
          <w:rFonts w:ascii="仿宋" w:hAnsi="仿宋" w:eastAsia="仿宋" w:cs="仿宋"/>
          <w:spacing w:val="5"/>
          <w:sz w:val="32"/>
          <w:szCs w:val="32"/>
          <w:shd w:val="clear" w:color="auto" w:fill="FFFFFF"/>
        </w:rPr>
      </w:pPr>
      <w:r>
        <w:rPr>
          <w:rStyle w:val="12"/>
          <w:rFonts w:hint="eastAsia" w:ascii="仿宋" w:hAnsi="仿宋" w:eastAsia="仿宋" w:cs="仿宋"/>
          <w:spacing w:val="5"/>
          <w:sz w:val="32"/>
          <w:szCs w:val="32"/>
          <w:shd w:val="clear" w:color="auto" w:fill="FFFFFF"/>
        </w:rPr>
        <w:t>招募意向</w:t>
      </w:r>
      <w:r>
        <w:rPr>
          <w:rStyle w:val="12"/>
          <w:rFonts w:hint="eastAsia" w:ascii="仿宋" w:hAnsi="仿宋" w:eastAsia="仿宋" w:cs="仿宋"/>
          <w:spacing w:val="5"/>
          <w:sz w:val="32"/>
          <w:szCs w:val="32"/>
          <w:shd w:val="clear" w:color="auto" w:fill="FFFFFF"/>
          <w:lang w:eastAsia="zh-Hans"/>
        </w:rPr>
        <w:t>投资人</w:t>
      </w:r>
      <w:r>
        <w:rPr>
          <w:rStyle w:val="12"/>
          <w:rFonts w:hint="eastAsia" w:ascii="仿宋" w:hAnsi="仿宋" w:eastAsia="仿宋" w:cs="仿宋"/>
          <w:spacing w:val="5"/>
          <w:sz w:val="32"/>
          <w:szCs w:val="32"/>
          <w:shd w:val="clear" w:color="auto" w:fill="FFFFFF"/>
        </w:rPr>
        <w:t>公告</w:t>
      </w:r>
    </w:p>
    <w:p>
      <w:pPr>
        <w:pStyle w:val="8"/>
        <w:widowControl/>
        <w:shd w:val="clear" w:color="auto"/>
        <w:spacing w:before="0" w:beforeAutospacing="0" w:after="103" w:afterAutospacing="0" w:line="560" w:lineRule="exact"/>
        <w:ind w:left="-634" w:leftChars="-200" w:right="-773" w:rightChars="-244" w:firstLine="574" w:firstLineChars="200"/>
        <w:textAlignment w:val="baseline"/>
        <w:rPr>
          <w:rStyle w:val="12"/>
          <w:rFonts w:ascii="仿宋" w:hAnsi="仿宋" w:eastAsia="仿宋" w:cs="仿宋"/>
          <w:b w:val="0"/>
          <w:bCs/>
          <w:spacing w:val="5"/>
          <w:sz w:val="28"/>
          <w:szCs w:val="28"/>
          <w:shd w:val="clear" w:color="auto" w:fill="FFFFFF"/>
        </w:rPr>
      </w:pPr>
      <w:r>
        <w:rPr>
          <w:rStyle w:val="12"/>
          <w:rFonts w:hint="eastAsia" w:ascii="仿宋" w:hAnsi="仿宋" w:eastAsia="仿宋" w:cs="仿宋"/>
          <w:b w:val="0"/>
          <w:bCs/>
          <w:spacing w:val="5"/>
          <w:sz w:val="28"/>
          <w:szCs w:val="28"/>
          <w:shd w:val="clear" w:color="auto" w:fill="FFFFFF"/>
        </w:rPr>
        <w:t>成都市温江区人民法院于2022年9月13日作出(2</w:t>
      </w:r>
      <w:bookmarkStart w:id="0" w:name="_GoBack"/>
      <w:bookmarkEnd w:id="0"/>
      <w:r>
        <w:rPr>
          <w:rStyle w:val="12"/>
          <w:rFonts w:hint="eastAsia" w:ascii="仿宋" w:hAnsi="仿宋" w:eastAsia="仿宋" w:cs="仿宋"/>
          <w:b w:val="0"/>
          <w:bCs/>
          <w:spacing w:val="5"/>
          <w:sz w:val="28"/>
          <w:szCs w:val="28"/>
          <w:shd w:val="clear" w:color="auto" w:fill="FFFFFF"/>
        </w:rPr>
        <w:t>022)川0115破申11号决定书，决定对成都嘉康投资发展有限公司（下称：嘉康公司）进行预重整，并于2022年9月13日作出（2022）川0115破申11号之一，指定四川英特信律师事务所与毕马威华振会计师事务所（特殊普通合伙）成都分所担任嘉康公司预重整管理人。</w:t>
      </w:r>
    </w:p>
    <w:p>
      <w:pPr>
        <w:pStyle w:val="8"/>
        <w:widowControl/>
        <w:numPr>
          <w:ilvl w:val="0"/>
          <w:numId w:val="1"/>
        </w:numPr>
        <w:shd w:val="clear" w:color="auto"/>
        <w:spacing w:before="0" w:beforeAutospacing="0" w:after="103" w:afterAutospacing="0" w:line="560" w:lineRule="exact"/>
        <w:ind w:left="-634" w:leftChars="-200" w:right="-773" w:rightChars="-244" w:firstLine="574" w:firstLineChars="200"/>
        <w:jc w:val="center"/>
        <w:textAlignment w:val="baseline"/>
        <w:rPr>
          <w:rStyle w:val="12"/>
          <w:rFonts w:ascii="仿宋" w:hAnsi="仿宋" w:eastAsia="仿宋" w:cs="仿宋"/>
          <w:spacing w:val="5"/>
          <w:sz w:val="28"/>
          <w:szCs w:val="28"/>
          <w:shd w:val="clear" w:color="auto" w:fill="FFFFFF"/>
        </w:rPr>
      </w:pPr>
      <w:r>
        <w:rPr>
          <w:rStyle w:val="12"/>
          <w:rFonts w:hint="eastAsia" w:ascii="仿宋" w:hAnsi="仿宋" w:eastAsia="仿宋" w:cs="仿宋"/>
          <w:spacing w:val="5"/>
          <w:sz w:val="28"/>
          <w:szCs w:val="28"/>
          <w:shd w:val="clear" w:color="auto" w:fill="FFFFFF"/>
        </w:rPr>
        <w:t>嘉康公司情况概要</w:t>
      </w:r>
    </w:p>
    <w:p>
      <w:pPr>
        <w:pStyle w:val="8"/>
        <w:widowControl/>
        <w:shd w:val="clear" w:color="auto"/>
        <w:spacing w:before="0" w:beforeAutospacing="0" w:after="103" w:afterAutospacing="0" w:line="560" w:lineRule="exact"/>
        <w:ind w:left="243" w:right="-773" w:rightChars="-244" w:firstLine="287" w:firstLineChars="100"/>
        <w:textAlignment w:val="baseline"/>
        <w:rPr>
          <w:rStyle w:val="12"/>
          <w:rFonts w:ascii="仿宋" w:hAnsi="仿宋" w:eastAsia="仿宋" w:cs="仿宋"/>
          <w:spacing w:val="5"/>
          <w:sz w:val="28"/>
          <w:szCs w:val="28"/>
          <w:shd w:val="clear" w:color="auto" w:fill="FFFFFF"/>
        </w:rPr>
      </w:pPr>
      <w:r>
        <w:rPr>
          <w:rStyle w:val="12"/>
          <w:rFonts w:hint="eastAsia" w:ascii="仿宋" w:hAnsi="仿宋" w:eastAsia="仿宋" w:cs="仿宋"/>
          <w:spacing w:val="5"/>
          <w:sz w:val="28"/>
          <w:szCs w:val="28"/>
          <w:shd w:val="clear" w:color="auto" w:fill="FFFFFF"/>
        </w:rPr>
        <w:t>一、工商登记情况</w:t>
      </w:r>
    </w:p>
    <w:p>
      <w:pPr>
        <w:pStyle w:val="8"/>
        <w:widowControl/>
        <w:shd w:val="clear" w:color="auto"/>
        <w:spacing w:before="0" w:beforeAutospacing="0" w:after="103" w:afterAutospacing="0" w:line="560" w:lineRule="exact"/>
        <w:ind w:right="-773" w:rightChars="-244" w:firstLine="574" w:firstLineChars="200"/>
        <w:textAlignment w:val="baseline"/>
        <w:rPr>
          <w:rStyle w:val="12"/>
          <w:rFonts w:ascii="仿宋" w:hAnsi="仿宋" w:eastAsia="仿宋" w:cs="仿宋"/>
          <w:b w:val="0"/>
          <w:bCs/>
          <w:spacing w:val="5"/>
          <w:sz w:val="28"/>
          <w:szCs w:val="28"/>
          <w:shd w:val="clear" w:color="auto" w:fill="FFFFFF"/>
        </w:rPr>
      </w:pPr>
      <w:r>
        <w:rPr>
          <w:rStyle w:val="12"/>
          <w:rFonts w:hint="eastAsia" w:ascii="仿宋" w:hAnsi="仿宋" w:eastAsia="仿宋" w:cs="仿宋"/>
          <w:b w:val="0"/>
          <w:bCs/>
          <w:spacing w:val="5"/>
          <w:sz w:val="28"/>
          <w:szCs w:val="28"/>
          <w:shd w:val="clear" w:color="auto" w:fill="FFFFFF"/>
        </w:rPr>
        <w:t>成都嘉康投资发展有限公司成立于2011年1月17日，纳税人信用代码：91510115567153139A，注册资本3000万元，法人代表：符美华，经营范围：房地产开发；投资与资产管理；招商引资；土地管理；基础设施建设投资；旅游项目开发；农业产业化项目投资；企业营销策划；会务服务；零售。注册地址：成都市温江区永宁镇天王村二组、开元村五组芙蓉长卷合一庭。股权情况为：成都置信实业（集团）有限公司持有90%；符美华持有10%。其中成都置信实业（集团）有限公司持有的90%股权已被成都市武侯区人民法院冻结；成都置信实业（集团）有限公司持有的90%股权以及符美华持有的10%股权均已出质给成都鼎立资产经营管理有限公司。</w:t>
      </w:r>
    </w:p>
    <w:p>
      <w:pPr>
        <w:numPr>
          <w:ilvl w:val="0"/>
          <w:numId w:val="2"/>
        </w:numPr>
        <w:shd w:val="clear"/>
        <w:ind w:left="105" w:firstLine="554" w:firstLineChars="200"/>
        <w:jc w:val="left"/>
        <w:rPr>
          <w:rFonts w:ascii="仿宋" w:hAnsi="仿宋" w:eastAsia="仿宋" w:cs="仿宋"/>
          <w:b/>
          <w:bCs/>
          <w:sz w:val="28"/>
          <w:szCs w:val="28"/>
        </w:rPr>
      </w:pPr>
      <w:r>
        <w:rPr>
          <w:rFonts w:hint="eastAsia" w:ascii="仿宋" w:hAnsi="仿宋" w:eastAsia="仿宋" w:cs="仿宋"/>
          <w:b/>
          <w:bCs/>
          <w:sz w:val="28"/>
          <w:szCs w:val="28"/>
        </w:rPr>
        <w:t>主要资产</w:t>
      </w:r>
    </w:p>
    <w:p>
      <w:pPr>
        <w:pStyle w:val="2"/>
        <w:shd w:val="clear"/>
        <w:jc w:val="left"/>
        <w:rPr>
          <w:rStyle w:val="12"/>
          <w:rFonts w:ascii="仿宋" w:hAnsi="仿宋" w:eastAsia="仿宋" w:cs="仿宋"/>
          <w:b w:val="0"/>
          <w:bCs/>
          <w:spacing w:val="5"/>
          <w:kern w:val="0"/>
          <w:sz w:val="28"/>
          <w:szCs w:val="28"/>
          <w:shd w:val="clear" w:color="auto" w:fill="FFFFFF"/>
          <w:lang w:bidi="ar"/>
        </w:rPr>
      </w:pPr>
      <w:r>
        <w:rPr>
          <w:rStyle w:val="12"/>
          <w:rFonts w:hint="eastAsia" w:ascii="仿宋" w:hAnsi="仿宋" w:eastAsia="仿宋" w:cs="仿宋"/>
          <w:b w:val="0"/>
          <w:bCs/>
          <w:spacing w:val="5"/>
          <w:kern w:val="0"/>
          <w:sz w:val="28"/>
          <w:szCs w:val="28"/>
          <w:shd w:val="clear" w:color="auto" w:fill="FFFFFF"/>
          <w:lang w:bidi="ar"/>
        </w:rPr>
        <w:t xml:space="preserve">     嘉康公司开发的项目名为逸都城·学府杏林，分为一期和二期，二期又分为A、B、C、D区。其中一期已于2013年竣工验收交付；二期A、B区于2015年12月竣工验收并交付；二期C区为在建工程，尚未竣工；二期D区为空地，暂未开发。</w:t>
      </w:r>
    </w:p>
    <w:p>
      <w:pPr>
        <w:pStyle w:val="2"/>
        <w:shd w:val="clear"/>
        <w:ind w:left="105"/>
        <w:jc w:val="left"/>
        <w:rPr>
          <w:rFonts w:ascii="仿宋" w:hAnsi="仿宋" w:eastAsia="仿宋" w:cs="仿宋"/>
          <w:sz w:val="28"/>
          <w:szCs w:val="28"/>
        </w:rPr>
      </w:pPr>
      <w:r>
        <w:rPr>
          <w:rFonts w:hint="eastAsia" w:ascii="仿宋" w:hAnsi="仿宋" w:eastAsia="仿宋" w:cs="仿宋"/>
          <w:sz w:val="28"/>
          <w:szCs w:val="28"/>
        </w:rPr>
        <w:t xml:space="preserve">    （一）已开发完成资产情况</w:t>
      </w:r>
    </w:p>
    <w:p>
      <w:pPr>
        <w:pStyle w:val="2"/>
        <w:shd w:val="clear"/>
        <w:ind w:left="105" w:firstLine="554" w:firstLineChars="200"/>
        <w:jc w:val="left"/>
        <w:rPr>
          <w:rFonts w:ascii="仿宋" w:hAnsi="仿宋" w:eastAsia="仿宋" w:cs="仿宋"/>
          <w:sz w:val="28"/>
          <w:szCs w:val="28"/>
        </w:rPr>
      </w:pPr>
      <w:r>
        <w:rPr>
          <w:rFonts w:hint="eastAsia" w:ascii="仿宋" w:hAnsi="仿宋" w:eastAsia="仿宋" w:cs="仿宋"/>
          <w:sz w:val="28"/>
          <w:szCs w:val="28"/>
        </w:rPr>
        <w:t>1、一期</w:t>
      </w:r>
    </w:p>
    <w:p>
      <w:pPr>
        <w:pStyle w:val="2"/>
        <w:shd w:val="clear"/>
        <w:ind w:left="105" w:firstLine="554" w:firstLineChars="200"/>
        <w:jc w:val="left"/>
        <w:rPr>
          <w:rFonts w:ascii="仿宋" w:hAnsi="仿宋" w:eastAsia="仿宋" w:cs="仿宋"/>
          <w:sz w:val="28"/>
          <w:szCs w:val="28"/>
        </w:rPr>
      </w:pPr>
      <w:r>
        <w:rPr>
          <w:rFonts w:hint="eastAsia" w:ascii="仿宋" w:hAnsi="仿宋" w:eastAsia="仿宋" w:cs="仿宋"/>
          <w:sz w:val="28"/>
          <w:szCs w:val="28"/>
        </w:rPr>
        <w:t>（1）一期未售商业房产10套，面积10885平方米，已全部抵押，其中9套（共10838平方米）被成都市公安局青羊区分局查封，其中7,690.81㎡已对外租赁；</w:t>
      </w:r>
    </w:p>
    <w:p>
      <w:pPr>
        <w:pStyle w:val="2"/>
        <w:shd w:val="clear"/>
        <w:ind w:left="105" w:firstLine="554" w:firstLineChars="200"/>
        <w:jc w:val="left"/>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一</w:t>
      </w:r>
      <w:r>
        <w:rPr>
          <w:rFonts w:hint="eastAsia" w:ascii="仿宋" w:hAnsi="仿宋" w:eastAsia="仿宋" w:cs="仿宋"/>
          <w:sz w:val="28"/>
          <w:szCs w:val="28"/>
        </w:rPr>
        <w:t>期未售标准车位30个，已全部抵押，未被查封；未售微型车位4个，已抵押3个，未抵押但已被成都市公安局温江区分局查封1个；未售机械车位</w:t>
      </w:r>
      <w:r>
        <w:rPr>
          <w:rFonts w:hint="eastAsia" w:ascii="仿宋" w:hAnsi="仿宋" w:eastAsia="仿宋" w:cs="仿宋"/>
          <w:sz w:val="28"/>
          <w:szCs w:val="28"/>
          <w:lang w:val="en-US" w:eastAsia="zh-CN"/>
        </w:rPr>
        <w:t>602</w:t>
      </w:r>
      <w:r>
        <w:rPr>
          <w:rFonts w:hint="eastAsia" w:ascii="仿宋" w:hAnsi="仿宋" w:eastAsia="仿宋" w:cs="仿宋"/>
          <w:sz w:val="28"/>
          <w:szCs w:val="28"/>
        </w:rPr>
        <w:t>个，均未抵押，其中已对外出租273个，均未被查封。</w:t>
      </w:r>
    </w:p>
    <w:p>
      <w:pPr>
        <w:pStyle w:val="2"/>
        <w:numPr>
          <w:ilvl w:val="0"/>
          <w:numId w:val="3"/>
        </w:numPr>
        <w:shd w:val="clear"/>
        <w:ind w:left="105" w:firstLine="554" w:firstLineChars="200"/>
        <w:jc w:val="left"/>
        <w:rPr>
          <w:rFonts w:ascii="仿宋" w:hAnsi="仿宋" w:eastAsia="仿宋" w:cs="仿宋"/>
          <w:sz w:val="28"/>
          <w:szCs w:val="28"/>
        </w:rPr>
      </w:pPr>
      <w:r>
        <w:rPr>
          <w:rFonts w:hint="eastAsia" w:ascii="仿宋" w:hAnsi="仿宋" w:eastAsia="仿宋" w:cs="仿宋"/>
          <w:sz w:val="28"/>
          <w:szCs w:val="28"/>
        </w:rPr>
        <w:t>二期A、B区</w:t>
      </w:r>
    </w:p>
    <w:p>
      <w:pPr>
        <w:pStyle w:val="2"/>
        <w:shd w:val="clear"/>
        <w:ind w:firstLine="554" w:firstLineChars="200"/>
        <w:jc w:val="left"/>
        <w:rPr>
          <w:rFonts w:ascii="仿宋" w:hAnsi="仿宋" w:eastAsia="仿宋" w:cs="仿宋"/>
          <w:sz w:val="28"/>
          <w:szCs w:val="28"/>
        </w:rPr>
      </w:pPr>
      <w:r>
        <w:rPr>
          <w:rFonts w:hint="eastAsia" w:ascii="仿宋" w:hAnsi="仿宋" w:eastAsia="仿宋" w:cs="仿宋"/>
          <w:sz w:val="28"/>
          <w:szCs w:val="28"/>
        </w:rPr>
        <w:t>（1）二期A、B区未售商业房产1套，面积54.37平方米，未抵押，已被成都市公安局温江区分局查封；</w:t>
      </w:r>
    </w:p>
    <w:p>
      <w:pPr>
        <w:pStyle w:val="2"/>
        <w:shd w:val="clear"/>
        <w:ind w:firstLine="554" w:firstLineChars="200"/>
        <w:jc w:val="left"/>
        <w:rPr>
          <w:rFonts w:ascii="仿宋" w:hAnsi="仿宋" w:eastAsia="仿宋" w:cs="仿宋"/>
          <w:sz w:val="28"/>
          <w:szCs w:val="28"/>
        </w:rPr>
      </w:pPr>
      <w:r>
        <w:rPr>
          <w:rFonts w:hint="eastAsia" w:ascii="仿宋" w:hAnsi="仿宋" w:eastAsia="仿宋" w:cs="仿宋"/>
          <w:sz w:val="28"/>
          <w:szCs w:val="28"/>
        </w:rPr>
        <w:t>（2）二期A、B区未售车位37</w:t>
      </w:r>
      <w:r>
        <w:rPr>
          <w:rFonts w:hint="eastAsia" w:ascii="仿宋" w:hAnsi="仿宋" w:eastAsia="仿宋" w:cs="仿宋"/>
          <w:sz w:val="28"/>
          <w:szCs w:val="28"/>
          <w:lang w:val="en-US" w:eastAsia="zh-CN"/>
        </w:rPr>
        <w:t>9</w:t>
      </w:r>
      <w:r>
        <w:rPr>
          <w:rFonts w:hint="eastAsia" w:ascii="仿宋" w:hAnsi="仿宋" w:eastAsia="仿宋" w:cs="仿宋"/>
          <w:sz w:val="28"/>
          <w:szCs w:val="28"/>
        </w:rPr>
        <w:t>个，其中377个已抵押（其中292个被成都市公安局青羊区分局查封），</w:t>
      </w:r>
      <w:r>
        <w:rPr>
          <w:rFonts w:hint="eastAsia" w:ascii="仿宋" w:hAnsi="仿宋" w:eastAsia="仿宋" w:cs="仿宋"/>
          <w:sz w:val="28"/>
          <w:szCs w:val="28"/>
          <w:lang w:val="en-US" w:eastAsia="zh-CN"/>
        </w:rPr>
        <w:t>未抵押未查封1个；</w:t>
      </w:r>
      <w:r>
        <w:rPr>
          <w:rFonts w:hint="eastAsia" w:ascii="仿宋" w:hAnsi="仿宋" w:eastAsia="仿宋" w:cs="仿宋"/>
          <w:sz w:val="28"/>
          <w:szCs w:val="28"/>
        </w:rPr>
        <w:t>剩余1个未抵押但已被成都市公安局温江区分局查封；</w:t>
      </w:r>
    </w:p>
    <w:p>
      <w:pPr>
        <w:pStyle w:val="2"/>
        <w:shd w:val="clear"/>
        <w:ind w:firstLine="554" w:firstLineChars="200"/>
        <w:jc w:val="left"/>
        <w:rPr>
          <w:rFonts w:ascii="仿宋" w:hAnsi="仿宋" w:eastAsia="仿宋" w:cs="仿宋"/>
          <w:sz w:val="28"/>
          <w:szCs w:val="28"/>
        </w:rPr>
      </w:pPr>
      <w:r>
        <w:rPr>
          <w:rFonts w:hint="eastAsia" w:ascii="仿宋" w:hAnsi="仿宋" w:eastAsia="仿宋" w:cs="仿宋"/>
          <w:sz w:val="28"/>
          <w:szCs w:val="28"/>
        </w:rPr>
        <w:t>（3）二期A、B区未售停车楼车位266个，已全部抵押，均未被查封。</w:t>
      </w:r>
    </w:p>
    <w:p>
      <w:pPr>
        <w:pStyle w:val="2"/>
        <w:numPr>
          <w:ilvl w:val="0"/>
          <w:numId w:val="4"/>
        </w:numPr>
        <w:shd w:val="clear"/>
        <w:ind w:left="105" w:firstLine="277" w:firstLineChars="100"/>
        <w:jc w:val="left"/>
        <w:rPr>
          <w:rFonts w:ascii="仿宋" w:hAnsi="仿宋" w:eastAsia="仿宋" w:cs="仿宋"/>
          <w:b/>
          <w:bCs/>
          <w:sz w:val="28"/>
          <w:szCs w:val="28"/>
        </w:rPr>
      </w:pPr>
      <w:r>
        <w:rPr>
          <w:rFonts w:hint="eastAsia" w:ascii="仿宋" w:hAnsi="仿宋" w:eastAsia="仿宋" w:cs="仿宋"/>
          <w:b/>
          <w:bCs/>
          <w:sz w:val="28"/>
          <w:szCs w:val="28"/>
        </w:rPr>
        <w:t>未开发完成资产情况</w:t>
      </w:r>
    </w:p>
    <w:p>
      <w:pPr>
        <w:pStyle w:val="2"/>
        <w:numPr>
          <w:ilvl w:val="0"/>
          <w:numId w:val="5"/>
        </w:numPr>
        <w:shd w:val="clear"/>
        <w:jc w:val="left"/>
        <w:rPr>
          <w:rFonts w:ascii="仿宋" w:hAnsi="仿宋" w:eastAsia="仿宋" w:cs="仿宋"/>
          <w:b/>
          <w:bCs/>
          <w:sz w:val="28"/>
          <w:szCs w:val="28"/>
        </w:rPr>
      </w:pPr>
      <w:r>
        <w:rPr>
          <w:rFonts w:hint="eastAsia" w:ascii="仿宋" w:hAnsi="仿宋" w:eastAsia="仿宋" w:cs="仿宋"/>
          <w:b/>
          <w:bCs/>
          <w:sz w:val="28"/>
          <w:szCs w:val="28"/>
        </w:rPr>
        <w:t>二期C区</w:t>
      </w:r>
    </w:p>
    <w:p>
      <w:pPr>
        <w:pStyle w:val="2"/>
        <w:numPr>
          <w:ilvl w:val="0"/>
          <w:numId w:val="6"/>
        </w:numPr>
        <w:shd w:val="clear"/>
        <w:ind w:firstLine="554" w:firstLineChars="200"/>
        <w:jc w:val="left"/>
        <w:rPr>
          <w:rFonts w:ascii="仿宋" w:hAnsi="仿宋" w:eastAsia="仿宋" w:cs="仿宋"/>
          <w:sz w:val="28"/>
          <w:szCs w:val="28"/>
        </w:rPr>
      </w:pPr>
      <w:r>
        <w:rPr>
          <w:rFonts w:hint="eastAsia" w:ascii="仿宋" w:hAnsi="仿宋" w:eastAsia="仿宋" w:cs="仿宋"/>
          <w:sz w:val="28"/>
          <w:szCs w:val="28"/>
        </w:rPr>
        <w:t>未售办公房产68套，面积2547平方米，该部分68套房源均未被查封。其中：已抵押31套，抵押面积共计1167平方米；未抵押1380平方米，未抵押中有788平方米已备案给债权人。</w:t>
      </w:r>
    </w:p>
    <w:p>
      <w:pPr>
        <w:pStyle w:val="2"/>
        <w:numPr>
          <w:ilvl w:val="0"/>
          <w:numId w:val="6"/>
        </w:numPr>
        <w:shd w:val="clear"/>
        <w:ind w:firstLine="554" w:firstLineChars="200"/>
        <w:jc w:val="left"/>
        <w:rPr>
          <w:rFonts w:ascii="仿宋" w:hAnsi="仿宋" w:eastAsia="仿宋" w:cs="仿宋"/>
          <w:sz w:val="28"/>
          <w:szCs w:val="28"/>
        </w:rPr>
      </w:pPr>
      <w:r>
        <w:rPr>
          <w:rFonts w:hint="eastAsia" w:ascii="仿宋" w:hAnsi="仿宋" w:eastAsia="仿宋" w:cs="仿宋"/>
          <w:sz w:val="28"/>
          <w:szCs w:val="28"/>
        </w:rPr>
        <w:t>未售商业房产40套，面积5893平方米，该部分40套房源均未被查封。其中：已抵押18套，抵押面积3358平方米；未抵押2535平方米，未抵押中有553平方米备案给债权人。</w:t>
      </w:r>
    </w:p>
    <w:p>
      <w:pPr>
        <w:pStyle w:val="2"/>
        <w:numPr>
          <w:ilvl w:val="0"/>
          <w:numId w:val="6"/>
        </w:numPr>
        <w:shd w:val="clear"/>
        <w:ind w:firstLine="554" w:firstLineChars="200"/>
        <w:jc w:val="left"/>
        <w:rPr>
          <w:rFonts w:ascii="仿宋" w:hAnsi="仿宋" w:eastAsia="仿宋" w:cs="仿宋"/>
          <w:sz w:val="28"/>
          <w:szCs w:val="28"/>
        </w:rPr>
      </w:pPr>
      <w:r>
        <w:rPr>
          <w:rFonts w:hint="eastAsia" w:ascii="仿宋" w:hAnsi="仿宋" w:eastAsia="仿宋" w:cs="仿宋"/>
          <w:sz w:val="28"/>
          <w:szCs w:val="28"/>
        </w:rPr>
        <w:t>未售购物中心17套，面积31410平方米，已全部抵押，均未被查封。</w:t>
      </w:r>
    </w:p>
    <w:p>
      <w:pPr>
        <w:pStyle w:val="2"/>
        <w:numPr>
          <w:ilvl w:val="0"/>
          <w:numId w:val="6"/>
        </w:numPr>
        <w:shd w:val="clear"/>
        <w:ind w:left="0" w:leftChars="0" w:firstLine="554" w:firstLineChars="200"/>
        <w:jc w:val="left"/>
        <w:rPr>
          <w:rFonts w:hint="eastAsia" w:ascii="仿宋" w:hAnsi="仿宋" w:eastAsia="仿宋" w:cs="仿宋"/>
          <w:sz w:val="28"/>
          <w:szCs w:val="28"/>
        </w:rPr>
      </w:pPr>
      <w:r>
        <w:rPr>
          <w:rFonts w:hint="eastAsia" w:ascii="仿宋" w:hAnsi="仿宋" w:eastAsia="仿宋" w:cs="仿宋"/>
          <w:sz w:val="28"/>
          <w:szCs w:val="28"/>
        </w:rPr>
        <w:t>未售地下车位501个，人防车位345个，尚未取得预售许可证。</w:t>
      </w:r>
    </w:p>
    <w:p>
      <w:pPr>
        <w:pStyle w:val="2"/>
        <w:numPr>
          <w:ilvl w:val="0"/>
          <w:numId w:val="0"/>
        </w:numPr>
        <w:shd w:val="clear"/>
        <w:ind w:firstLine="554" w:firstLineChars="20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C区工程进度：主体工程已完成；外饰工程完成70%；住宅内饰工程完成30%；商业、公寓内饰工程完成55%；安装工程完成30%；总平园林工程完成5%。</w:t>
      </w:r>
    </w:p>
    <w:p>
      <w:pPr>
        <w:pStyle w:val="2"/>
        <w:shd w:val="clear"/>
        <w:ind w:left="105" w:firstLine="554" w:firstLineChars="200"/>
        <w:jc w:val="left"/>
        <w:rPr>
          <w:rFonts w:ascii="仿宋" w:hAnsi="仿宋" w:eastAsia="仿宋" w:cs="仿宋"/>
          <w:b/>
          <w:bCs/>
          <w:sz w:val="28"/>
          <w:szCs w:val="28"/>
        </w:rPr>
      </w:pPr>
      <w:r>
        <w:rPr>
          <w:rFonts w:hint="eastAsia" w:ascii="仿宋" w:hAnsi="仿宋" w:eastAsia="仿宋" w:cs="仿宋"/>
          <w:b/>
          <w:bCs/>
          <w:sz w:val="28"/>
          <w:szCs w:val="28"/>
        </w:rPr>
        <w:t>2、二期D区</w:t>
      </w:r>
    </w:p>
    <w:p>
      <w:pPr>
        <w:pStyle w:val="2"/>
        <w:shd w:val="clear"/>
        <w:ind w:left="105" w:firstLine="554" w:firstLineChars="200"/>
        <w:jc w:val="left"/>
        <w:rPr>
          <w:rFonts w:ascii="仿宋" w:hAnsi="仿宋" w:eastAsia="仿宋" w:cs="仿宋"/>
          <w:sz w:val="28"/>
          <w:szCs w:val="28"/>
        </w:rPr>
      </w:pPr>
      <w:r>
        <w:rPr>
          <w:rFonts w:hint="eastAsia" w:ascii="仿宋" w:hAnsi="仿宋" w:eastAsia="仿宋" w:cs="仿宋"/>
          <w:sz w:val="28"/>
          <w:szCs w:val="28"/>
        </w:rPr>
        <w:t>D区目前尚未开发。项目规划建设总面积为16991.45㎡（约25.48亩）。规划可建筑商业面积30553.54㎡，办公面积28866.02㎡，酒店面积26854.69㎡，地下机动车库面积23755㎡。</w:t>
      </w:r>
    </w:p>
    <w:p>
      <w:pPr>
        <w:pStyle w:val="2"/>
        <w:shd w:val="clear"/>
        <w:ind w:firstLine="554" w:firstLineChars="200"/>
        <w:jc w:val="left"/>
        <w:rPr>
          <w:rFonts w:ascii="仿宋" w:hAnsi="仿宋" w:eastAsia="仿宋" w:cs="仿宋"/>
          <w:b/>
          <w:bCs/>
          <w:sz w:val="28"/>
          <w:szCs w:val="28"/>
        </w:rPr>
      </w:pPr>
      <w:r>
        <w:rPr>
          <w:rFonts w:hint="eastAsia" w:ascii="仿宋" w:hAnsi="仿宋" w:eastAsia="仿宋" w:cs="仿宋"/>
          <w:b/>
          <w:bCs/>
          <w:sz w:val="28"/>
          <w:szCs w:val="28"/>
        </w:rPr>
        <w:t>（三）其他固定资产情况</w:t>
      </w:r>
    </w:p>
    <w:p>
      <w:pPr>
        <w:pStyle w:val="2"/>
        <w:shd w:val="clear"/>
        <w:ind w:left="105" w:firstLine="554" w:firstLineChars="200"/>
        <w:jc w:val="left"/>
        <w:rPr>
          <w:rFonts w:ascii="仿宋" w:hAnsi="仿宋" w:eastAsia="仿宋" w:cs="仿宋"/>
          <w:sz w:val="28"/>
          <w:szCs w:val="28"/>
        </w:rPr>
      </w:pPr>
      <w:r>
        <w:rPr>
          <w:rFonts w:hint="eastAsia" w:ascii="仿宋" w:hAnsi="仿宋" w:eastAsia="仿宋" w:cs="仿宋"/>
          <w:sz w:val="28"/>
          <w:szCs w:val="28"/>
        </w:rPr>
        <w:t>嘉康公司其他固定资产账面值约为187万元，包括办公家具、办公设备、电脑、车辆等固定资产。</w:t>
      </w:r>
    </w:p>
    <w:p>
      <w:pPr>
        <w:pStyle w:val="2"/>
        <w:shd w:val="clear"/>
        <w:ind w:left="105" w:firstLine="277" w:firstLineChars="100"/>
        <w:jc w:val="left"/>
        <w:rPr>
          <w:rFonts w:ascii="仿宋" w:hAnsi="仿宋" w:eastAsia="仿宋" w:cs="仿宋"/>
          <w:b/>
          <w:bCs/>
          <w:sz w:val="28"/>
          <w:szCs w:val="28"/>
        </w:rPr>
      </w:pPr>
      <w:r>
        <w:rPr>
          <w:rFonts w:hint="eastAsia" w:ascii="仿宋" w:hAnsi="仿宋" w:eastAsia="仿宋" w:cs="仿宋"/>
          <w:b/>
          <w:bCs/>
          <w:sz w:val="28"/>
          <w:szCs w:val="28"/>
        </w:rPr>
        <w:t>（四）应收款情况</w:t>
      </w:r>
    </w:p>
    <w:p>
      <w:pPr>
        <w:pStyle w:val="2"/>
        <w:shd w:val="clear"/>
        <w:ind w:left="105" w:firstLine="554" w:firstLineChars="200"/>
        <w:jc w:val="left"/>
        <w:rPr>
          <w:rFonts w:ascii="仿宋" w:hAnsi="仿宋" w:eastAsia="仿宋" w:cs="仿宋"/>
          <w:sz w:val="28"/>
          <w:szCs w:val="28"/>
        </w:rPr>
      </w:pPr>
      <w:r>
        <w:rPr>
          <w:rFonts w:hint="eastAsia" w:ascii="仿宋" w:hAnsi="仿宋" w:eastAsia="仿宋" w:cs="仿宋"/>
          <w:sz w:val="28"/>
          <w:szCs w:val="28"/>
        </w:rPr>
        <w:t>根据账面记账，嘉康公司对外应收款约为1.19亿元。</w:t>
      </w:r>
    </w:p>
    <w:p>
      <w:pPr>
        <w:pStyle w:val="2"/>
        <w:shd w:val="clear"/>
        <w:ind w:left="105" w:firstLine="277" w:firstLineChars="100"/>
        <w:jc w:val="left"/>
        <w:rPr>
          <w:rFonts w:ascii="仿宋" w:hAnsi="仿宋" w:eastAsia="仿宋" w:cs="仿宋"/>
          <w:b/>
          <w:bCs/>
          <w:sz w:val="28"/>
          <w:szCs w:val="28"/>
        </w:rPr>
      </w:pPr>
      <w:r>
        <w:rPr>
          <w:rFonts w:hint="eastAsia" w:ascii="仿宋" w:hAnsi="仿宋" w:eastAsia="仿宋" w:cs="仿宋"/>
          <w:b/>
          <w:bCs/>
          <w:sz w:val="28"/>
          <w:szCs w:val="28"/>
        </w:rPr>
        <w:t>（五）对外投资</w:t>
      </w:r>
    </w:p>
    <w:p>
      <w:pPr>
        <w:pStyle w:val="2"/>
        <w:shd w:val="clear"/>
        <w:ind w:left="105" w:firstLine="554" w:firstLineChars="200"/>
        <w:jc w:val="left"/>
        <w:rPr>
          <w:rFonts w:ascii="仿宋" w:hAnsi="仿宋" w:eastAsia="仿宋" w:cs="仿宋"/>
          <w:sz w:val="28"/>
          <w:szCs w:val="28"/>
        </w:rPr>
      </w:pPr>
      <w:r>
        <w:rPr>
          <w:rFonts w:hint="eastAsia" w:ascii="仿宋" w:hAnsi="仿宋" w:eastAsia="仿宋" w:cs="仿宋"/>
          <w:sz w:val="28"/>
          <w:szCs w:val="28"/>
        </w:rPr>
        <w:t>对外投资情况：株洲金城投资发展有限公司（2013年4月2日成立，注册资本1000万元，嘉康公司占股35%），该股权已对外转让，但尚未办理工商变更登记。</w:t>
      </w:r>
    </w:p>
    <w:p>
      <w:pPr>
        <w:pStyle w:val="2"/>
        <w:shd w:val="clear"/>
        <w:ind w:left="634" w:leftChars="200"/>
        <w:jc w:val="left"/>
        <w:rPr>
          <w:rFonts w:ascii="仿宋" w:hAnsi="仿宋" w:eastAsia="仿宋" w:cs="仿宋"/>
          <w:b/>
          <w:bCs/>
          <w:sz w:val="28"/>
          <w:szCs w:val="28"/>
        </w:rPr>
      </w:pPr>
      <w:r>
        <w:rPr>
          <w:rFonts w:hint="eastAsia" w:ascii="仿宋" w:hAnsi="仿宋" w:eastAsia="仿宋" w:cs="仿宋"/>
          <w:b/>
          <w:bCs/>
          <w:sz w:val="28"/>
          <w:szCs w:val="28"/>
        </w:rPr>
        <w:t>二、主要负债</w:t>
      </w:r>
    </w:p>
    <w:p>
      <w:pPr>
        <w:pStyle w:val="2"/>
        <w:shd w:val="clear"/>
        <w:ind w:firstLine="554" w:firstLineChars="200"/>
        <w:jc w:val="left"/>
        <w:rPr>
          <w:rFonts w:hint="default" w:ascii="仿宋" w:hAnsi="仿宋" w:eastAsia="仿宋" w:cs="仿宋"/>
          <w:sz w:val="28"/>
          <w:szCs w:val="28"/>
          <w:lang w:val="en-US" w:eastAsia="zh-CN"/>
        </w:rPr>
      </w:pPr>
      <w:r>
        <w:rPr>
          <w:rFonts w:ascii="仿宋" w:hAnsi="仿宋" w:eastAsia="仿宋" w:cs="仿宋"/>
          <w:sz w:val="28"/>
          <w:szCs w:val="28"/>
        </w:rPr>
        <w:t>据</w:t>
      </w:r>
      <w:r>
        <w:rPr>
          <w:rFonts w:hint="eastAsia" w:ascii="仿宋" w:hAnsi="仿宋" w:eastAsia="仿宋" w:cs="仿宋"/>
          <w:sz w:val="28"/>
          <w:szCs w:val="28"/>
        </w:rPr>
        <w:t>嘉康</w:t>
      </w:r>
      <w:r>
        <w:rPr>
          <w:rFonts w:ascii="仿宋" w:hAnsi="仿宋" w:eastAsia="仿宋" w:cs="仿宋"/>
          <w:sz w:val="28"/>
          <w:szCs w:val="28"/>
        </w:rPr>
        <w:t>公司披露其总负债约</w:t>
      </w:r>
      <w:r>
        <w:rPr>
          <w:rFonts w:hint="eastAsia" w:ascii="仿宋" w:hAnsi="仿宋" w:eastAsia="仿宋" w:cs="仿宋"/>
          <w:sz w:val="28"/>
          <w:szCs w:val="28"/>
        </w:rPr>
        <w:t>3.2</w:t>
      </w:r>
      <w:r>
        <w:rPr>
          <w:rFonts w:ascii="仿宋" w:hAnsi="仿宋" w:eastAsia="仿宋" w:cs="仿宋"/>
          <w:sz w:val="28"/>
          <w:szCs w:val="28"/>
        </w:rPr>
        <w:t>亿元，但截止本招募公告发布之日，债权认定工作尚未完成，债权总金额尚未最终认定完毕，最终债权总额以债权人会议核查并经法院裁定确认的金额为准。</w:t>
      </w:r>
    </w:p>
    <w:p>
      <w:pPr>
        <w:pStyle w:val="2"/>
        <w:numPr>
          <w:ilvl w:val="0"/>
          <w:numId w:val="2"/>
        </w:numPr>
        <w:shd w:val="clear"/>
        <w:ind w:left="105" w:firstLine="554" w:firstLineChars="200"/>
        <w:jc w:val="left"/>
        <w:rPr>
          <w:rFonts w:ascii="仿宋" w:hAnsi="仿宋" w:eastAsia="仿宋" w:cs="仿宋"/>
          <w:b/>
          <w:bCs/>
          <w:sz w:val="28"/>
          <w:szCs w:val="28"/>
        </w:rPr>
      </w:pPr>
      <w:r>
        <w:rPr>
          <w:rFonts w:hint="eastAsia" w:ascii="仿宋" w:hAnsi="仿宋" w:eastAsia="仿宋" w:cs="仿宋"/>
          <w:b/>
          <w:bCs/>
          <w:sz w:val="28"/>
          <w:szCs w:val="28"/>
        </w:rPr>
        <w:t>项目优势</w:t>
      </w:r>
    </w:p>
    <w:p>
      <w:pPr>
        <w:pStyle w:val="2"/>
        <w:shd w:val="clear"/>
        <w:ind w:left="634" w:leftChars="200"/>
        <w:jc w:val="left"/>
        <w:rPr>
          <w:rFonts w:ascii="仿宋" w:hAnsi="仿宋" w:eastAsia="仿宋" w:cs="仿宋"/>
          <w:sz w:val="28"/>
          <w:szCs w:val="28"/>
        </w:rPr>
      </w:pPr>
      <w:r>
        <w:rPr>
          <w:rFonts w:hint="eastAsia" w:ascii="仿宋" w:hAnsi="仿宋" w:eastAsia="仿宋" w:cs="仿宋"/>
          <w:sz w:val="28"/>
          <w:szCs w:val="28"/>
        </w:rPr>
        <w:t>1、地理位置优势</w:t>
      </w:r>
    </w:p>
    <w:p>
      <w:pPr>
        <w:pStyle w:val="2"/>
        <w:shd w:val="clear"/>
        <w:ind w:firstLine="554" w:firstLineChars="200"/>
        <w:jc w:val="left"/>
        <w:rPr>
          <w:rFonts w:ascii="仿宋" w:hAnsi="仿宋" w:eastAsia="仿宋" w:cs="仿宋"/>
          <w:sz w:val="28"/>
          <w:szCs w:val="28"/>
        </w:rPr>
      </w:pPr>
      <w:r>
        <w:rPr>
          <w:rFonts w:hint="eastAsia" w:ascii="仿宋" w:hAnsi="仿宋" w:eastAsia="仿宋" w:cs="仿宋"/>
          <w:sz w:val="28"/>
          <w:szCs w:val="28"/>
        </w:rPr>
        <w:t>项目</w:t>
      </w:r>
      <w:r>
        <w:rPr>
          <w:rFonts w:ascii="仿宋" w:hAnsi="仿宋" w:eastAsia="仿宋" w:cs="仿宋"/>
          <w:sz w:val="28"/>
          <w:szCs w:val="28"/>
        </w:rPr>
        <w:t>位于成都市温江区，东临以现代高新技术为主导产业的高新西区，南临发展现代总部经济的青羊区。成都国际医学城交通便捷，紧邻成温邛、成灌、绕城高速，以及光华大道、日月大道、IT大道等城市快速通道；距离双流国际机场16公里，距火车北站约18公里，距中心城区约10公里，地铁4号线位于项目附近。</w:t>
      </w:r>
    </w:p>
    <w:p>
      <w:pPr>
        <w:pStyle w:val="2"/>
        <w:shd w:val="clear"/>
        <w:ind w:firstLine="554" w:firstLineChars="200"/>
        <w:jc w:val="left"/>
        <w:rPr>
          <w:rFonts w:ascii="仿宋" w:hAnsi="仿宋" w:eastAsia="仿宋" w:cs="仿宋"/>
          <w:sz w:val="28"/>
          <w:szCs w:val="28"/>
        </w:rPr>
      </w:pPr>
      <w:r>
        <w:rPr>
          <w:rFonts w:ascii="仿宋" w:hAnsi="仿宋" w:eastAsia="仿宋" w:cs="仿宋"/>
          <w:sz w:val="28"/>
          <w:szCs w:val="28"/>
        </w:rPr>
        <w:t>项目位于成都国际医学城核心位置，紧邻园区主干道——芙蓉大道，位于园区规划产业板块与新城居住板块之间，周边分布有芙蓉古城、上林赋、清溪玫瑰园等一类住宅项目，以及学府杏林、康城嘉苑等二类住宅项目，医科总部产业园项目、小专科大综合产业项目及市政规划公园。</w:t>
      </w:r>
    </w:p>
    <w:p>
      <w:pPr>
        <w:pStyle w:val="2"/>
        <w:shd w:val="clear"/>
        <w:ind w:firstLine="554" w:firstLineChars="200"/>
        <w:jc w:val="left"/>
        <w:rPr>
          <w:rFonts w:ascii="仿宋" w:hAnsi="仿宋" w:eastAsia="仿宋" w:cs="仿宋"/>
          <w:sz w:val="28"/>
          <w:szCs w:val="28"/>
          <w:lang w:eastAsia="zh-Hans"/>
        </w:rPr>
      </w:pPr>
      <w:r>
        <w:rPr>
          <w:rFonts w:hint="eastAsia" w:ascii="仿宋" w:hAnsi="仿宋" w:eastAsia="仿宋" w:cs="仿宋"/>
          <w:sz w:val="28"/>
          <w:szCs w:val="28"/>
        </w:rPr>
        <w:t>2、</w:t>
      </w:r>
      <w:r>
        <w:rPr>
          <w:rFonts w:hint="eastAsia" w:ascii="仿宋" w:hAnsi="仿宋" w:eastAsia="仿宋" w:cs="仿宋"/>
          <w:sz w:val="28"/>
          <w:szCs w:val="28"/>
          <w:lang w:eastAsia="zh-Hans"/>
        </w:rPr>
        <w:t>市场</w:t>
      </w:r>
      <w:r>
        <w:rPr>
          <w:rFonts w:hint="eastAsia" w:ascii="仿宋" w:hAnsi="仿宋" w:eastAsia="仿宋" w:cs="仿宋"/>
          <w:sz w:val="28"/>
          <w:szCs w:val="28"/>
        </w:rPr>
        <w:t>定位</w:t>
      </w:r>
    </w:p>
    <w:p>
      <w:pPr>
        <w:pStyle w:val="2"/>
        <w:shd w:val="clear"/>
        <w:ind w:firstLine="554" w:firstLineChars="200"/>
        <w:jc w:val="left"/>
        <w:rPr>
          <w:rFonts w:ascii="仿宋" w:hAnsi="仿宋" w:eastAsia="仿宋" w:cs="仿宋"/>
          <w:sz w:val="28"/>
          <w:szCs w:val="28"/>
          <w:lang w:eastAsia="zh-Hans"/>
        </w:rPr>
      </w:pPr>
      <w:r>
        <w:rPr>
          <w:rFonts w:hint="eastAsia" w:ascii="仿宋" w:hAnsi="仿宋" w:eastAsia="仿宋" w:cs="仿宋"/>
          <w:sz w:val="28"/>
          <w:szCs w:val="28"/>
          <w:lang w:eastAsia="zh-Hans"/>
        </w:rPr>
        <w:t>（1）商业部分形象定位</w:t>
      </w:r>
    </w:p>
    <w:p>
      <w:pPr>
        <w:pStyle w:val="2"/>
        <w:shd w:val="clear"/>
        <w:ind w:firstLine="554" w:firstLineChars="200"/>
        <w:jc w:val="left"/>
        <w:rPr>
          <w:rFonts w:ascii="仿宋" w:hAnsi="仿宋" w:eastAsia="仿宋" w:cs="仿宋"/>
          <w:sz w:val="28"/>
          <w:szCs w:val="28"/>
          <w:lang w:eastAsia="zh-Hans"/>
        </w:rPr>
      </w:pPr>
      <w:r>
        <w:rPr>
          <w:rFonts w:hint="eastAsia" w:ascii="仿宋" w:hAnsi="仿宋" w:eastAsia="仿宋" w:cs="仿宋"/>
          <w:sz w:val="28"/>
          <w:szCs w:val="28"/>
          <w:lang w:eastAsia="zh-Hans"/>
        </w:rPr>
        <w:t>项目商业定位为：“成都国际医学城·一站式生活消费中心”，即辐射西部新城及周边地区的，规模中高档次的，集购物、休闲、办公、商务、餐饮功能于一体的、融入健康元素的消费中心。</w:t>
      </w:r>
    </w:p>
    <w:p>
      <w:pPr>
        <w:pStyle w:val="2"/>
        <w:shd w:val="clear"/>
        <w:ind w:firstLine="554" w:firstLineChars="200"/>
        <w:jc w:val="left"/>
        <w:rPr>
          <w:rFonts w:ascii="仿宋" w:hAnsi="仿宋" w:eastAsia="仿宋" w:cs="仿宋"/>
          <w:sz w:val="28"/>
          <w:szCs w:val="28"/>
          <w:lang w:eastAsia="zh-Hans"/>
        </w:rPr>
      </w:pPr>
      <w:r>
        <w:rPr>
          <w:rFonts w:hint="eastAsia" w:ascii="仿宋" w:hAnsi="仿宋" w:eastAsia="仿宋" w:cs="仿宋"/>
          <w:sz w:val="28"/>
          <w:szCs w:val="28"/>
          <w:lang w:eastAsia="zh-Hans"/>
        </w:rPr>
        <w:t>（2）商业总体功能定位</w:t>
      </w:r>
    </w:p>
    <w:p>
      <w:pPr>
        <w:pStyle w:val="2"/>
        <w:shd w:val="clear"/>
        <w:ind w:firstLine="554" w:firstLineChars="200"/>
        <w:jc w:val="left"/>
        <w:rPr>
          <w:rFonts w:ascii="仿宋" w:hAnsi="仿宋" w:eastAsia="仿宋" w:cs="仿宋"/>
          <w:sz w:val="28"/>
          <w:szCs w:val="28"/>
          <w:lang w:eastAsia="zh-Hans"/>
        </w:rPr>
      </w:pPr>
      <w:r>
        <w:rPr>
          <w:rFonts w:hint="eastAsia" w:ascii="仿宋" w:hAnsi="仿宋" w:eastAsia="仿宋" w:cs="仿宋"/>
          <w:sz w:val="28"/>
          <w:szCs w:val="28"/>
          <w:lang w:eastAsia="zh-Hans"/>
        </w:rPr>
        <w:t>区域型购物中心+服务式公寓+商务休闲酒店+主题餐饮+裙楼商业街+其他</w:t>
      </w:r>
    </w:p>
    <w:p>
      <w:pPr>
        <w:pStyle w:val="2"/>
        <w:shd w:val="clear"/>
        <w:ind w:firstLine="554" w:firstLineChars="200"/>
        <w:jc w:val="left"/>
        <w:rPr>
          <w:rFonts w:ascii="仿宋" w:hAnsi="仿宋" w:eastAsia="仿宋" w:cs="仿宋"/>
          <w:sz w:val="28"/>
          <w:szCs w:val="28"/>
          <w:lang w:eastAsia="zh-Hans"/>
        </w:rPr>
      </w:pPr>
      <w:r>
        <w:rPr>
          <w:rFonts w:hint="eastAsia" w:ascii="仿宋" w:hAnsi="仿宋" w:eastAsia="仿宋" w:cs="仿宋"/>
          <w:sz w:val="28"/>
          <w:szCs w:val="28"/>
          <w:lang w:eastAsia="zh-Hans"/>
        </w:rPr>
        <w:t>通过功能分区将各主要业态部分与辅营业态部分合理的穿插组合，使各大地块区域之间形成了合理的既有分散又有组合的布局方式，加强了各地块区域的丰富性、多元化，商业布局更具活力。</w:t>
      </w:r>
    </w:p>
    <w:p>
      <w:pPr>
        <w:pStyle w:val="2"/>
        <w:shd w:val="clear"/>
        <w:ind w:firstLine="554" w:firstLineChars="200"/>
        <w:jc w:val="left"/>
        <w:rPr>
          <w:rFonts w:ascii="仿宋" w:hAnsi="仿宋" w:eastAsia="仿宋" w:cs="仿宋"/>
          <w:sz w:val="28"/>
          <w:szCs w:val="28"/>
          <w:lang w:eastAsia="zh-Hans"/>
        </w:rPr>
      </w:pPr>
      <w:r>
        <w:rPr>
          <w:rFonts w:hint="eastAsia" w:ascii="仿宋" w:hAnsi="仿宋" w:eastAsia="仿宋" w:cs="仿宋"/>
          <w:sz w:val="28"/>
          <w:szCs w:val="28"/>
        </w:rPr>
        <w:t>3、债权人重整意愿较高。嘉康公司及预重整管理人</w:t>
      </w:r>
      <w:r>
        <w:rPr>
          <w:rFonts w:hint="eastAsia" w:ascii="仿宋" w:hAnsi="仿宋" w:eastAsia="仿宋" w:cs="仿宋"/>
          <w:sz w:val="28"/>
          <w:szCs w:val="28"/>
          <w:lang w:eastAsia="zh-Hans"/>
        </w:rPr>
        <w:t>广泛征求了债权人的意见，目前</w:t>
      </w:r>
      <w:r>
        <w:rPr>
          <w:rFonts w:hint="eastAsia" w:ascii="仿宋" w:hAnsi="仿宋" w:eastAsia="仿宋" w:cs="仿宋"/>
          <w:sz w:val="28"/>
          <w:szCs w:val="28"/>
        </w:rPr>
        <w:t>大部分</w:t>
      </w:r>
      <w:r>
        <w:rPr>
          <w:rFonts w:hint="eastAsia" w:ascii="仿宋" w:hAnsi="仿宋" w:eastAsia="仿宋" w:cs="仿宋"/>
          <w:sz w:val="28"/>
          <w:szCs w:val="28"/>
          <w:lang w:eastAsia="zh-Hans"/>
        </w:rPr>
        <w:t>债权人</w:t>
      </w:r>
      <w:r>
        <w:rPr>
          <w:rFonts w:hint="eastAsia" w:ascii="仿宋" w:hAnsi="仿宋" w:eastAsia="仿宋" w:cs="仿宋"/>
          <w:sz w:val="28"/>
          <w:szCs w:val="28"/>
        </w:rPr>
        <w:t>具有</w:t>
      </w:r>
      <w:r>
        <w:rPr>
          <w:rFonts w:hint="eastAsia" w:ascii="仿宋" w:hAnsi="仿宋" w:eastAsia="仿宋" w:cs="仿宋"/>
          <w:sz w:val="28"/>
          <w:szCs w:val="28"/>
          <w:lang w:eastAsia="zh-Hans"/>
        </w:rPr>
        <w:t>推进</w:t>
      </w:r>
      <w:r>
        <w:rPr>
          <w:rFonts w:hint="eastAsia" w:ascii="仿宋" w:hAnsi="仿宋" w:eastAsia="仿宋" w:cs="仿宋"/>
          <w:sz w:val="28"/>
          <w:szCs w:val="28"/>
        </w:rPr>
        <w:t>重整</w:t>
      </w:r>
      <w:r>
        <w:rPr>
          <w:rFonts w:hint="eastAsia" w:ascii="仿宋" w:hAnsi="仿宋" w:eastAsia="仿宋" w:cs="仿宋"/>
          <w:sz w:val="28"/>
          <w:szCs w:val="28"/>
          <w:lang w:eastAsia="zh-Hans"/>
        </w:rPr>
        <w:t>的</w:t>
      </w:r>
      <w:r>
        <w:rPr>
          <w:rFonts w:hint="eastAsia" w:ascii="仿宋" w:hAnsi="仿宋" w:eastAsia="仿宋" w:cs="仿宋"/>
          <w:sz w:val="28"/>
          <w:szCs w:val="28"/>
        </w:rPr>
        <w:t>意愿</w:t>
      </w:r>
      <w:r>
        <w:rPr>
          <w:rFonts w:hint="eastAsia" w:ascii="仿宋" w:hAnsi="仿宋" w:eastAsia="仿宋" w:cs="仿宋"/>
          <w:sz w:val="28"/>
          <w:szCs w:val="28"/>
          <w:lang w:eastAsia="zh-Hans"/>
        </w:rPr>
        <w:t>。</w:t>
      </w:r>
    </w:p>
    <w:p>
      <w:pPr>
        <w:pStyle w:val="8"/>
        <w:widowControl/>
        <w:shd w:val="clear" w:color="auto"/>
        <w:spacing w:before="0" w:beforeAutospacing="0" w:after="103" w:afterAutospacing="0" w:line="560" w:lineRule="exact"/>
        <w:ind w:left="-634" w:leftChars="-200" w:right="-773" w:rightChars="-244"/>
        <w:jc w:val="center"/>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第二部分 投资人应具备的基本条件</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一、投资人须为依法设立并有效存续的企业法人，具有较强的社会责任感和良好的商业信誉。</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二、投资人及其控股股东、实际控制人近三年内未被市场监督管理机关列入“经营异常名录”或“严重违法失信企业名单”、不存在欠缴税款记录、未被人民法院列入“失信被执行人名单”或被采取限制高消费措施，历史上无犯罪记录、无重大违法违规记录等。</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三、投资人</w:t>
      </w:r>
      <w:r>
        <w:rPr>
          <w:rFonts w:hint="eastAsia" w:ascii="仿宋" w:hAnsi="仿宋" w:eastAsia="仿宋" w:cs="仿宋"/>
          <w:spacing w:val="5"/>
          <w:sz w:val="28"/>
          <w:szCs w:val="28"/>
          <w:shd w:val="clear" w:color="auto" w:fill="FFFFFF"/>
          <w:lang w:eastAsia="zh-Hans"/>
        </w:rPr>
        <w:t>财务状况良好，</w:t>
      </w:r>
      <w:r>
        <w:rPr>
          <w:rFonts w:hint="eastAsia" w:ascii="仿宋" w:hAnsi="仿宋" w:eastAsia="仿宋" w:cs="仿宋"/>
          <w:spacing w:val="5"/>
          <w:sz w:val="28"/>
          <w:szCs w:val="28"/>
          <w:shd w:val="clear" w:color="auto" w:fill="FFFFFF"/>
        </w:rPr>
        <w:t>拥有足够的资金实力</w:t>
      </w:r>
      <w:r>
        <w:rPr>
          <w:rFonts w:hint="eastAsia" w:ascii="仿宋" w:hAnsi="仿宋" w:eastAsia="仿宋" w:cs="仿宋"/>
          <w:spacing w:val="5"/>
          <w:sz w:val="28"/>
          <w:szCs w:val="28"/>
          <w:shd w:val="clear" w:color="auto" w:fill="FFFFFF"/>
          <w:lang w:eastAsia="zh-Hans"/>
        </w:rPr>
        <w:t>和</w:t>
      </w:r>
      <w:r>
        <w:rPr>
          <w:rFonts w:hint="eastAsia" w:ascii="仿宋" w:hAnsi="仿宋" w:eastAsia="仿宋" w:cs="仿宋"/>
          <w:spacing w:val="5"/>
          <w:sz w:val="28"/>
          <w:szCs w:val="28"/>
          <w:shd w:val="clear" w:color="auto" w:fill="FFFFFF"/>
        </w:rPr>
        <w:t>履约能力，能出具相应的资信证明或其他履约能力证明。</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四、投资人认可本次招募公告，按照要求提交相关材料并支付保证金。</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五、联合体</w:t>
      </w:r>
      <w:r>
        <w:rPr>
          <w:rFonts w:hint="eastAsia" w:ascii="仿宋" w:hAnsi="仿宋" w:eastAsia="仿宋" w:cs="仿宋"/>
          <w:spacing w:val="5"/>
          <w:sz w:val="28"/>
          <w:szCs w:val="28"/>
          <w:shd w:val="clear" w:color="auto" w:fill="FFFFFF"/>
          <w:lang w:eastAsia="zh-Hans"/>
        </w:rPr>
        <w:t>参与招募</w:t>
      </w:r>
      <w:r>
        <w:rPr>
          <w:rFonts w:hint="eastAsia" w:ascii="仿宋" w:hAnsi="仿宋" w:eastAsia="仿宋" w:cs="仿宋"/>
          <w:spacing w:val="5"/>
          <w:sz w:val="28"/>
          <w:szCs w:val="28"/>
          <w:shd w:val="clear" w:color="auto" w:fill="FFFFFF"/>
        </w:rPr>
        <w:t>的，联合机构不得超过两家，需书面明确联合体牵头企业，并说明各自角色分工，承诺联合体成员之间承担连带责任。其中，联合体牵头企业应符合本招募公告设定的“投资人应具备的基本条件”。联合体通过设立项目公司的方式投资经营的，联合体机构均应书面承诺对项目公司的债务承担连带责任。</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六、国资企业或列入全国500强企业的投资人在同等条件下优先考虑。</w:t>
      </w:r>
    </w:p>
    <w:p>
      <w:pPr>
        <w:pStyle w:val="8"/>
        <w:widowControl/>
        <w:shd w:val="clear" w:color="auto"/>
        <w:spacing w:before="0" w:beforeAutospacing="0" w:after="103" w:afterAutospacing="0" w:line="560" w:lineRule="exact"/>
        <w:ind w:left="-634" w:leftChars="-200" w:right="-773" w:rightChars="-244" w:firstLine="554" w:firstLineChars="193"/>
        <w:jc w:val="center"/>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第三部分 招募流程</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一、报名</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（一）报名时间与方式</w:t>
      </w:r>
    </w:p>
    <w:p>
      <w:pPr>
        <w:pStyle w:val="8"/>
        <w:widowControl/>
        <w:shd w:val="clear"/>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1.报名时间：自本公告发布之日起至</w:t>
      </w:r>
      <w:r>
        <w:rPr>
          <w:rFonts w:hint="eastAsia" w:ascii="仿宋" w:hAnsi="仿宋" w:eastAsia="仿宋" w:cs="仿宋"/>
          <w:spacing w:val="5"/>
          <w:sz w:val="28"/>
          <w:szCs w:val="28"/>
        </w:rPr>
        <w:t>2022年</w:t>
      </w:r>
      <w:r>
        <w:rPr>
          <w:rFonts w:ascii="仿宋" w:hAnsi="仿宋" w:eastAsia="仿宋" w:cs="仿宋"/>
          <w:spacing w:val="5"/>
          <w:sz w:val="28"/>
          <w:szCs w:val="28"/>
        </w:rPr>
        <w:t>1</w:t>
      </w:r>
      <w:r>
        <w:rPr>
          <w:rFonts w:hint="eastAsia" w:ascii="仿宋" w:hAnsi="仿宋" w:eastAsia="仿宋" w:cs="仿宋"/>
          <w:spacing w:val="5"/>
          <w:sz w:val="28"/>
          <w:szCs w:val="28"/>
        </w:rPr>
        <w:t>1月30日17：00</w:t>
      </w:r>
      <w:r>
        <w:rPr>
          <w:rFonts w:hint="eastAsia" w:ascii="仿宋" w:hAnsi="仿宋" w:eastAsia="仿宋" w:cs="仿宋"/>
          <w:spacing w:val="5"/>
          <w:sz w:val="28"/>
          <w:szCs w:val="28"/>
          <w:shd w:val="clear" w:color="auto" w:fill="FFFFFF"/>
        </w:rPr>
        <w:t>止。</w:t>
      </w:r>
    </w:p>
    <w:p>
      <w:pPr>
        <w:pStyle w:val="8"/>
        <w:widowControl/>
        <w:shd w:val="clear"/>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2.报名方式：现场报名或邮寄报名。邮寄报名的，报名时间以预重整管理人签收时间为准。</w:t>
      </w:r>
    </w:p>
    <w:p>
      <w:pPr>
        <w:pStyle w:val="8"/>
        <w:widowControl/>
        <w:shd w:val="clear"/>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（二）预重整管理人联系方式</w:t>
      </w:r>
    </w:p>
    <w:p>
      <w:pPr>
        <w:pStyle w:val="8"/>
        <w:widowControl/>
        <w:shd w:val="clear"/>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1.现场报名地址：成都市温江区永宁镇八一路南段99号16栋301号（工作日10:00—12:00，13:30—17:00）。</w:t>
      </w:r>
    </w:p>
    <w:p>
      <w:pPr>
        <w:pStyle w:val="8"/>
        <w:widowControl/>
        <w:shd w:val="clear"/>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2.邮寄报名收件地址：成都市温江区永宁镇八一路南段99号16栋301号，饶</w:t>
      </w:r>
      <w:r>
        <w:rPr>
          <w:rFonts w:hint="eastAsia" w:ascii="仿宋" w:hAnsi="仿宋" w:eastAsia="仿宋" w:cs="仿宋"/>
          <w:spacing w:val="5"/>
          <w:sz w:val="28"/>
          <w:szCs w:val="28"/>
        </w:rPr>
        <w:t>律师</w:t>
      </w:r>
      <w:r>
        <w:rPr>
          <w:rFonts w:hint="eastAsia" w:ascii="仿宋" w:hAnsi="仿宋" w:eastAsia="仿宋" w:cs="仿宋"/>
          <w:spacing w:val="5"/>
          <w:sz w:val="28"/>
          <w:szCs w:val="28"/>
          <w:shd w:val="clear" w:color="auto" w:fill="FFFFFF"/>
        </w:rPr>
        <w:t>收，联系电话17780570153。</w:t>
      </w:r>
    </w:p>
    <w:p>
      <w:pPr>
        <w:pStyle w:val="8"/>
        <w:widowControl/>
        <w:shd w:val="clear"/>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3.联系方式：饶</w:t>
      </w:r>
      <w:r>
        <w:rPr>
          <w:rFonts w:hint="eastAsia" w:ascii="仿宋" w:hAnsi="仿宋" w:eastAsia="仿宋" w:cs="仿宋"/>
          <w:spacing w:val="5"/>
          <w:sz w:val="28"/>
          <w:szCs w:val="28"/>
        </w:rPr>
        <w:t>律师17780570153</w:t>
      </w:r>
      <w:r>
        <w:rPr>
          <w:rFonts w:hint="eastAsia" w:ascii="仿宋" w:hAnsi="仿宋" w:eastAsia="仿宋" w:cs="仿宋"/>
          <w:spacing w:val="5"/>
          <w:sz w:val="28"/>
          <w:szCs w:val="28"/>
          <w:shd w:val="clear" w:color="auto" w:fill="FFFFFF"/>
        </w:rPr>
        <w:t>。</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（三）报名材料</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1.参与预重整投资意向书。意向书内容应包括：投资人简介、股权结构、组织架构、主营业务、经营业绩、资金实力等信息，</w:t>
      </w:r>
      <w:r>
        <w:rPr>
          <w:rFonts w:hint="eastAsia" w:ascii="仿宋" w:hAnsi="仿宋" w:eastAsia="仿宋" w:cs="仿宋"/>
          <w:spacing w:val="5"/>
          <w:sz w:val="28"/>
          <w:szCs w:val="28"/>
          <w:shd w:val="clear" w:color="auto" w:fill="FFFFFF"/>
          <w:lang w:eastAsia="zh-Hans"/>
        </w:rPr>
        <w:t>并</w:t>
      </w:r>
      <w:r>
        <w:rPr>
          <w:rFonts w:hint="eastAsia" w:ascii="仿宋" w:hAnsi="仿宋" w:eastAsia="仿宋" w:cs="仿宋"/>
          <w:spacing w:val="5"/>
          <w:sz w:val="28"/>
          <w:szCs w:val="28"/>
          <w:shd w:val="clear" w:color="auto" w:fill="FFFFFF"/>
        </w:rPr>
        <w:t>加盖公章；若为联合体的需提交形成联合体的书面协议/承诺，说明各联合体成员的角色分工等，联合体成员应书面承诺彼此承担不可撤销的连带担保责任；</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2.股东（大）会/董事会决议等有权决策机构同意</w:t>
      </w:r>
      <w:r>
        <w:rPr>
          <w:rFonts w:hint="eastAsia" w:ascii="仿宋" w:hAnsi="仿宋" w:eastAsia="仿宋" w:cs="仿宋"/>
          <w:spacing w:val="5"/>
          <w:sz w:val="28"/>
          <w:szCs w:val="28"/>
          <w:shd w:val="clear" w:color="auto" w:fill="FFFFFF"/>
          <w:lang w:eastAsia="zh-Hans"/>
        </w:rPr>
        <w:t>意向</w:t>
      </w:r>
      <w:r>
        <w:rPr>
          <w:rFonts w:hint="eastAsia" w:ascii="仿宋" w:hAnsi="仿宋" w:eastAsia="仿宋" w:cs="仿宋"/>
          <w:spacing w:val="5"/>
          <w:sz w:val="28"/>
          <w:szCs w:val="28"/>
          <w:shd w:val="clear" w:color="auto" w:fill="FFFFFF"/>
        </w:rPr>
        <w:t>投资的相关决策文件（需提供原件）；</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3.主体资格资料，包括：营业执照正副本复印件、法定代表人身份证明（详见附件1）、法定代表人身份证复印件、授权委托书原件（详见附件2）、授权代表身份证复印件；</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4.投资人及其控股股东、实际控制人在近三年未被市场监督管理机关列入“经营异常名录”或“严重违法失信企业名单”、不存在欠缴税款记录、未被人民法院列入“失信被执行人名单”或被采取限制高消费措施的承诺书；</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5.无犯罪记录、无重大违法违规行为的承诺书；</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6.最近三年的审计报告（成立不满三年的自成立日始）；如未经审计的，可提供财务报告（注：若投资人为金融机构的，可无需提供此项资料）；</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ascii="仿宋" w:hAnsi="仿宋" w:eastAsia="仿宋" w:cs="仿宋"/>
          <w:spacing w:val="5"/>
          <w:sz w:val="28"/>
          <w:szCs w:val="28"/>
          <w:shd w:val="clear" w:color="auto" w:fill="FFFFFF"/>
        </w:rPr>
        <w:t>7</w:t>
      </w:r>
      <w:r>
        <w:rPr>
          <w:rFonts w:hint="eastAsia" w:ascii="仿宋" w:hAnsi="仿宋" w:eastAsia="仿宋" w:cs="仿宋"/>
          <w:spacing w:val="5"/>
          <w:sz w:val="28"/>
          <w:szCs w:val="28"/>
          <w:shd w:val="clear" w:color="auto" w:fill="FFFFFF"/>
        </w:rPr>
        <w:t>.最新的征信报告；</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ascii="仿宋" w:hAnsi="仿宋" w:eastAsia="仿宋" w:cs="仿宋"/>
          <w:spacing w:val="5"/>
          <w:sz w:val="28"/>
          <w:szCs w:val="28"/>
          <w:shd w:val="clear" w:color="auto" w:fill="FFFFFF"/>
        </w:rPr>
        <w:t>8</w:t>
      </w:r>
      <w:r>
        <w:rPr>
          <w:rFonts w:hint="eastAsia" w:ascii="仿宋" w:hAnsi="仿宋" w:eastAsia="仿宋" w:cs="仿宋"/>
          <w:spacing w:val="5"/>
          <w:sz w:val="28"/>
          <w:szCs w:val="28"/>
          <w:shd w:val="clear" w:color="auto" w:fill="FFFFFF"/>
        </w:rPr>
        <w:t>.送达地址确认书（详见附件3）；</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ascii="仿宋" w:hAnsi="仿宋" w:eastAsia="仿宋" w:cs="仿宋"/>
          <w:spacing w:val="5"/>
          <w:sz w:val="28"/>
          <w:szCs w:val="28"/>
          <w:shd w:val="clear" w:color="auto" w:fill="FFFFFF"/>
        </w:rPr>
        <w:t>9</w:t>
      </w:r>
      <w:r>
        <w:rPr>
          <w:rFonts w:hint="eastAsia" w:ascii="仿宋" w:hAnsi="仿宋" w:eastAsia="仿宋" w:cs="仿宋"/>
          <w:spacing w:val="5"/>
          <w:sz w:val="28"/>
          <w:szCs w:val="28"/>
          <w:shd w:val="clear" w:color="auto" w:fill="FFFFFF"/>
        </w:rPr>
        <w:t>.保密承诺函（详见附件4）</w:t>
      </w:r>
      <w:r>
        <w:rPr>
          <w:rFonts w:hint="eastAsia" w:ascii="仿宋" w:hAnsi="仿宋" w:eastAsia="仿宋" w:cs="仿宋"/>
          <w:spacing w:val="5"/>
          <w:sz w:val="28"/>
          <w:szCs w:val="28"/>
          <w:shd w:val="clear" w:color="auto" w:fill="FFFFFF"/>
          <w:lang w:eastAsia="zh-Hans"/>
        </w:rPr>
        <w:t>。</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以上报名材料一式叁份（正本壹份、副本贰份），并予以密封，密封袋上注明投资人名称。</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同时，投资人应当在</w:t>
      </w:r>
      <w:r>
        <w:rPr>
          <w:rFonts w:hint="eastAsia" w:ascii="仿宋" w:hAnsi="仿宋" w:eastAsia="仿宋" w:cs="仿宋"/>
          <w:spacing w:val="5"/>
          <w:sz w:val="28"/>
          <w:szCs w:val="28"/>
        </w:rPr>
        <w:t>2022年</w:t>
      </w:r>
      <w:r>
        <w:rPr>
          <w:rFonts w:ascii="仿宋" w:hAnsi="仿宋" w:eastAsia="仿宋" w:cs="仿宋"/>
          <w:spacing w:val="5"/>
          <w:sz w:val="28"/>
          <w:szCs w:val="28"/>
        </w:rPr>
        <w:t>1</w:t>
      </w:r>
      <w:r>
        <w:rPr>
          <w:rFonts w:hint="eastAsia" w:ascii="仿宋" w:hAnsi="仿宋" w:eastAsia="仿宋" w:cs="仿宋"/>
          <w:spacing w:val="5"/>
          <w:sz w:val="28"/>
          <w:szCs w:val="28"/>
        </w:rPr>
        <w:t>1月30</w:t>
      </w:r>
      <w:r>
        <w:rPr>
          <w:rFonts w:hint="eastAsia" w:ascii="仿宋" w:hAnsi="仿宋" w:eastAsia="仿宋" w:cs="仿宋"/>
          <w:spacing w:val="5"/>
          <w:sz w:val="28"/>
          <w:szCs w:val="28"/>
          <w:shd w:val="clear" w:color="auto" w:fill="FFFFFF"/>
        </w:rPr>
        <w:t>日17：00前缴纳报名保证金人民币20万元（大写：贰拾</w:t>
      </w:r>
      <w:r>
        <w:rPr>
          <w:rFonts w:hint="eastAsia" w:ascii="仿宋" w:hAnsi="仿宋" w:eastAsia="仿宋" w:cs="仿宋"/>
          <w:spacing w:val="5"/>
          <w:sz w:val="28"/>
          <w:szCs w:val="28"/>
        </w:rPr>
        <w:t>万元整</w:t>
      </w:r>
      <w:r>
        <w:rPr>
          <w:rFonts w:hint="eastAsia" w:ascii="仿宋" w:hAnsi="仿宋" w:eastAsia="仿宋" w:cs="仿宋"/>
          <w:spacing w:val="5"/>
          <w:sz w:val="28"/>
          <w:szCs w:val="28"/>
          <w:shd w:val="clear" w:color="auto" w:fill="FFFFFF"/>
        </w:rPr>
        <w:t>），请务必备注“嘉康公司预重整报名保证金”。保证金收款账户：</w:t>
      </w:r>
    </w:p>
    <w:p>
      <w:pPr>
        <w:pStyle w:val="8"/>
        <w:widowControl/>
        <w:shd w:val="clear" w:color="auto"/>
        <w:spacing w:before="0" w:beforeAutospacing="0" w:after="0"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户名：四川英特信律师事务所</w:t>
      </w:r>
    </w:p>
    <w:p>
      <w:pPr>
        <w:pStyle w:val="8"/>
        <w:widowControl/>
        <w:shd w:val="clear" w:color="auto"/>
        <w:spacing w:before="0" w:beforeAutospacing="0" w:after="0"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账号：7411210182600095256</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开户行：中信银行股份有限公司成都高升路支行</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未按本公告要求提交报名材料及缴纳报名保证金的，无资格参与后续招募流程。</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二、尽职调査</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投资人向预重整管理人提交合格的报名资料并缴纳报名保证金后，即可向预重整管理人申请开展尽职调查。预重整管理人审查后，将积极配合投资人开展尽职调查工作，所需费用由投资人自行承担。</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三、投资方案</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（一）提交期限</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投资人应在2022年</w:t>
      </w:r>
      <w:r>
        <w:rPr>
          <w:rFonts w:hint="eastAsia" w:ascii="仿宋" w:hAnsi="仿宋" w:eastAsia="仿宋" w:cs="仿宋"/>
          <w:spacing w:val="5"/>
          <w:sz w:val="28"/>
          <w:szCs w:val="28"/>
        </w:rPr>
        <w:t>11月30</w:t>
      </w:r>
      <w:r>
        <w:rPr>
          <w:rFonts w:hint="eastAsia" w:ascii="仿宋" w:hAnsi="仿宋" w:eastAsia="仿宋" w:cs="仿宋"/>
          <w:spacing w:val="5"/>
          <w:sz w:val="28"/>
          <w:szCs w:val="28"/>
          <w:shd w:val="clear" w:color="auto" w:fill="FFFFFF"/>
        </w:rPr>
        <w:t>日17：00前向预重整管理人递交投资方案。投资人未在公告载明期限内提交投资方案的，作无效报名处理。</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（二）提交方式</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投资人应提交纸质投资方案一式叁份（正本壹份、副本贰份）及电子扫描件（壹份，刻录光盘或存入U盘），并予以密封，密封袋上注明投资人名称。提交方式与报名方式相同。</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四、保证金的处理、返还及转化</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r>
        <w:rPr>
          <w:rFonts w:hint="eastAsia" w:ascii="仿宋" w:hAnsi="仿宋" w:eastAsia="仿宋" w:cs="仿宋"/>
          <w:spacing w:val="5"/>
          <w:sz w:val="28"/>
          <w:szCs w:val="28"/>
          <w:shd w:val="clear" w:color="auto" w:fill="FFFFFF"/>
        </w:rPr>
        <w:t>1.投资人违反保密承诺，或出现其他违约或侵权行为给预重整管理人或嘉康公司造成损失的，预重整管理人不予退还其缴纳的报名保证金，并追究相关法律责任。</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r>
        <w:rPr>
          <w:rFonts w:hint="eastAsia" w:ascii="仿宋" w:hAnsi="仿宋" w:eastAsia="仿宋" w:cs="仿宋"/>
          <w:spacing w:val="5"/>
          <w:sz w:val="28"/>
          <w:szCs w:val="28"/>
          <w:shd w:val="clear" w:color="auto" w:fill="FFFFFF"/>
        </w:rPr>
        <w:t>2.投资人未出现前述行为的，报名保证金将在本次招募程序结束后</w:t>
      </w:r>
      <w:r>
        <w:rPr>
          <w:rFonts w:ascii="仿宋" w:hAnsi="仿宋" w:eastAsia="仿宋" w:cs="仿宋"/>
          <w:spacing w:val="5"/>
          <w:sz w:val="28"/>
          <w:szCs w:val="28"/>
          <w:shd w:val="clear" w:color="auto" w:fill="FFFFFF"/>
        </w:rPr>
        <w:t>5</w:t>
      </w:r>
      <w:r>
        <w:rPr>
          <w:rFonts w:hint="eastAsia" w:ascii="仿宋" w:hAnsi="仿宋" w:eastAsia="仿宋" w:cs="仿宋"/>
          <w:spacing w:val="5"/>
          <w:sz w:val="28"/>
          <w:szCs w:val="28"/>
          <w:shd w:val="clear" w:color="auto" w:fill="FFFFFF"/>
        </w:rPr>
        <w:t>个工作日内全额无息原路退还。</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r>
        <w:rPr>
          <w:rFonts w:hint="eastAsia" w:ascii="仿宋" w:hAnsi="仿宋" w:eastAsia="仿宋" w:cs="仿宋"/>
          <w:spacing w:val="5"/>
          <w:sz w:val="28"/>
          <w:szCs w:val="28"/>
          <w:shd w:val="clear" w:color="auto" w:fill="FFFFFF"/>
        </w:rPr>
        <w:t>3.投资人被确定为重整投资人的，其保证金自动转为重整履约保证金（具体以重整阶段招募投资人公告中相关内容为准）。</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五、优先原则</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本项目正式进入破产重整程序后，在投资方案遴选阶段，同等条件下优先考虑预重整阶段</w:t>
      </w:r>
      <w:r>
        <w:rPr>
          <w:rStyle w:val="12"/>
          <w:rFonts w:hint="eastAsia" w:ascii="仿宋" w:hAnsi="仿宋" w:eastAsia="仿宋" w:cs="仿宋"/>
          <w:spacing w:val="5"/>
          <w:sz w:val="28"/>
          <w:szCs w:val="28"/>
          <w:shd w:val="clear" w:color="auto" w:fill="FFFFFF"/>
        </w:rPr>
        <w:t>有效报名</w:t>
      </w:r>
      <w:r>
        <w:rPr>
          <w:rFonts w:hint="eastAsia" w:ascii="仿宋" w:hAnsi="仿宋" w:eastAsia="仿宋" w:cs="仿宋"/>
          <w:spacing w:val="5"/>
          <w:sz w:val="28"/>
          <w:szCs w:val="28"/>
          <w:shd w:val="clear" w:color="auto" w:fill="FFFFFF"/>
        </w:rPr>
        <w:t>的投资人。</w:t>
      </w:r>
    </w:p>
    <w:p>
      <w:pPr>
        <w:pStyle w:val="8"/>
        <w:widowControl/>
        <w:shd w:val="clear" w:color="auto"/>
        <w:spacing w:before="0" w:beforeAutospacing="0" w:after="103" w:afterAutospacing="0" w:line="560" w:lineRule="exact"/>
        <w:ind w:left="-634" w:leftChars="-200" w:right="-773" w:rightChars="-244"/>
        <w:jc w:val="center"/>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第四部分 特殊事项说明及风险提示</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一、特别说明</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本招募公告由预重整管理人负责解释、说明。预重整管理人有权决定继续、中止或终止投资人招募。同时，预重整管理人可根据招募情况，决定报名时间、缴纳保证金时间以及提交投资方案时间是否延长，若决定延长时间，预重整管理人将提前通知有效报名的投资人。</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投资人应严格按照本公告载明的期限和要求提交相关材料，包括但不限于提交报名材料及缴纳报名保证金、提交投资方案，方为有效报名。</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本次招募以公平、公正、公开为原则，对所有投资人均平等适用。</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本招募公告不能替代投资人的尽职调查，公告所载嘉康公司概要主要目的系让投资人初步了解债务人基本情况，预重整管理人不对公告披露内容的真实性和完整性承担责任，最终情况以投资人自行尽职调査结果为准。</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投资人在投资决策时，应自行决定是否聘请法律、财务、税务等专业机构进行尽职调查或出具投资咨询意见。</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本招募公告披露的相关信息及风险仅供参考，投资人应谨慎判断，并自行承担风险。</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二、风险提示</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由于本次招募时，债务人负债尚未经人民法院裁定确认，预重整管理人可向投资人提供初审结论，最终以</w:t>
      </w:r>
      <w:r>
        <w:rPr>
          <w:rFonts w:hint="eastAsia" w:ascii="仿宋" w:hAnsi="仿宋" w:eastAsia="仿宋" w:cs="仿宋"/>
          <w:spacing w:val="5"/>
          <w:sz w:val="28"/>
          <w:szCs w:val="28"/>
          <w:shd w:val="clear" w:color="auto" w:fill="FFFFFF"/>
          <w:lang w:eastAsia="zh-Hans"/>
        </w:rPr>
        <w:t>进入破产重整程序</w:t>
      </w:r>
      <w:r>
        <w:rPr>
          <w:rFonts w:hint="eastAsia" w:ascii="仿宋" w:hAnsi="仿宋" w:eastAsia="仿宋" w:cs="仿宋"/>
          <w:spacing w:val="5"/>
          <w:sz w:val="28"/>
          <w:szCs w:val="28"/>
          <w:shd w:val="clear" w:color="auto" w:fill="FFFFFF"/>
        </w:rPr>
        <w:t>后人民法院裁定确认为准，且最终的重整计划草案可以据此进行相应调整。</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投资人在预算投资规模和考虑债务人负债规模时，除申报金额外，应对尚未申报或诉讼未决的债务作出预判。</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r>
        <w:rPr>
          <w:rFonts w:hint="eastAsia" w:ascii="仿宋" w:hAnsi="仿宋" w:eastAsia="仿宋" w:cs="仿宋"/>
          <w:spacing w:val="5"/>
          <w:sz w:val="28"/>
          <w:szCs w:val="28"/>
          <w:shd w:val="clear" w:color="auto" w:fill="FFFFFF"/>
        </w:rPr>
        <w:t>若人民法院未裁定受理嘉康公司重整，投资人应自行承担其所有成本和风险。</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r>
        <w:rPr>
          <w:rFonts w:hint="eastAsia" w:ascii="仿宋" w:hAnsi="仿宋" w:eastAsia="仿宋" w:cs="仿宋"/>
          <w:spacing w:val="5"/>
          <w:sz w:val="28"/>
          <w:szCs w:val="28"/>
          <w:shd w:val="clear" w:color="auto" w:fill="FFFFFF"/>
        </w:rPr>
        <w:t>预重整管理人对本公告享有解释权。</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特此公告。</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 </w:t>
      </w:r>
      <w:r>
        <w:rPr>
          <w:rFonts w:ascii="仿宋" w:hAnsi="仿宋" w:eastAsia="仿宋" w:cs="仿宋"/>
          <w:spacing w:val="5"/>
          <w:sz w:val="28"/>
          <w:szCs w:val="28"/>
          <w:shd w:val="clear" w:color="auto" w:fill="FFFFFF"/>
        </w:rPr>
        <w:t xml:space="preserve">                     </w:t>
      </w:r>
      <w:r>
        <w:rPr>
          <w:rFonts w:hint="eastAsia" w:ascii="仿宋" w:hAnsi="仿宋" w:eastAsia="仿宋" w:cs="仿宋"/>
          <w:spacing w:val="5"/>
          <w:sz w:val="28"/>
          <w:szCs w:val="28"/>
          <w:shd w:val="clear" w:color="auto" w:fill="FFFFFF"/>
        </w:rPr>
        <w:t>成都嘉康投资发展有限公司预重整管理人</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r>
        <w:rPr>
          <w:rFonts w:hint="eastAsia" w:ascii="仿宋" w:hAnsi="仿宋" w:eastAsia="仿宋" w:cs="仿宋"/>
          <w:spacing w:val="5"/>
          <w:sz w:val="28"/>
          <w:szCs w:val="28"/>
          <w:shd w:val="clear" w:color="auto" w:fill="FFFFFF"/>
        </w:rPr>
        <w:t xml:space="preserve">                         </w:t>
      </w:r>
      <w:r>
        <w:rPr>
          <w:rFonts w:hint="eastAsia" w:ascii="仿宋" w:hAnsi="仿宋" w:eastAsia="仿宋" w:cs="仿宋"/>
          <w:spacing w:val="5"/>
          <w:sz w:val="28"/>
          <w:szCs w:val="28"/>
          <w:shd w:val="clear" w:color="auto" w:fill="FFFFFF"/>
          <w:lang w:val="en-US" w:eastAsia="zh-CN"/>
        </w:rPr>
        <w:t xml:space="preserve">             </w:t>
      </w:r>
      <w:r>
        <w:rPr>
          <w:rFonts w:hint="eastAsia" w:ascii="仿宋" w:hAnsi="仿宋" w:eastAsia="仿宋" w:cs="仿宋"/>
          <w:spacing w:val="5"/>
          <w:sz w:val="28"/>
          <w:szCs w:val="28"/>
          <w:shd w:val="clear" w:color="auto" w:fill="FFFFFF"/>
        </w:rPr>
        <w:t xml:space="preserve"> 2022年11月</w:t>
      </w:r>
      <w:r>
        <w:rPr>
          <w:rFonts w:hint="eastAsia" w:ascii="仿宋" w:hAnsi="仿宋" w:eastAsia="仿宋" w:cs="仿宋"/>
          <w:spacing w:val="5"/>
          <w:sz w:val="28"/>
          <w:szCs w:val="28"/>
          <w:shd w:val="clear" w:color="auto" w:fill="FFFFFF"/>
          <w:lang w:val="en-US" w:eastAsia="zh-CN"/>
        </w:rPr>
        <w:t>10</w:t>
      </w:r>
      <w:r>
        <w:rPr>
          <w:rFonts w:hint="eastAsia" w:ascii="仿宋" w:hAnsi="仿宋" w:eastAsia="仿宋" w:cs="仿宋"/>
          <w:spacing w:val="5"/>
          <w:sz w:val="28"/>
          <w:szCs w:val="28"/>
          <w:shd w:val="clear" w:color="auto" w:fill="FFFFFF"/>
        </w:rPr>
        <w:t>日</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p>
    <w:p>
      <w:pPr>
        <w:pStyle w:val="8"/>
        <w:widowControl/>
        <w:shd w:val="clear" w:color="auto"/>
        <w:spacing w:before="0" w:beforeAutospacing="0" w:after="171" w:afterAutospacing="0" w:line="560" w:lineRule="exact"/>
        <w:ind w:left="0" w:leftChars="0" w:right="-773" w:rightChars="-244" w:firstLine="0" w:firstLineChars="0"/>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附件1：</w:t>
      </w:r>
    </w:p>
    <w:p>
      <w:pPr>
        <w:shd w:val="clear"/>
        <w:spacing w:line="560" w:lineRule="exact"/>
        <w:ind w:left="-634" w:leftChars="-200" w:right="-773" w:rightChars="-244" w:firstLine="612" w:firstLineChars="193"/>
        <w:jc w:val="left"/>
        <w:rPr>
          <w:rFonts w:ascii="仿宋" w:hAnsi="仿宋" w:eastAsia="仿宋" w:cs="仿宋"/>
          <w:b/>
          <w:sz w:val="32"/>
          <w:szCs w:val="32"/>
        </w:rPr>
      </w:pPr>
      <w:r>
        <w:rPr>
          <w:rFonts w:hint="eastAsia" w:ascii="仿宋" w:hAnsi="仿宋" w:eastAsia="仿宋" w:cs="仿宋"/>
          <w:b/>
          <w:sz w:val="32"/>
          <w:szCs w:val="32"/>
        </w:rPr>
        <w:t>法定代表人／负责人身份证明书</w:t>
      </w:r>
    </w:p>
    <w:p>
      <w:pPr>
        <w:shd w:val="clear"/>
        <w:spacing w:line="560" w:lineRule="exact"/>
        <w:ind w:left="-634" w:leftChars="-200" w:right="-773" w:rightChars="-244" w:firstLine="612" w:firstLineChars="193"/>
        <w:jc w:val="left"/>
        <w:rPr>
          <w:rFonts w:ascii="仿宋" w:hAnsi="仿宋" w:eastAsia="仿宋" w:cs="仿宋"/>
          <w:sz w:val="32"/>
          <w:szCs w:val="32"/>
        </w:rPr>
      </w:pPr>
    </w:p>
    <w:p>
      <w:pPr>
        <w:shd w:val="clear"/>
        <w:spacing w:line="560" w:lineRule="exact"/>
        <w:ind w:left="-634" w:leftChars="-200" w:right="-773" w:rightChars="-244" w:firstLine="612" w:firstLineChars="193"/>
        <w:jc w:val="left"/>
        <w:rPr>
          <w:rFonts w:ascii="仿宋" w:hAnsi="仿宋" w:eastAsia="仿宋" w:cs="仿宋"/>
          <w:sz w:val="32"/>
          <w:szCs w:val="32"/>
        </w:rPr>
      </w:pPr>
      <w:r>
        <w:rPr>
          <w:rFonts w:hint="eastAsia" w:ascii="仿宋" w:hAnsi="仿宋" w:eastAsia="仿宋" w:cs="仿宋"/>
          <w:sz w:val="32"/>
          <w:szCs w:val="32"/>
        </w:rPr>
        <w:t>兹证明</w:t>
      </w:r>
      <w:r>
        <w:rPr>
          <w:rFonts w:hint="eastAsia" w:ascii="仿宋" w:hAnsi="仿宋" w:eastAsia="仿宋" w:cs="仿宋"/>
          <w:sz w:val="32"/>
          <w:szCs w:val="32"/>
          <w:u w:val="single"/>
        </w:rPr>
        <w:t xml:space="preserve"> 　　　　       </w:t>
      </w:r>
      <w:r>
        <w:rPr>
          <w:rFonts w:hint="eastAsia" w:ascii="仿宋" w:hAnsi="仿宋" w:eastAsia="仿宋" w:cs="仿宋"/>
          <w:sz w:val="32"/>
          <w:szCs w:val="32"/>
        </w:rPr>
        <w:t>在我单位任</w:t>
      </w:r>
      <w:r>
        <w:rPr>
          <w:rFonts w:hint="eastAsia" w:ascii="仿宋" w:hAnsi="仿宋" w:eastAsia="仿宋" w:cs="仿宋"/>
          <w:sz w:val="32"/>
          <w:szCs w:val="32"/>
          <w:u w:val="single"/>
        </w:rPr>
        <w:t xml:space="preserve">    　　    </w:t>
      </w:r>
      <w:r>
        <w:rPr>
          <w:rFonts w:hint="eastAsia" w:ascii="仿宋" w:hAnsi="仿宋" w:eastAsia="仿宋" w:cs="仿宋"/>
          <w:sz w:val="32"/>
          <w:szCs w:val="32"/>
        </w:rPr>
        <w:t>职务，系我单位的法定代表人</w:t>
      </w:r>
      <w:r>
        <w:rPr>
          <w:rFonts w:hint="eastAsia" w:ascii="仿宋" w:hAnsi="仿宋" w:eastAsia="仿宋" w:cs="仿宋"/>
          <w:b/>
          <w:sz w:val="32"/>
          <w:szCs w:val="32"/>
        </w:rPr>
        <w:t>／</w:t>
      </w:r>
      <w:r>
        <w:rPr>
          <w:rFonts w:hint="eastAsia" w:ascii="仿宋" w:hAnsi="仿宋" w:eastAsia="仿宋" w:cs="仿宋"/>
          <w:sz w:val="32"/>
          <w:szCs w:val="32"/>
        </w:rPr>
        <w:t>负责人。</w:t>
      </w:r>
    </w:p>
    <w:p>
      <w:pPr>
        <w:shd w:val="clear"/>
        <w:spacing w:line="560" w:lineRule="exact"/>
        <w:ind w:left="-634" w:leftChars="-200" w:right="-773" w:rightChars="-244" w:firstLine="612" w:firstLineChars="193"/>
        <w:jc w:val="left"/>
        <w:rPr>
          <w:rFonts w:ascii="仿宋" w:hAnsi="仿宋" w:eastAsia="仿宋" w:cs="仿宋"/>
          <w:sz w:val="32"/>
          <w:szCs w:val="32"/>
        </w:rPr>
      </w:pPr>
      <w:r>
        <w:rPr>
          <w:rFonts w:hint="eastAsia" w:ascii="仿宋" w:hAnsi="仿宋" w:eastAsia="仿宋" w:cs="仿宋"/>
          <w:sz w:val="32"/>
          <w:szCs w:val="32"/>
        </w:rPr>
        <w:t>特此证明。</w:t>
      </w:r>
    </w:p>
    <w:p>
      <w:pPr>
        <w:shd w:val="clear"/>
        <w:spacing w:line="560" w:lineRule="exact"/>
        <w:ind w:left="-634" w:leftChars="-200" w:right="-773" w:rightChars="-244" w:firstLine="612" w:firstLineChars="193"/>
        <w:jc w:val="left"/>
        <w:rPr>
          <w:rFonts w:ascii="仿宋" w:hAnsi="仿宋" w:eastAsia="仿宋" w:cs="仿宋"/>
          <w:sz w:val="32"/>
          <w:szCs w:val="32"/>
        </w:rPr>
      </w:pPr>
    </w:p>
    <w:p>
      <w:pPr>
        <w:shd w:val="clear"/>
        <w:spacing w:line="560" w:lineRule="exact"/>
        <w:ind w:left="-634" w:leftChars="-200" w:right="-773" w:rightChars="-244" w:firstLine="612" w:firstLineChars="193"/>
        <w:jc w:val="left"/>
        <w:rPr>
          <w:rFonts w:ascii="仿宋" w:hAnsi="仿宋" w:eastAsia="仿宋" w:cs="仿宋"/>
          <w:sz w:val="32"/>
          <w:szCs w:val="32"/>
        </w:rPr>
      </w:pPr>
      <w:r>
        <w:rPr>
          <w:rFonts w:hint="eastAsia" w:ascii="仿宋" w:hAnsi="仿宋" w:eastAsia="仿宋" w:cs="仿宋"/>
          <w:sz w:val="32"/>
          <w:szCs w:val="32"/>
        </w:rPr>
        <w:t>附：法定代表人／负责人身份证复印件</w:t>
      </w:r>
    </w:p>
    <w:p>
      <w:pPr>
        <w:shd w:val="clear"/>
        <w:spacing w:line="560" w:lineRule="exact"/>
        <w:ind w:left="-634" w:leftChars="-200" w:right="-773" w:rightChars="-244" w:firstLine="612" w:firstLineChars="193"/>
        <w:jc w:val="left"/>
        <w:rPr>
          <w:rFonts w:ascii="仿宋" w:hAnsi="仿宋" w:eastAsia="仿宋" w:cs="仿宋"/>
          <w:sz w:val="32"/>
          <w:szCs w:val="32"/>
        </w:rPr>
      </w:pPr>
    </w:p>
    <w:p>
      <w:pPr>
        <w:shd w:val="clear"/>
        <w:spacing w:line="560" w:lineRule="exact"/>
        <w:ind w:left="-634" w:leftChars="-200" w:right="-773" w:rightChars="-244" w:firstLine="612" w:firstLineChars="193"/>
        <w:jc w:val="left"/>
        <w:rPr>
          <w:rFonts w:ascii="仿宋" w:hAnsi="仿宋" w:eastAsia="仿宋" w:cs="仿宋"/>
          <w:sz w:val="32"/>
          <w:szCs w:val="32"/>
        </w:rPr>
      </w:pPr>
      <w:r>
        <w:rPr>
          <w:rFonts w:hint="eastAsia" w:ascii="仿宋" w:hAnsi="仿宋" w:eastAsia="仿宋" w:cs="仿宋"/>
          <w:sz w:val="32"/>
          <w:szCs w:val="32"/>
        </w:rPr>
        <w:t xml:space="preserve">                             证明单位：</w:t>
      </w:r>
    </w:p>
    <w:p>
      <w:pPr>
        <w:pStyle w:val="2"/>
        <w:shd w:val="clear"/>
        <w:spacing w:line="560" w:lineRule="exact"/>
        <w:jc w:val="left"/>
      </w:pPr>
    </w:p>
    <w:p>
      <w:pPr>
        <w:shd w:val="clear"/>
        <w:spacing w:line="560" w:lineRule="exact"/>
        <w:ind w:left="-634" w:leftChars="-200" w:right="-773" w:rightChars="-244" w:firstLine="612" w:firstLineChars="193"/>
        <w:jc w:val="left"/>
        <w:rPr>
          <w:rFonts w:ascii="仿宋" w:hAnsi="仿宋" w:eastAsia="仿宋" w:cs="仿宋"/>
          <w:sz w:val="32"/>
          <w:szCs w:val="32"/>
        </w:rPr>
      </w:pPr>
      <w:r>
        <w:rPr>
          <w:rFonts w:hint="eastAsia" w:ascii="仿宋" w:hAnsi="仿宋" w:eastAsia="仿宋" w:cs="仿宋"/>
          <w:sz w:val="32"/>
          <w:szCs w:val="32"/>
        </w:rPr>
        <w:t xml:space="preserve">                             年     月     日</w:t>
      </w:r>
    </w:p>
    <w:p>
      <w:pPr>
        <w:pStyle w:val="8"/>
        <w:widowControl/>
        <w:shd w:val="clear" w:color="auto"/>
        <w:spacing w:before="0" w:beforeAutospacing="0" w:after="1654"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r>
        <w:rPr>
          <w:rFonts w:hint="eastAsia" w:ascii="仿宋" w:hAnsi="仿宋" w:eastAsia="仿宋" w:cs="仿宋"/>
          <w:spacing w:val="5"/>
          <w:sz w:val="28"/>
          <w:szCs w:val="28"/>
          <w:shd w:val="clear" w:color="auto" w:fill="FFFFFF"/>
        </w:rPr>
        <w:t> </w:t>
      </w:r>
    </w:p>
    <w:p>
      <w:pPr>
        <w:pStyle w:val="8"/>
        <w:widowControl/>
        <w:shd w:val="clear" w:color="auto"/>
        <w:spacing w:before="0" w:beforeAutospacing="0" w:after="1654"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p>
    <w:p>
      <w:pPr>
        <w:pStyle w:val="8"/>
        <w:widowControl/>
        <w:shd w:val="clear" w:color="auto"/>
        <w:spacing w:before="0" w:beforeAutospacing="0" w:after="1654"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p>
    <w:p>
      <w:pPr>
        <w:pStyle w:val="8"/>
        <w:widowControl/>
        <w:shd w:val="clear" w:color="auto"/>
        <w:spacing w:before="0" w:beforeAutospacing="0" w:after="0"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附件2：</w:t>
      </w:r>
    </w:p>
    <w:p>
      <w:pPr>
        <w:pStyle w:val="8"/>
        <w:widowControl/>
        <w:shd w:val="clear" w:color="auto"/>
        <w:spacing w:before="0" w:beforeAutospacing="0" w:after="274" w:afterAutospacing="0" w:line="560" w:lineRule="exact"/>
        <w:ind w:left="-634" w:leftChars="-200" w:right="-773" w:rightChars="-244" w:firstLine="631" w:firstLineChars="193"/>
        <w:jc w:val="center"/>
        <w:textAlignment w:val="baseline"/>
        <w:rPr>
          <w:rFonts w:ascii="仿宋" w:hAnsi="仿宋" w:eastAsia="仿宋" w:cs="仿宋"/>
          <w:spacing w:val="5"/>
          <w:sz w:val="32"/>
          <w:szCs w:val="32"/>
        </w:rPr>
      </w:pPr>
      <w:r>
        <w:rPr>
          <w:rStyle w:val="12"/>
          <w:rFonts w:hint="eastAsia" w:ascii="仿宋" w:hAnsi="仿宋" w:eastAsia="仿宋" w:cs="仿宋"/>
          <w:spacing w:val="5"/>
          <w:sz w:val="32"/>
          <w:szCs w:val="32"/>
          <w:shd w:val="clear" w:color="auto" w:fill="FFFFFF"/>
        </w:rPr>
        <w:t>授权委托书</w:t>
      </w:r>
    </w:p>
    <w:p>
      <w:pPr>
        <w:pStyle w:val="8"/>
        <w:widowControl/>
        <w:shd w:val="clear" w:color="auto"/>
        <w:spacing w:before="0" w:beforeAutospacing="0" w:after="0"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委托人名称/姓名：</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住所地：</w:t>
      </w:r>
    </w:p>
    <w:p>
      <w:pPr>
        <w:pStyle w:val="8"/>
        <w:widowControl/>
        <w:shd w:val="clear" w:color="auto"/>
        <w:spacing w:before="0" w:beforeAutospacing="0" w:after="0"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受托人名称：</w:t>
      </w:r>
    </w:p>
    <w:p>
      <w:pPr>
        <w:pStyle w:val="8"/>
        <w:widowControl/>
        <w:shd w:val="clear" w:color="auto"/>
        <w:spacing w:before="0" w:beforeAutospacing="0" w:after="0"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身份证号/执业律师证号：</w:t>
      </w:r>
    </w:p>
    <w:p>
      <w:pPr>
        <w:pStyle w:val="8"/>
        <w:widowControl/>
        <w:shd w:val="clear" w:color="auto"/>
        <w:spacing w:before="0" w:beforeAutospacing="0" w:after="0"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工作单位：</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联系电话：</w:t>
      </w:r>
    </w:p>
    <w:p>
      <w:pPr>
        <w:pStyle w:val="8"/>
        <w:widowControl/>
        <w:shd w:val="clear" w:color="auto"/>
        <w:spacing w:before="206"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委托人就其参与成都嘉康投资发展有限公司预重整案投资人招募相关事宜，特委托上述受托人作为委托人的代理人代为处理相关事宜。上述受委托人的代理权限为【</w:t>
      </w:r>
      <w:r>
        <w:rPr>
          <w:rFonts w:hint="eastAsia" w:ascii="仿宋" w:hAnsi="仿宋" w:eastAsia="仿宋" w:cs="仿宋"/>
          <w:spacing w:val="5"/>
          <w:sz w:val="28"/>
          <w:szCs w:val="28"/>
          <w:u w:val="single"/>
          <w:shd w:val="clear" w:color="auto" w:fill="FFFFFF"/>
        </w:rPr>
        <w:t>特别授权</w:t>
      </w:r>
      <w:r>
        <w:rPr>
          <w:rFonts w:hint="eastAsia" w:ascii="仿宋" w:hAnsi="仿宋" w:eastAsia="仿宋" w:cs="仿宋"/>
          <w:spacing w:val="5"/>
          <w:sz w:val="28"/>
          <w:szCs w:val="28"/>
          <w:shd w:val="clear" w:color="auto" w:fill="FFFFFF"/>
        </w:rPr>
        <w:t>】,具体如下：</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一、 代为递交参与本次投资人招募的相关资料；</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二、 书面或口头向预重整管理人陈述委托人的立场、观点和主张，代为变更、确认投资方案；</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三、 代为与预重整管理人联系，签署有关文件；</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四、 代为处理本次投资人招募其他相关事宜。</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委托人（盖章）：</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法定代表人或负责人（签字）：</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受托人（签字、捺印）：</w:t>
      </w:r>
    </w:p>
    <w:p>
      <w:pPr>
        <w:pStyle w:val="8"/>
        <w:widowControl/>
        <w:shd w:val="clear" w:color="auto"/>
        <w:spacing w:before="0" w:beforeAutospacing="0" w:after="103"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年    月    日</w:t>
      </w:r>
    </w:p>
    <w:p>
      <w:pPr>
        <w:pStyle w:val="8"/>
        <w:widowControl/>
        <w:shd w:val="clear" w:color="auto"/>
        <w:spacing w:before="0" w:beforeAutospacing="0" w:after="0" w:afterAutospacing="0" w:line="520" w:lineRule="exact"/>
        <w:ind w:right="-773" w:rightChars="-244"/>
        <w:textAlignment w:val="baseline"/>
        <w:rPr>
          <w:rFonts w:ascii="仿宋" w:hAnsi="仿宋" w:eastAsia="仿宋" w:cs="仿宋"/>
          <w:spacing w:val="5"/>
          <w:sz w:val="28"/>
          <w:szCs w:val="28"/>
          <w:shd w:val="clear" w:color="auto" w:fill="FFFFFF"/>
        </w:rPr>
      </w:pPr>
    </w:p>
    <w:p>
      <w:pPr>
        <w:pStyle w:val="8"/>
        <w:widowControl/>
        <w:shd w:val="clear" w:color="auto"/>
        <w:spacing w:before="0" w:beforeAutospacing="0" w:after="0" w:afterAutospacing="0" w:line="52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附：受托人身份证或律师执业证复印件一份，受托人为律师的还需提供律师事务所指派函。委托人应当在前述资料上加盖鲜章。</w:t>
      </w:r>
    </w:p>
    <w:p>
      <w:pPr>
        <w:pStyle w:val="8"/>
        <w:widowControl/>
        <w:shd w:val="clear" w:color="auto"/>
        <w:spacing w:before="0" w:beforeAutospacing="0" w:after="0"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附件3：</w:t>
      </w:r>
    </w:p>
    <w:p>
      <w:pPr>
        <w:pStyle w:val="8"/>
        <w:widowControl/>
        <w:shd w:val="clear" w:color="auto"/>
        <w:spacing w:before="0" w:beforeAutospacing="0" w:after="137" w:afterAutospacing="0" w:line="560" w:lineRule="exact"/>
        <w:ind w:left="-634" w:leftChars="-200" w:right="-773" w:rightChars="-244" w:firstLine="631" w:firstLineChars="193"/>
        <w:textAlignment w:val="baseline"/>
        <w:rPr>
          <w:rFonts w:ascii="仿宋" w:hAnsi="仿宋" w:eastAsia="仿宋" w:cs="仿宋"/>
          <w:spacing w:val="5"/>
          <w:sz w:val="32"/>
          <w:szCs w:val="32"/>
        </w:rPr>
      </w:pPr>
      <w:r>
        <w:rPr>
          <w:rStyle w:val="12"/>
          <w:rFonts w:hint="eastAsia" w:ascii="仿宋" w:hAnsi="仿宋" w:eastAsia="仿宋" w:cs="仿宋"/>
          <w:spacing w:val="5"/>
          <w:sz w:val="32"/>
          <w:szCs w:val="32"/>
          <w:shd w:val="clear" w:color="auto" w:fill="FFFFFF"/>
        </w:rPr>
        <w:t>投资人送达地址确认书</w:t>
      </w:r>
    </w:p>
    <w:tbl>
      <w:tblPr>
        <w:tblStyle w:val="9"/>
        <w:tblW w:w="8780" w:type="dxa"/>
        <w:jc w:val="center"/>
        <w:shd w:val="clear" w:color="auto" w:fill="FFFFFF"/>
        <w:tblLayout w:type="autofit"/>
        <w:tblCellMar>
          <w:top w:w="0" w:type="dxa"/>
          <w:left w:w="0" w:type="dxa"/>
          <w:bottom w:w="0" w:type="dxa"/>
          <w:right w:w="0" w:type="dxa"/>
        </w:tblCellMar>
      </w:tblPr>
      <w:tblGrid>
        <w:gridCol w:w="1419"/>
        <w:gridCol w:w="7361"/>
      </w:tblGrid>
      <w:tr>
        <w:tblPrEx>
          <w:shd w:val="clear" w:color="auto" w:fill="FFFFFF"/>
          <w:tblCellMar>
            <w:top w:w="0" w:type="dxa"/>
            <w:left w:w="0" w:type="dxa"/>
            <w:bottom w:w="0" w:type="dxa"/>
            <w:right w:w="0" w:type="dxa"/>
          </w:tblCellMar>
        </w:tblPrEx>
        <w:trPr>
          <w:trHeight w:val="283" w:hRule="atLeast"/>
          <w:jc w:val="center"/>
        </w:trPr>
        <w:tc>
          <w:tcPr>
            <w:tcW w:w="1419" w:type="dxa"/>
            <w:tcBorders>
              <w:top w:val="single" w:color="auto" w:sz="4" w:space="0"/>
              <w:left w:val="single" w:color="auto" w:sz="4" w:space="0"/>
              <w:bottom w:val="nil"/>
              <w:right w:val="nil"/>
            </w:tcBorders>
            <w:shd w:val="clear" w:color="auto" w:fill="FFFFFF"/>
            <w:tcMar>
              <w:left w:w="9" w:type="dxa"/>
              <w:right w:w="9" w:type="dxa"/>
            </w:tcMar>
          </w:tcPr>
          <w:p>
            <w:pPr>
              <w:pStyle w:val="8"/>
              <w:widowControl/>
              <w:shd w:val="clear"/>
              <w:spacing w:before="60" w:beforeAutospacing="0" w:after="0" w:afterAutospacing="0" w:line="560" w:lineRule="exact"/>
              <w:ind w:left="326" w:leftChars="103" w:right="212" w:rightChars="67"/>
              <w:textAlignment w:val="baseline"/>
              <w:rPr>
                <w:rFonts w:ascii="仿宋" w:hAnsi="仿宋" w:eastAsia="仿宋" w:cs="仿宋"/>
                <w:spacing w:val="5"/>
                <w:sz w:val="28"/>
                <w:szCs w:val="28"/>
              </w:rPr>
            </w:pPr>
            <w:r>
              <w:rPr>
                <w:rFonts w:hint="eastAsia" w:ascii="仿宋" w:hAnsi="仿宋" w:eastAsia="仿宋" w:cs="仿宋"/>
                <w:spacing w:val="5"/>
                <w:sz w:val="28"/>
                <w:szCs w:val="28"/>
              </w:rPr>
              <w:t>投资人</w:t>
            </w:r>
          </w:p>
          <w:p>
            <w:pPr>
              <w:pStyle w:val="8"/>
              <w:widowControl/>
              <w:shd w:val="clear"/>
              <w:spacing w:before="60" w:beforeAutospacing="0" w:after="0" w:afterAutospacing="0" w:line="560" w:lineRule="exact"/>
              <w:ind w:left="326" w:leftChars="103" w:right="212" w:rightChars="67"/>
              <w:textAlignment w:val="baseline"/>
              <w:rPr>
                <w:rFonts w:ascii="仿宋" w:hAnsi="仿宋" w:eastAsia="仿宋" w:cs="仿宋"/>
                <w:sz w:val="28"/>
                <w:szCs w:val="28"/>
              </w:rPr>
            </w:pPr>
            <w:r>
              <w:rPr>
                <w:rFonts w:hint="eastAsia" w:ascii="仿宋" w:hAnsi="仿宋" w:eastAsia="仿宋" w:cs="仿宋"/>
                <w:spacing w:val="5"/>
                <w:sz w:val="28"/>
                <w:szCs w:val="28"/>
              </w:rPr>
              <w:t>名称</w:t>
            </w:r>
          </w:p>
        </w:tc>
        <w:tc>
          <w:tcPr>
            <w:tcW w:w="7361" w:type="dxa"/>
            <w:tcBorders>
              <w:top w:val="single" w:color="auto" w:sz="4" w:space="0"/>
              <w:left w:val="single" w:color="auto" w:sz="4" w:space="0"/>
              <w:bottom w:val="nil"/>
              <w:right w:val="single" w:color="auto" w:sz="4" w:space="0"/>
            </w:tcBorders>
            <w:shd w:val="clear" w:color="auto" w:fill="FFFFFF"/>
            <w:tcMar>
              <w:left w:w="9" w:type="dxa"/>
              <w:right w:w="9" w:type="dxa"/>
            </w:tcMar>
          </w:tcPr>
          <w:p>
            <w:pPr>
              <w:widowControl/>
              <w:shd w:val="clear"/>
              <w:spacing w:line="560" w:lineRule="exact"/>
              <w:ind w:left="326" w:leftChars="103" w:right="-25" w:rightChars="-8"/>
              <w:jc w:val="left"/>
              <w:rPr>
                <w:rFonts w:ascii="仿宋" w:hAnsi="仿宋" w:eastAsia="仿宋" w:cs="仿宋"/>
                <w:spacing w:val="5"/>
                <w:sz w:val="28"/>
                <w:szCs w:val="28"/>
              </w:rPr>
            </w:pPr>
          </w:p>
        </w:tc>
      </w:tr>
      <w:tr>
        <w:tblPrEx>
          <w:shd w:val="clear" w:color="auto" w:fill="FFFFFF"/>
          <w:tblCellMar>
            <w:top w:w="0" w:type="dxa"/>
            <w:left w:w="0" w:type="dxa"/>
            <w:bottom w:w="0" w:type="dxa"/>
            <w:right w:w="0" w:type="dxa"/>
          </w:tblCellMar>
        </w:tblPrEx>
        <w:trPr>
          <w:trHeight w:val="3291" w:hRule="atLeast"/>
          <w:jc w:val="center"/>
        </w:trPr>
        <w:tc>
          <w:tcPr>
            <w:tcW w:w="1419" w:type="dxa"/>
            <w:tcBorders>
              <w:top w:val="single" w:color="auto" w:sz="4" w:space="0"/>
              <w:left w:val="single" w:color="auto" w:sz="4" w:space="0"/>
              <w:bottom w:val="single" w:color="auto" w:sz="4" w:space="0"/>
              <w:right w:val="nil"/>
            </w:tcBorders>
            <w:shd w:val="clear" w:color="auto" w:fill="FFFFFF"/>
            <w:tcMar>
              <w:left w:w="9" w:type="dxa"/>
              <w:right w:w="9" w:type="dxa"/>
            </w:tcMar>
            <w:vAlign w:val="center"/>
          </w:tcPr>
          <w:p>
            <w:pPr>
              <w:pStyle w:val="8"/>
              <w:widowControl/>
              <w:shd w:val="clear"/>
              <w:spacing w:before="0" w:beforeAutospacing="0" w:after="0" w:afterAutospacing="0" w:line="560" w:lineRule="exact"/>
              <w:ind w:left="326" w:leftChars="103" w:right="212" w:rightChars="67"/>
              <w:textAlignment w:val="baseline"/>
              <w:rPr>
                <w:rFonts w:ascii="仿宋" w:hAnsi="仿宋" w:eastAsia="仿宋" w:cs="仿宋"/>
                <w:spacing w:val="5"/>
                <w:sz w:val="28"/>
                <w:szCs w:val="28"/>
              </w:rPr>
            </w:pPr>
            <w:r>
              <w:rPr>
                <w:rFonts w:hint="eastAsia" w:ascii="仿宋" w:hAnsi="仿宋" w:eastAsia="仿宋" w:cs="仿宋"/>
                <w:spacing w:val="5"/>
                <w:sz w:val="28"/>
                <w:szCs w:val="28"/>
              </w:rPr>
              <w:t>特别</w:t>
            </w:r>
          </w:p>
          <w:p>
            <w:pPr>
              <w:pStyle w:val="8"/>
              <w:widowControl/>
              <w:shd w:val="clear"/>
              <w:spacing w:before="0" w:beforeAutospacing="0" w:after="0" w:afterAutospacing="0" w:line="560" w:lineRule="exact"/>
              <w:ind w:left="326" w:leftChars="103" w:right="212" w:rightChars="67"/>
              <w:textAlignment w:val="baseline"/>
              <w:rPr>
                <w:rFonts w:ascii="仿宋" w:hAnsi="仿宋" w:eastAsia="仿宋" w:cs="仿宋"/>
                <w:sz w:val="28"/>
                <w:szCs w:val="28"/>
              </w:rPr>
            </w:pPr>
            <w:r>
              <w:rPr>
                <w:rFonts w:hint="eastAsia" w:ascii="仿宋" w:hAnsi="仿宋" w:eastAsia="仿宋" w:cs="仿宋"/>
                <w:spacing w:val="5"/>
                <w:sz w:val="28"/>
                <w:szCs w:val="28"/>
              </w:rPr>
              <w:t>提示</w:t>
            </w:r>
          </w:p>
        </w:tc>
        <w:tc>
          <w:tcPr>
            <w:tcW w:w="7361" w:type="dxa"/>
            <w:tcBorders>
              <w:top w:val="single" w:color="auto" w:sz="4" w:space="0"/>
              <w:left w:val="single" w:color="auto" w:sz="4" w:space="0"/>
              <w:bottom w:val="single" w:color="auto" w:sz="4" w:space="0"/>
              <w:right w:val="single" w:color="auto" w:sz="4" w:space="0"/>
            </w:tcBorders>
            <w:shd w:val="clear" w:color="auto" w:fill="FFFFFF"/>
            <w:tcMar>
              <w:left w:w="9" w:type="dxa"/>
              <w:right w:w="9" w:type="dxa"/>
            </w:tcMar>
            <w:vAlign w:val="center"/>
          </w:tcPr>
          <w:p>
            <w:pPr>
              <w:pStyle w:val="8"/>
              <w:widowControl/>
              <w:shd w:val="clear"/>
              <w:spacing w:before="0" w:beforeAutospacing="0" w:after="103"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z w:val="28"/>
                <w:szCs w:val="28"/>
              </w:rPr>
              <w:t>1. </w:t>
            </w:r>
            <w:r>
              <w:rPr>
                <w:rFonts w:hint="eastAsia" w:ascii="仿宋" w:hAnsi="仿宋" w:eastAsia="仿宋" w:cs="仿宋"/>
                <w:spacing w:val="5"/>
                <w:sz w:val="28"/>
                <w:szCs w:val="28"/>
              </w:rPr>
              <w:t>为便于投资人及时收到预重整管理人各项文书，投资人应当如实提供确切的送达地址；投资人确认的送达地址（包括微信、QQ等即时通讯工具）适用于预重整管理人或重整管理人向投资人送达各项文件。送达地址信息的联系人应固定为一个自然人。</w:t>
            </w:r>
          </w:p>
          <w:p>
            <w:pPr>
              <w:pStyle w:val="8"/>
              <w:widowControl/>
              <w:shd w:val="clear"/>
              <w:spacing w:before="0" w:beforeAutospacing="0" w:after="103"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z w:val="28"/>
                <w:szCs w:val="28"/>
              </w:rPr>
              <w:t>2. </w:t>
            </w:r>
            <w:r>
              <w:rPr>
                <w:rFonts w:hint="eastAsia" w:ascii="仿宋" w:hAnsi="仿宋" w:eastAsia="仿宋" w:cs="仿宋"/>
                <w:spacing w:val="5"/>
                <w:sz w:val="28"/>
                <w:szCs w:val="28"/>
              </w:rPr>
              <w:t>如果送达地址有变更，投资人应当及时书面告知预重整管理人或重整管理人。</w:t>
            </w:r>
          </w:p>
          <w:p>
            <w:pPr>
              <w:pStyle w:val="8"/>
              <w:widowControl/>
              <w:shd w:val="clear"/>
              <w:spacing w:before="0" w:beforeAutospacing="0" w:after="103"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z w:val="28"/>
                <w:szCs w:val="28"/>
              </w:rPr>
              <w:t>3. </w:t>
            </w:r>
            <w:r>
              <w:rPr>
                <w:rFonts w:hint="eastAsia" w:ascii="仿宋" w:hAnsi="仿宋" w:eastAsia="仿宋" w:cs="仿宋"/>
                <w:spacing w:val="5"/>
                <w:sz w:val="28"/>
                <w:szCs w:val="28"/>
              </w:rPr>
              <w:t>如果提供的送达地址不准确，或不及时告知变更后的送达地址，使相关文书、材料、通知等无法送达或未及时送达的，全部责任由投资人承担。直接送达的，相关文书留在该地址之日为送达之日；邮寄送达的，文书被退回之日为送达之日。</w:t>
            </w:r>
          </w:p>
          <w:p>
            <w:pPr>
              <w:pStyle w:val="8"/>
              <w:widowControl/>
              <w:shd w:val="clear"/>
              <w:spacing w:before="0" w:beforeAutospacing="0" w:after="103"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z w:val="28"/>
                <w:szCs w:val="28"/>
              </w:rPr>
              <w:t>4. </w:t>
            </w:r>
            <w:r>
              <w:rPr>
                <w:rFonts w:hint="eastAsia" w:ascii="仿宋" w:hAnsi="仿宋" w:eastAsia="仿宋" w:cs="仿宋"/>
                <w:spacing w:val="5"/>
                <w:sz w:val="28"/>
                <w:szCs w:val="28"/>
              </w:rPr>
              <w:t>采用电子邮件方式送达的，通过记录电子邮件发送和接收邮箱、发送时间、文件名称以及电子邮件发送成功记录，以此确认送达。</w:t>
            </w:r>
          </w:p>
          <w:p>
            <w:pPr>
              <w:pStyle w:val="8"/>
              <w:widowControl/>
              <w:shd w:val="clear"/>
              <w:spacing w:before="0" w:beforeAutospacing="0" w:after="103"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z w:val="28"/>
                <w:szCs w:val="28"/>
              </w:rPr>
              <w:t>5. </w:t>
            </w:r>
            <w:r>
              <w:rPr>
                <w:rFonts w:hint="eastAsia" w:ascii="仿宋" w:hAnsi="仿宋" w:eastAsia="仿宋" w:cs="仿宋"/>
                <w:spacing w:val="5"/>
                <w:sz w:val="28"/>
                <w:szCs w:val="28"/>
              </w:rPr>
              <w:t>采用短信、微信等方式送达的，通过记录收发手机号码、发送时间、 送达文书名称，并将短信、微信等送达内容拍摄照片，以此确认送达。</w:t>
            </w:r>
          </w:p>
          <w:p>
            <w:pPr>
              <w:pStyle w:val="8"/>
              <w:widowControl/>
              <w:shd w:val="clear"/>
              <w:spacing w:before="0" w:beforeAutospacing="0" w:after="103"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z w:val="28"/>
                <w:szCs w:val="28"/>
              </w:rPr>
              <w:t>6. </w:t>
            </w:r>
            <w:r>
              <w:rPr>
                <w:rFonts w:hint="eastAsia" w:ascii="仿宋" w:hAnsi="仿宋" w:eastAsia="仿宋" w:cs="仿宋"/>
                <w:spacing w:val="5"/>
                <w:sz w:val="28"/>
                <w:szCs w:val="28"/>
              </w:rPr>
              <w:t>对于移动通信工具能够接通但无法直接送达、邮寄送达的，可以采取电话送达的方式，由送达人员告知投资人文书内容，记录拨打、接听电话号码、通话时间、送达文书内容，并对通话过程进行录音，以此确认送达。</w:t>
            </w:r>
          </w:p>
        </w:tc>
      </w:tr>
      <w:tr>
        <w:tblPrEx>
          <w:shd w:val="clear" w:color="auto" w:fill="FFFFFF"/>
          <w:tblCellMar>
            <w:top w:w="0" w:type="dxa"/>
            <w:left w:w="0" w:type="dxa"/>
            <w:bottom w:w="0" w:type="dxa"/>
            <w:right w:w="0" w:type="dxa"/>
          </w:tblCellMar>
        </w:tblPrEx>
        <w:trPr>
          <w:trHeight w:val="1714" w:hRule="atLeast"/>
          <w:jc w:val="center"/>
        </w:trPr>
        <w:tc>
          <w:tcPr>
            <w:tcW w:w="1419" w:type="dxa"/>
            <w:tcBorders>
              <w:top w:val="nil"/>
              <w:left w:val="single" w:color="auto" w:sz="4" w:space="0"/>
              <w:bottom w:val="nil"/>
              <w:right w:val="nil"/>
            </w:tcBorders>
            <w:shd w:val="clear" w:color="auto" w:fill="FFFFFF"/>
            <w:tcMar>
              <w:left w:w="9" w:type="dxa"/>
              <w:right w:w="9" w:type="dxa"/>
            </w:tcMar>
            <w:vAlign w:val="center"/>
          </w:tcPr>
          <w:p>
            <w:pPr>
              <w:pStyle w:val="8"/>
              <w:widowControl/>
              <w:shd w:val="clear"/>
              <w:spacing w:before="0" w:beforeAutospacing="0" w:after="0" w:afterAutospacing="0" w:line="560" w:lineRule="exact"/>
              <w:ind w:left="326" w:leftChars="103" w:right="212" w:rightChars="67"/>
              <w:textAlignment w:val="baseline"/>
              <w:rPr>
                <w:rFonts w:ascii="仿宋" w:hAnsi="仿宋" w:eastAsia="仿宋" w:cs="仿宋"/>
                <w:sz w:val="28"/>
                <w:szCs w:val="28"/>
              </w:rPr>
            </w:pPr>
            <w:r>
              <w:rPr>
                <w:rFonts w:hint="eastAsia" w:ascii="仿宋" w:hAnsi="仿宋" w:eastAsia="仿宋" w:cs="仿宋"/>
                <w:spacing w:val="5"/>
                <w:sz w:val="28"/>
                <w:szCs w:val="28"/>
              </w:rPr>
              <w:t>投资人送达地址</w:t>
            </w:r>
          </w:p>
          <w:p>
            <w:pPr>
              <w:pStyle w:val="8"/>
              <w:widowControl/>
              <w:shd w:val="clear"/>
              <w:spacing w:before="0" w:beforeAutospacing="0" w:after="0" w:afterAutospacing="0" w:line="560" w:lineRule="exact"/>
              <w:ind w:left="326" w:leftChars="103" w:right="212" w:rightChars="67"/>
              <w:textAlignment w:val="baseline"/>
              <w:rPr>
                <w:rFonts w:ascii="仿宋" w:hAnsi="仿宋" w:eastAsia="仿宋" w:cs="仿宋"/>
                <w:sz w:val="28"/>
                <w:szCs w:val="28"/>
              </w:rPr>
            </w:pPr>
            <w:r>
              <w:rPr>
                <w:rFonts w:hint="eastAsia" w:ascii="仿宋" w:hAnsi="仿宋" w:eastAsia="仿宋" w:cs="仿宋"/>
                <w:spacing w:val="5"/>
                <w:sz w:val="28"/>
                <w:szCs w:val="28"/>
              </w:rPr>
              <w:t>（建议全部填写）</w:t>
            </w:r>
          </w:p>
        </w:tc>
        <w:tc>
          <w:tcPr>
            <w:tcW w:w="7361" w:type="dxa"/>
            <w:tcBorders>
              <w:top w:val="nil"/>
              <w:left w:val="single" w:color="auto" w:sz="4" w:space="0"/>
              <w:bottom w:val="nil"/>
              <w:right w:val="single" w:color="auto" w:sz="4" w:space="0"/>
            </w:tcBorders>
            <w:shd w:val="clear" w:color="auto" w:fill="FFFFFF"/>
            <w:tcMar>
              <w:left w:w="9" w:type="dxa"/>
              <w:right w:w="9" w:type="dxa"/>
            </w:tcMar>
            <w:vAlign w:val="center"/>
          </w:tcPr>
          <w:p>
            <w:pPr>
              <w:pStyle w:val="8"/>
              <w:widowControl/>
              <w:shd w:val="clear"/>
              <w:spacing w:before="0" w:beforeAutospacing="0" w:after="26"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地址：</w:t>
            </w:r>
          </w:p>
          <w:p>
            <w:pPr>
              <w:pStyle w:val="8"/>
              <w:widowControl/>
              <w:shd w:val="clear"/>
              <w:spacing w:before="0" w:beforeAutospacing="0" w:after="26"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邮编：</w:t>
            </w:r>
          </w:p>
          <w:p>
            <w:pPr>
              <w:pStyle w:val="8"/>
              <w:widowControl/>
              <w:shd w:val="clear"/>
              <w:spacing w:before="0" w:beforeAutospacing="0" w:after="26"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收件人：</w:t>
            </w:r>
          </w:p>
          <w:p>
            <w:pPr>
              <w:pStyle w:val="8"/>
              <w:widowControl/>
              <w:shd w:val="clear"/>
              <w:spacing w:before="0" w:beforeAutospacing="0" w:after="26"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电话（手机）：</w:t>
            </w:r>
          </w:p>
          <w:p>
            <w:pPr>
              <w:pStyle w:val="8"/>
              <w:widowControl/>
              <w:shd w:val="clear"/>
              <w:spacing w:before="0" w:beforeAutospacing="0" w:after="26"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电子邮箱：</w:t>
            </w:r>
          </w:p>
          <w:p>
            <w:pPr>
              <w:pStyle w:val="8"/>
              <w:widowControl/>
              <w:shd w:val="clear"/>
              <w:spacing w:before="0" w:beforeAutospacing="0" w:after="26"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微信：</w:t>
            </w:r>
          </w:p>
          <w:p>
            <w:pPr>
              <w:pStyle w:val="8"/>
              <w:widowControl/>
              <w:shd w:val="clear"/>
              <w:spacing w:before="0" w:beforeAutospacing="0" w:after="26"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QQ：</w:t>
            </w:r>
          </w:p>
        </w:tc>
      </w:tr>
      <w:tr>
        <w:tblPrEx>
          <w:shd w:val="clear" w:color="auto" w:fill="FFFFFF"/>
          <w:tblCellMar>
            <w:top w:w="0" w:type="dxa"/>
            <w:left w:w="0" w:type="dxa"/>
            <w:bottom w:w="0" w:type="dxa"/>
            <w:right w:w="0" w:type="dxa"/>
          </w:tblCellMar>
        </w:tblPrEx>
        <w:trPr>
          <w:trHeight w:val="1320" w:hRule="atLeast"/>
          <w:jc w:val="center"/>
        </w:trPr>
        <w:tc>
          <w:tcPr>
            <w:tcW w:w="1419" w:type="dxa"/>
            <w:tcBorders>
              <w:top w:val="single" w:color="auto" w:sz="4" w:space="0"/>
              <w:left w:val="single" w:color="auto" w:sz="4" w:space="0"/>
              <w:bottom w:val="single" w:color="auto" w:sz="4" w:space="0"/>
              <w:right w:val="nil"/>
            </w:tcBorders>
            <w:shd w:val="clear" w:color="auto" w:fill="FFFFFF"/>
            <w:tcMar>
              <w:left w:w="9" w:type="dxa"/>
              <w:right w:w="9" w:type="dxa"/>
            </w:tcMar>
            <w:vAlign w:val="center"/>
          </w:tcPr>
          <w:p>
            <w:pPr>
              <w:pStyle w:val="8"/>
              <w:widowControl/>
              <w:shd w:val="clear"/>
              <w:spacing w:before="0" w:beforeAutospacing="0" w:after="0" w:afterAutospacing="0" w:line="560" w:lineRule="exact"/>
              <w:ind w:left="326" w:leftChars="103" w:right="212" w:rightChars="67"/>
              <w:textAlignment w:val="baseline"/>
              <w:rPr>
                <w:rFonts w:ascii="仿宋" w:hAnsi="仿宋" w:eastAsia="仿宋" w:cs="仿宋"/>
                <w:spacing w:val="5"/>
                <w:sz w:val="28"/>
                <w:szCs w:val="28"/>
              </w:rPr>
            </w:pPr>
            <w:r>
              <w:rPr>
                <w:rFonts w:hint="eastAsia" w:ascii="仿宋" w:hAnsi="仿宋" w:eastAsia="仿宋" w:cs="仿宋"/>
                <w:spacing w:val="5"/>
                <w:sz w:val="28"/>
                <w:szCs w:val="28"/>
              </w:rPr>
              <w:t>信息</w:t>
            </w:r>
          </w:p>
          <w:p>
            <w:pPr>
              <w:pStyle w:val="8"/>
              <w:widowControl/>
              <w:shd w:val="clear"/>
              <w:spacing w:before="0" w:beforeAutospacing="0" w:after="0" w:afterAutospacing="0" w:line="560" w:lineRule="exact"/>
              <w:ind w:left="326" w:leftChars="103" w:right="212" w:rightChars="67"/>
              <w:textAlignment w:val="baseline"/>
              <w:rPr>
                <w:rFonts w:ascii="仿宋" w:hAnsi="仿宋" w:eastAsia="仿宋" w:cs="仿宋"/>
                <w:sz w:val="28"/>
                <w:szCs w:val="28"/>
              </w:rPr>
            </w:pPr>
            <w:r>
              <w:rPr>
                <w:rFonts w:hint="eastAsia" w:ascii="仿宋" w:hAnsi="仿宋" w:eastAsia="仿宋" w:cs="仿宋"/>
                <w:spacing w:val="5"/>
                <w:sz w:val="28"/>
                <w:szCs w:val="28"/>
              </w:rPr>
              <w:t>确认</w:t>
            </w:r>
          </w:p>
        </w:tc>
        <w:tc>
          <w:tcPr>
            <w:tcW w:w="7361" w:type="dxa"/>
            <w:tcBorders>
              <w:top w:val="single" w:color="auto" w:sz="4" w:space="0"/>
              <w:left w:val="single" w:color="auto" w:sz="4" w:space="0"/>
              <w:bottom w:val="single" w:color="auto" w:sz="4" w:space="0"/>
              <w:right w:val="single" w:color="auto" w:sz="4" w:space="0"/>
            </w:tcBorders>
            <w:shd w:val="clear" w:color="auto" w:fill="FFFFFF"/>
            <w:tcMar>
              <w:left w:w="9" w:type="dxa"/>
              <w:right w:w="9" w:type="dxa"/>
            </w:tcMar>
            <w:vAlign w:val="center"/>
          </w:tcPr>
          <w:p>
            <w:pPr>
              <w:pStyle w:val="8"/>
              <w:widowControl/>
              <w:shd w:val="clear"/>
              <w:spacing w:before="0" w:beforeAutospacing="0" w:after="0"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本单位保证所提供的上述信息均真实、准确、有效，如上述信息变更的，将及时书面通知预重整管理人或重整管理人。本单位愿意承担因信息错误或信息变更通知不及时导致的一切不利后果。</w:t>
            </w:r>
          </w:p>
          <w:p>
            <w:pPr>
              <w:pStyle w:val="8"/>
              <w:widowControl/>
              <w:shd w:val="clear"/>
              <w:spacing w:before="0" w:beforeAutospacing="0" w:after="0" w:afterAutospacing="0" w:line="560" w:lineRule="exact"/>
              <w:ind w:left="326" w:leftChars="103" w:right="-25" w:rightChars="-8"/>
              <w:textAlignment w:val="baseline"/>
              <w:rPr>
                <w:rFonts w:ascii="仿宋" w:hAnsi="仿宋" w:eastAsia="仿宋" w:cs="仿宋"/>
                <w:sz w:val="28"/>
                <w:szCs w:val="28"/>
              </w:rPr>
            </w:pPr>
          </w:p>
          <w:p>
            <w:pPr>
              <w:pStyle w:val="8"/>
              <w:widowControl/>
              <w:shd w:val="clear"/>
              <w:spacing w:before="0" w:beforeAutospacing="0" w:after="0"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投资人（盖章）：</w:t>
            </w:r>
          </w:p>
          <w:p>
            <w:pPr>
              <w:pStyle w:val="8"/>
              <w:widowControl/>
              <w:shd w:val="clear"/>
              <w:spacing w:before="0" w:beforeAutospacing="0" w:after="0"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法定代表人或授权代表（签字）：</w:t>
            </w:r>
          </w:p>
          <w:p>
            <w:pPr>
              <w:pStyle w:val="8"/>
              <w:widowControl/>
              <w:shd w:val="clear"/>
              <w:spacing w:before="0" w:beforeAutospacing="0" w:after="0" w:afterAutospacing="0" w:line="560" w:lineRule="exact"/>
              <w:ind w:left="326" w:leftChars="103" w:right="-25" w:rightChars="-8"/>
              <w:textAlignment w:val="baseline"/>
              <w:rPr>
                <w:rFonts w:ascii="仿宋" w:hAnsi="仿宋" w:eastAsia="仿宋" w:cs="仿宋"/>
                <w:sz w:val="28"/>
                <w:szCs w:val="28"/>
              </w:rPr>
            </w:pPr>
            <w:r>
              <w:rPr>
                <w:rFonts w:hint="eastAsia" w:ascii="仿宋" w:hAnsi="仿宋" w:eastAsia="仿宋" w:cs="仿宋"/>
                <w:spacing w:val="5"/>
                <w:sz w:val="28"/>
                <w:szCs w:val="28"/>
              </w:rPr>
              <w:t>年   月   日</w:t>
            </w:r>
          </w:p>
        </w:tc>
      </w:tr>
    </w:tbl>
    <w:p>
      <w:pPr>
        <w:pStyle w:val="8"/>
        <w:widowControl/>
        <w:shd w:val="clear" w:color="auto"/>
        <w:spacing w:before="0" w:beforeAutospacing="0" w:after="266" w:afterAutospacing="0" w:line="560" w:lineRule="exact"/>
        <w:ind w:left="-634" w:leftChars="-200" w:right="-773" w:rightChars="-244" w:firstLine="554" w:firstLineChars="193"/>
        <w:textAlignment w:val="baseline"/>
        <w:rPr>
          <w:rFonts w:ascii="仿宋" w:hAnsi="仿宋" w:eastAsia="仿宋" w:cs="仿宋"/>
          <w:spacing w:val="5"/>
          <w:sz w:val="28"/>
          <w:szCs w:val="28"/>
          <w:shd w:val="clear" w:color="auto" w:fill="FFFFFF"/>
        </w:rPr>
      </w:pPr>
      <w:r>
        <w:rPr>
          <w:rFonts w:hint="eastAsia" w:ascii="仿宋" w:hAnsi="仿宋" w:eastAsia="仿宋" w:cs="仿宋"/>
          <w:spacing w:val="5"/>
          <w:sz w:val="28"/>
          <w:szCs w:val="28"/>
          <w:shd w:val="clear" w:color="auto" w:fill="FFFFFF"/>
        </w:rPr>
        <w:t> </w:t>
      </w:r>
    </w:p>
    <w:p>
      <w:pPr>
        <w:pStyle w:val="8"/>
        <w:widowControl/>
        <w:shd w:val="clear" w:color="auto"/>
        <w:spacing w:before="0" w:beforeAutospacing="0" w:after="266" w:afterAutospacing="0" w:line="560" w:lineRule="exact"/>
        <w:ind w:right="-773" w:rightChars="-244"/>
        <w:textAlignment w:val="baseline"/>
        <w:rPr>
          <w:rFonts w:ascii="仿宋" w:hAnsi="仿宋" w:eastAsia="仿宋" w:cs="仿宋"/>
          <w:spacing w:val="5"/>
          <w:sz w:val="28"/>
          <w:szCs w:val="28"/>
          <w:shd w:val="clear" w:color="auto" w:fill="FFFFFF"/>
        </w:rPr>
      </w:pPr>
    </w:p>
    <w:p>
      <w:pPr>
        <w:pStyle w:val="8"/>
        <w:widowControl/>
        <w:shd w:val="clear" w:color="auto"/>
        <w:spacing w:before="0" w:beforeAutospacing="0" w:after="171"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附件4：</w:t>
      </w:r>
    </w:p>
    <w:p>
      <w:pPr>
        <w:pStyle w:val="8"/>
        <w:widowControl/>
        <w:shd w:val="clear" w:color="auto"/>
        <w:spacing w:before="0" w:beforeAutospacing="0" w:after="137" w:afterAutospacing="0" w:line="560" w:lineRule="exact"/>
        <w:ind w:left="-634" w:leftChars="-200" w:right="-773" w:rightChars="-244"/>
        <w:jc w:val="center"/>
        <w:textAlignment w:val="baseline"/>
        <w:rPr>
          <w:rFonts w:ascii="仿宋" w:hAnsi="仿宋" w:eastAsia="仿宋" w:cs="仿宋"/>
          <w:spacing w:val="5"/>
          <w:sz w:val="28"/>
          <w:szCs w:val="28"/>
        </w:rPr>
      </w:pPr>
      <w:r>
        <w:rPr>
          <w:rStyle w:val="12"/>
          <w:rFonts w:hint="eastAsia" w:ascii="仿宋" w:hAnsi="仿宋" w:eastAsia="仿宋" w:cs="仿宋"/>
          <w:spacing w:val="5"/>
          <w:sz w:val="32"/>
          <w:szCs w:val="32"/>
          <w:shd w:val="clear" w:color="auto" w:fill="FFFFFF"/>
        </w:rPr>
        <w:t>保密承诺函</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致：成都嘉康投资发展有限公司预重整管理人</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鉴于我方拟参与成都嘉康投资发展有限公司（以下简称“嘉康公司”）预重整案投资人招募，将接触嘉康公司的相关保密信息，为保护披露方的商业利益，我方特作保密承诺如下：</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1. 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1.1保密信息的范围</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本承诺中的保密信息是指贵方向我方、我方代理人或顾问提供的，有关贵方或嘉康公司的尚未对外公开披露的有关信息（以下简称“保密信息”），包括但不限于以下保密信息：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1.1.1洽谈过程中获得的信息，我方在合作洽谈及业务开展过程中所获知的相关保密信息；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1.1.2尽职调査过程中获得的信息，我方在尽职调查过程中所获知的嘉康公司资产、负债等有关保密信息；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1.1.3交易信息，与项目进展、签署、执行过程中形成的交易结构、交易模式、交易文件相关的法律、商务信息；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1.1.4其他保密信息，我方获得的其他与嘉康公司相关的保密信息。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1.2保密信息载体</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保密信息载体是指记录、传递保密信息的无形介质和储存保密信息的有形物品，包括但不限于书面文件、电子文档、磁盘、CD、电子信息数据等。</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1.3复制件</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复制件是指保密信息或保密信息载体的复制，包括任何文件、电子文档、注释、摘要、分析，或以任何其他方法再现的保密信息。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2. 非保密信息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下述各项信息不属于保密信息：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2.1已公开发表或非因我方违约，已为公众知悉的保密信息；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2.2贵方书面同意公开的保密信息；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2.3我方从第三方处合法、正当地取得的保密信息，且根据我方所知该第三方对该等保密信息不承担保密义务；</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2.4在贵方向我方披露保密信息以前，我方已通过合法渠道获知的保密信息。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3. 保密信息所有权</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保密信息的所有权归嘉康公司或贵方所有，我方不享有上述保密信息的所有权、排他独占使用权、再许可使用权。</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4.接触保密信息的人员范围</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我方承诺接触保密信息的人员为我方直接参与该项目的相关人员、我方为该项目聘请的相应专业顾问（如有）及协助我方完成交易的其他相关方（如有），我方承诺已与前述人员签署保密协议，要求其承担本承诺函约定的保密义务，我方承诺对前述人员违反保密义务所应承担的责任承担连带责任。</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5.保密义务及期限</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5.1釆取必要的保密措施的义务</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我方承诺将釆取合理保密措施，妥善保管保密信息。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我方承诺以向贵方缴纳的报名保证金人民币20</w:t>
      </w:r>
      <w:r>
        <w:rPr>
          <w:rFonts w:hint="eastAsia" w:ascii="仿宋" w:hAnsi="仿宋" w:eastAsia="仿宋" w:cs="仿宋"/>
          <w:spacing w:val="5"/>
          <w:sz w:val="28"/>
          <w:szCs w:val="28"/>
        </w:rPr>
        <w:t>万（大写贰拾万元</w:t>
      </w:r>
      <w:r>
        <w:rPr>
          <w:rFonts w:hint="eastAsia" w:ascii="仿宋" w:hAnsi="仿宋" w:eastAsia="仿宋" w:cs="仿宋"/>
          <w:spacing w:val="5"/>
          <w:sz w:val="28"/>
          <w:szCs w:val="28"/>
          <w:shd w:val="clear" w:color="auto" w:fill="FFFFFF"/>
        </w:rPr>
        <w:t>整）作为保密保证金，我方如有违反保密义务行为，完全同意贵方对该保证金的处理方案。</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5.2对外披露的许可义务</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未经贵方的书面许可，我方承诺不以任何方式将保密信息披露给任何第4条人员范围之外的第三方，或许可任何该第三方使用上述保密信息。</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5.3保密期限</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自本保密承诺函盖章之日起至嘉康公司破产程序终结之日止。</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6.保密义务的例外情形</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根据法律、法规规定或司法机关、监管机构的要求，我方可披露相应的保密信息，此时我方的披露不视为违反保密义务。</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7.费用承担</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我方履行本承诺函所发生的所有费用均由我方自行承担。</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8.损失赔偿</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如我方违反本保密承诺函，贵方有权没收我方缴纳的保证金。如我方已缴纳的保证金不足以弥补给嘉康公司或贵方造成损失的，贵方在没收保证金后仍有权继续向我方追偿，该损失包括但不限于：实际损失及其他因我方擅自使用、披露或许可他人使用上述保密信息而产生的损失、法院诉讼的费用、合理的律师费和其他费用等。</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9.争议解决</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因本承诺函引起或与本承诺有关的一切争议，各方均应友好协商解决；如果不能解决的，任何一方均有权向该项目所在地的人民法院提起诉讼。</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Style w:val="12"/>
          <w:rFonts w:hint="eastAsia" w:ascii="仿宋" w:hAnsi="仿宋" w:eastAsia="仿宋" w:cs="仿宋"/>
          <w:spacing w:val="5"/>
          <w:sz w:val="28"/>
          <w:szCs w:val="28"/>
          <w:shd w:val="clear" w:color="auto" w:fill="FFFFFF"/>
        </w:rPr>
        <w:t>10.其他约定</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10.1本承诺经我方盖章之日起生效。</w:t>
      </w:r>
    </w:p>
    <w:p>
      <w:pPr>
        <w:pStyle w:val="8"/>
        <w:widowControl/>
        <w:shd w:val="clear" w:color="auto"/>
        <w:spacing w:before="0" w:beforeAutospacing="0" w:after="103" w:afterAutospacing="0" w:line="560" w:lineRule="exact"/>
        <w:ind w:left="-634" w:leftChars="-200" w:right="-773" w:rightChars="-244" w:firstLine="554" w:firstLineChars="193"/>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10.2我方所做岀的承诺，不受相关协议是否签订、解除、目的实现等情况的影响。我方所做出的承诺具有不可撤销性，不能撤回、变更且不能声明作废。</w:t>
      </w:r>
    </w:p>
    <w:p>
      <w:pPr>
        <w:pStyle w:val="8"/>
        <w:widowControl/>
        <w:shd w:val="clear" w:color="auto"/>
        <w:spacing w:before="0" w:beforeAutospacing="0" w:after="103" w:afterAutospacing="0" w:line="560" w:lineRule="exact"/>
        <w:ind w:left="-634" w:leftChars="-200" w:right="-773" w:rightChars="-244" w:firstLine="3958" w:firstLineChars="1379"/>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承诺人（签章）：</w:t>
      </w:r>
    </w:p>
    <w:p>
      <w:pPr>
        <w:pStyle w:val="8"/>
        <w:widowControl/>
        <w:shd w:val="clear" w:color="auto"/>
        <w:spacing w:before="0" w:beforeAutospacing="0" w:after="103" w:afterAutospacing="0" w:line="560" w:lineRule="exact"/>
        <w:ind w:left="-634" w:leftChars="-200" w:right="-773" w:rightChars="-244" w:firstLine="3958" w:firstLineChars="1379"/>
        <w:textAlignment w:val="baseline"/>
        <w:rPr>
          <w:rFonts w:ascii="仿宋" w:hAnsi="仿宋" w:eastAsia="仿宋" w:cs="仿宋"/>
          <w:spacing w:val="5"/>
          <w:sz w:val="28"/>
          <w:szCs w:val="28"/>
        </w:rPr>
      </w:pPr>
      <w:r>
        <w:rPr>
          <w:rFonts w:hint="eastAsia" w:ascii="仿宋" w:hAnsi="仿宋" w:eastAsia="仿宋" w:cs="仿宋"/>
          <w:spacing w:val="5"/>
          <w:sz w:val="28"/>
          <w:szCs w:val="28"/>
          <w:shd w:val="clear" w:color="auto" w:fill="FFFFFF"/>
        </w:rPr>
        <w:t>法定代表人或授权代表（签字）：</w:t>
      </w:r>
    </w:p>
    <w:p>
      <w:pPr>
        <w:pStyle w:val="8"/>
        <w:widowControl/>
        <w:shd w:val="clear" w:color="auto"/>
        <w:spacing w:before="0" w:beforeAutospacing="0" w:after="103" w:afterAutospacing="0" w:line="560" w:lineRule="exact"/>
        <w:ind w:left="-634" w:leftChars="-200" w:right="-773" w:rightChars="-244" w:firstLine="3958" w:firstLineChars="1379"/>
        <w:textAlignment w:val="baseline"/>
        <w:rPr>
          <w:rFonts w:ascii="仿宋" w:hAnsi="仿宋" w:eastAsia="仿宋" w:cs="仿宋"/>
          <w:sz w:val="28"/>
          <w:szCs w:val="28"/>
        </w:rPr>
      </w:pPr>
      <w:r>
        <w:rPr>
          <w:rFonts w:hint="eastAsia" w:ascii="仿宋" w:hAnsi="仿宋" w:eastAsia="仿宋" w:cs="仿宋"/>
          <w:spacing w:val="5"/>
          <w:sz w:val="28"/>
          <w:szCs w:val="28"/>
          <w:shd w:val="clear" w:color="auto" w:fill="FFFFFF"/>
        </w:rPr>
        <w:t>签署时间：    年    月    日</w:t>
      </w:r>
    </w:p>
    <w:p>
      <w:pPr>
        <w:pStyle w:val="2"/>
        <w:shd w:val="clear"/>
        <w:ind w:firstLine="554" w:firstLineChars="200"/>
        <w:jc w:val="left"/>
        <w:rPr>
          <w:rFonts w:ascii="仿宋" w:hAnsi="仿宋" w:eastAsia="仿宋" w:cs="仿宋"/>
          <w:sz w:val="28"/>
          <w:szCs w:val="28"/>
        </w:rPr>
      </w:pPr>
    </w:p>
    <w:p>
      <w:pPr>
        <w:keepNext w:val="0"/>
        <w:keepLines w:val="0"/>
        <w:pageBreakBefore w:val="0"/>
        <w:widowControl w:val="0"/>
        <w:shd w:val="clear"/>
        <w:tabs>
          <w:tab w:val="left" w:pos="948"/>
        </w:tabs>
        <w:kinsoku/>
        <w:wordWrap/>
        <w:overflowPunct/>
        <w:topLinePunct w:val="0"/>
        <w:autoSpaceDE/>
        <w:autoSpaceDN/>
        <w:bidi w:val="0"/>
        <w:adjustRightInd/>
        <w:snapToGrid/>
        <w:spacing w:line="360" w:lineRule="auto"/>
        <w:textAlignment w:val="auto"/>
        <w:rPr>
          <w:rFonts w:hint="default" w:ascii="仿宋" w:hAnsi="仿宋" w:cs="仿宋"/>
          <w:color w:val="auto"/>
          <w:sz w:val="28"/>
          <w:szCs w:val="28"/>
          <w:lang w:val="en-US" w:eastAsia="zh-CN"/>
        </w:rPr>
      </w:pPr>
    </w:p>
    <w:sectPr>
      <w:footerReference r:id="rId3" w:type="default"/>
      <w:pgSz w:w="11906" w:h="16838"/>
      <w:pgMar w:top="2098" w:right="1474" w:bottom="1984" w:left="1587" w:header="851" w:footer="1417" w:gutter="0"/>
      <w:pgBorders>
        <w:top w:val="none" w:sz="0" w:space="0"/>
        <w:left w:val="none" w:sz="0" w:space="0"/>
        <w:bottom w:val="none" w:sz="0" w:space="0"/>
        <w:right w:val="none" w:sz="0" w:space="0"/>
      </w:pgBorders>
      <w:cols w:space="0" w:num="1"/>
      <w:rtlGutter w:val="0"/>
      <w:docGrid w:type="linesAndChars" w:linePitch="465" w:charSpace="-67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sz w:val="21"/>
                              <w:szCs w:val="21"/>
                            </w:rPr>
                          </w:pPr>
                          <w:r>
                            <w:rPr>
                              <w:rFonts w:hint="eastAsia"/>
                              <w:sz w:val="21"/>
                              <w:szCs w:val="21"/>
                            </w:rPr>
                            <w:t xml:space="preserve">第 </w:t>
                          </w: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w:t>
                          </w:r>
                          <w:r>
                            <w:rPr>
                              <w:rFonts w:hint="eastAsia"/>
                              <w:sz w:val="21"/>
                              <w:szCs w:val="21"/>
                            </w:rPr>
                            <w:fldChar w:fldCharType="end"/>
                          </w:r>
                          <w:r>
                            <w:rPr>
                              <w:rFonts w:hint="eastAsia"/>
                              <w:sz w:val="21"/>
                              <w:szCs w:val="21"/>
                            </w:rPr>
                            <w:t xml:space="preserve"> 页 共 </w:t>
                          </w:r>
                          <w:r>
                            <w:rPr>
                              <w:rFonts w:hint="eastAsia"/>
                              <w:sz w:val="21"/>
                              <w:szCs w:val="21"/>
                            </w:rPr>
                            <w:fldChar w:fldCharType="begin"/>
                          </w:r>
                          <w:r>
                            <w:rPr>
                              <w:rFonts w:hint="eastAsia"/>
                              <w:sz w:val="21"/>
                              <w:szCs w:val="21"/>
                            </w:rPr>
                            <w:instrText xml:space="preserve"> NUMPAGES  \* MERGEFORMAT </w:instrText>
                          </w:r>
                          <w:r>
                            <w:rPr>
                              <w:rFonts w:hint="eastAsia"/>
                              <w:sz w:val="21"/>
                              <w:szCs w:val="21"/>
                            </w:rPr>
                            <w:fldChar w:fldCharType="separate"/>
                          </w:r>
                          <w:r>
                            <w:rPr>
                              <w:rFonts w:hint="eastAsia"/>
                              <w:sz w:val="21"/>
                              <w:szCs w:val="21"/>
                            </w:rPr>
                            <w:t>7</w:t>
                          </w:r>
                          <w:r>
                            <w:rPr>
                              <w:rFonts w:hint="eastAsia"/>
                              <w:sz w:val="21"/>
                              <w:szCs w:val="21"/>
                            </w:rPr>
                            <w:fldChar w:fldCharType="end"/>
                          </w:r>
                          <w:r>
                            <w:rPr>
                              <w:rFonts w:hint="eastAsia"/>
                              <w:sz w:val="21"/>
                              <w:szCs w:val="21"/>
                            </w:rPr>
                            <w:t xml:space="preserve"> 页</w:t>
                          </w:r>
                        </w:p>
                      </w:txbxContent>
                    </wps:txbx>
                    <wps:bodyPr wrap="none" lIns="0" tIns="0" rIns="0" bIns="0">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ZaFrT8oBAACWAwAADgAAAAAAAAABACAAAAAeAQAAZHJzL2Uyb0Rv&#10;Yy54bWxQSwUGAAAAAAYABgBZAQAAWgUAAAAA&#10;">
              <v:fill on="f" focussize="0,0"/>
              <v:stroke on="f"/>
              <v:imagedata o:title=""/>
              <o:lock v:ext="edit" aspectratio="f"/>
              <v:textbox inset="0mm,0mm,0mm,0mm" style="mso-fit-shape-to-text:t;">
                <w:txbxContent>
                  <w:p>
                    <w:pPr>
                      <w:snapToGrid w:val="0"/>
                      <w:rPr>
                        <w:sz w:val="21"/>
                        <w:szCs w:val="21"/>
                      </w:rPr>
                    </w:pPr>
                    <w:r>
                      <w:rPr>
                        <w:rFonts w:hint="eastAsia"/>
                        <w:sz w:val="21"/>
                        <w:szCs w:val="21"/>
                      </w:rPr>
                      <w:t xml:space="preserve">第 </w:t>
                    </w: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Pr>
                        <w:sz w:val="21"/>
                        <w:szCs w:val="21"/>
                      </w:rPr>
                      <w:t>1</w:t>
                    </w:r>
                    <w:r>
                      <w:rPr>
                        <w:rFonts w:hint="eastAsia"/>
                        <w:sz w:val="21"/>
                        <w:szCs w:val="21"/>
                      </w:rPr>
                      <w:fldChar w:fldCharType="end"/>
                    </w:r>
                    <w:r>
                      <w:rPr>
                        <w:rFonts w:hint="eastAsia"/>
                        <w:sz w:val="21"/>
                        <w:szCs w:val="21"/>
                      </w:rPr>
                      <w:t xml:space="preserve"> 页 共 </w:t>
                    </w:r>
                    <w:r>
                      <w:rPr>
                        <w:rFonts w:hint="eastAsia"/>
                        <w:sz w:val="21"/>
                        <w:szCs w:val="21"/>
                      </w:rPr>
                      <w:fldChar w:fldCharType="begin"/>
                    </w:r>
                    <w:r>
                      <w:rPr>
                        <w:rFonts w:hint="eastAsia"/>
                        <w:sz w:val="21"/>
                        <w:szCs w:val="21"/>
                      </w:rPr>
                      <w:instrText xml:space="preserve"> NUMPAGES  \* MERGEFORMAT </w:instrText>
                    </w:r>
                    <w:r>
                      <w:rPr>
                        <w:rFonts w:hint="eastAsia"/>
                        <w:sz w:val="21"/>
                        <w:szCs w:val="21"/>
                      </w:rPr>
                      <w:fldChar w:fldCharType="separate"/>
                    </w:r>
                    <w:r>
                      <w:rPr>
                        <w:rFonts w:hint="eastAsia"/>
                        <w:sz w:val="21"/>
                        <w:szCs w:val="21"/>
                      </w:rPr>
                      <w:t>7</w:t>
                    </w:r>
                    <w:r>
                      <w:rPr>
                        <w:rFonts w:hint="eastAsia"/>
                        <w:sz w:val="21"/>
                        <w:szCs w:val="21"/>
                      </w:rPr>
                      <w:fldChar w:fldCharType="end"/>
                    </w:r>
                    <w:r>
                      <w:rPr>
                        <w:rFonts w:hint="eastAsia"/>
                        <w:sz w:val="21"/>
                        <w:szCs w:val="21"/>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C35085"/>
    <w:multiLevelType w:val="singleLevel"/>
    <w:tmpl w:val="B5C35085"/>
    <w:lvl w:ilvl="0" w:tentative="0">
      <w:start w:val="2"/>
      <w:numFmt w:val="decimal"/>
      <w:suff w:val="nothing"/>
      <w:lvlText w:val="%1、"/>
      <w:lvlJc w:val="left"/>
    </w:lvl>
  </w:abstractNum>
  <w:abstractNum w:abstractNumId="1">
    <w:nsid w:val="CF029FE0"/>
    <w:multiLevelType w:val="singleLevel"/>
    <w:tmpl w:val="CF029FE0"/>
    <w:lvl w:ilvl="0" w:tentative="0">
      <w:start w:val="1"/>
      <w:numFmt w:val="decimal"/>
      <w:suff w:val="nothing"/>
      <w:lvlText w:val="%1、"/>
      <w:lvlJc w:val="left"/>
      <w:pPr>
        <w:ind w:left="631" w:firstLine="0"/>
      </w:pPr>
    </w:lvl>
  </w:abstractNum>
  <w:abstractNum w:abstractNumId="2">
    <w:nsid w:val="D1A617AA"/>
    <w:multiLevelType w:val="singleLevel"/>
    <w:tmpl w:val="D1A617AA"/>
    <w:lvl w:ilvl="0" w:tentative="0">
      <w:start w:val="2"/>
      <w:numFmt w:val="chineseCounting"/>
      <w:suff w:val="nothing"/>
      <w:lvlText w:val="（%1）"/>
      <w:lvlJc w:val="left"/>
      <w:rPr>
        <w:rFonts w:hint="eastAsia"/>
      </w:rPr>
    </w:lvl>
  </w:abstractNum>
  <w:abstractNum w:abstractNumId="3">
    <w:nsid w:val="D2DBC9B5"/>
    <w:multiLevelType w:val="singleLevel"/>
    <w:tmpl w:val="D2DBC9B5"/>
    <w:lvl w:ilvl="0" w:tentative="0">
      <w:start w:val="1"/>
      <w:numFmt w:val="decimal"/>
      <w:suff w:val="nothing"/>
      <w:lvlText w:val="（%1）"/>
      <w:lvlJc w:val="left"/>
    </w:lvl>
  </w:abstractNum>
  <w:abstractNum w:abstractNumId="4">
    <w:nsid w:val="EC89F369"/>
    <w:multiLevelType w:val="singleLevel"/>
    <w:tmpl w:val="EC89F369"/>
    <w:lvl w:ilvl="0" w:tentative="0">
      <w:start w:val="1"/>
      <w:numFmt w:val="chineseCounting"/>
      <w:suff w:val="space"/>
      <w:lvlText w:val="第%1部分"/>
      <w:lvlJc w:val="left"/>
      <w:rPr>
        <w:rFonts w:hint="eastAsia"/>
      </w:rPr>
    </w:lvl>
  </w:abstractNum>
  <w:abstractNum w:abstractNumId="5">
    <w:nsid w:val="45A220CC"/>
    <w:multiLevelType w:val="singleLevel"/>
    <w:tmpl w:val="45A220CC"/>
    <w:lvl w:ilvl="0" w:tentative="0">
      <w:start w:val="2"/>
      <w:numFmt w:val="chineseCounting"/>
      <w:suff w:val="nothing"/>
      <w:lvlText w:val="%1、"/>
      <w:lvlJc w:val="left"/>
      <w:rPr>
        <w:rFonts w:hint="eastAsia"/>
      </w:rPr>
    </w:lvl>
  </w:abstractNum>
  <w:num w:numId="1">
    <w:abstractNumId w:val="4"/>
  </w:num>
  <w:num w:numId="2">
    <w:abstractNumId w:val="5"/>
  </w:num>
  <w:num w:numId="3">
    <w:abstractNumId w:val="0"/>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0"/>
  <w:bordersDoNotSurroundFooter w:val="0"/>
  <w:documentProtection w:enforcement="0"/>
  <w:defaultTabStop w:val="420"/>
  <w:drawingGridHorizontalSpacing w:val="158"/>
  <w:drawingGridVerticalSpacing w:val="23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19A53FB7"/>
    <w:rsid w:val="000270B7"/>
    <w:rsid w:val="00037B1D"/>
    <w:rsid w:val="00077587"/>
    <w:rsid w:val="00085D3E"/>
    <w:rsid w:val="000A22D2"/>
    <w:rsid w:val="000C3072"/>
    <w:rsid w:val="00107144"/>
    <w:rsid w:val="00110790"/>
    <w:rsid w:val="00111262"/>
    <w:rsid w:val="00112AA2"/>
    <w:rsid w:val="001359C5"/>
    <w:rsid w:val="001854ED"/>
    <w:rsid w:val="001B7F43"/>
    <w:rsid w:val="001C71CE"/>
    <w:rsid w:val="001D2508"/>
    <w:rsid w:val="002240AD"/>
    <w:rsid w:val="00236A82"/>
    <w:rsid w:val="00253474"/>
    <w:rsid w:val="00253E03"/>
    <w:rsid w:val="002C68FC"/>
    <w:rsid w:val="00316005"/>
    <w:rsid w:val="003472EE"/>
    <w:rsid w:val="0035587A"/>
    <w:rsid w:val="003634D6"/>
    <w:rsid w:val="003B2238"/>
    <w:rsid w:val="003B7856"/>
    <w:rsid w:val="003C5B94"/>
    <w:rsid w:val="003D4BAF"/>
    <w:rsid w:val="003F7C1C"/>
    <w:rsid w:val="004349EC"/>
    <w:rsid w:val="004907B1"/>
    <w:rsid w:val="004F5B76"/>
    <w:rsid w:val="00502792"/>
    <w:rsid w:val="00514272"/>
    <w:rsid w:val="00526F1D"/>
    <w:rsid w:val="005347FA"/>
    <w:rsid w:val="00585A09"/>
    <w:rsid w:val="005A3E48"/>
    <w:rsid w:val="005C175E"/>
    <w:rsid w:val="005E3591"/>
    <w:rsid w:val="005F439B"/>
    <w:rsid w:val="00603F0B"/>
    <w:rsid w:val="00605153"/>
    <w:rsid w:val="00607D02"/>
    <w:rsid w:val="00610466"/>
    <w:rsid w:val="00612D60"/>
    <w:rsid w:val="00615839"/>
    <w:rsid w:val="00622CD9"/>
    <w:rsid w:val="00630922"/>
    <w:rsid w:val="00634522"/>
    <w:rsid w:val="0068513C"/>
    <w:rsid w:val="007342D1"/>
    <w:rsid w:val="00751FAB"/>
    <w:rsid w:val="00781287"/>
    <w:rsid w:val="007A044D"/>
    <w:rsid w:val="007C2C34"/>
    <w:rsid w:val="00817934"/>
    <w:rsid w:val="00947B1D"/>
    <w:rsid w:val="00992159"/>
    <w:rsid w:val="009C3E94"/>
    <w:rsid w:val="00A30A6C"/>
    <w:rsid w:val="00A331B8"/>
    <w:rsid w:val="00A56671"/>
    <w:rsid w:val="00A77370"/>
    <w:rsid w:val="00A92A4A"/>
    <w:rsid w:val="00AE0E8C"/>
    <w:rsid w:val="00AF25B0"/>
    <w:rsid w:val="00B0333F"/>
    <w:rsid w:val="00B27E8D"/>
    <w:rsid w:val="00B711EF"/>
    <w:rsid w:val="00BD75BD"/>
    <w:rsid w:val="00BF5C67"/>
    <w:rsid w:val="00BF60B0"/>
    <w:rsid w:val="00C14ACD"/>
    <w:rsid w:val="00C17EB2"/>
    <w:rsid w:val="00C17F1A"/>
    <w:rsid w:val="00C32E7A"/>
    <w:rsid w:val="00C61F4D"/>
    <w:rsid w:val="00CD5B3B"/>
    <w:rsid w:val="00D06590"/>
    <w:rsid w:val="00D070CB"/>
    <w:rsid w:val="00D13E37"/>
    <w:rsid w:val="00D25011"/>
    <w:rsid w:val="00D6488F"/>
    <w:rsid w:val="00DB6A22"/>
    <w:rsid w:val="00DF0FBB"/>
    <w:rsid w:val="00E26EFC"/>
    <w:rsid w:val="00E4377F"/>
    <w:rsid w:val="00E575EF"/>
    <w:rsid w:val="00E64CD9"/>
    <w:rsid w:val="00E93A06"/>
    <w:rsid w:val="00EC1C6B"/>
    <w:rsid w:val="00EF723A"/>
    <w:rsid w:val="00FE6651"/>
    <w:rsid w:val="00FE6ADA"/>
    <w:rsid w:val="00FF2DA2"/>
    <w:rsid w:val="010A28BB"/>
    <w:rsid w:val="01401BD2"/>
    <w:rsid w:val="015408DC"/>
    <w:rsid w:val="018574FC"/>
    <w:rsid w:val="018E1CDD"/>
    <w:rsid w:val="01C061D8"/>
    <w:rsid w:val="01D70C57"/>
    <w:rsid w:val="022124C2"/>
    <w:rsid w:val="024D6822"/>
    <w:rsid w:val="02743F39"/>
    <w:rsid w:val="029B5E79"/>
    <w:rsid w:val="02C92F1E"/>
    <w:rsid w:val="031018EB"/>
    <w:rsid w:val="031214A4"/>
    <w:rsid w:val="033455DC"/>
    <w:rsid w:val="0350044F"/>
    <w:rsid w:val="036500DB"/>
    <w:rsid w:val="03890A5A"/>
    <w:rsid w:val="038D1081"/>
    <w:rsid w:val="03CF0724"/>
    <w:rsid w:val="04131C7A"/>
    <w:rsid w:val="04243E14"/>
    <w:rsid w:val="042A2BE3"/>
    <w:rsid w:val="042B673E"/>
    <w:rsid w:val="04705A05"/>
    <w:rsid w:val="051311B3"/>
    <w:rsid w:val="054425DE"/>
    <w:rsid w:val="05C119E4"/>
    <w:rsid w:val="06373B66"/>
    <w:rsid w:val="064E0945"/>
    <w:rsid w:val="065706C2"/>
    <w:rsid w:val="06CE15F2"/>
    <w:rsid w:val="07182EDA"/>
    <w:rsid w:val="07691361"/>
    <w:rsid w:val="077B3E8F"/>
    <w:rsid w:val="07C060CF"/>
    <w:rsid w:val="07C716B8"/>
    <w:rsid w:val="07DF4D01"/>
    <w:rsid w:val="08554828"/>
    <w:rsid w:val="089A5136"/>
    <w:rsid w:val="08BB0341"/>
    <w:rsid w:val="08C6343A"/>
    <w:rsid w:val="08E6788B"/>
    <w:rsid w:val="08EC4575"/>
    <w:rsid w:val="0A5D4BB9"/>
    <w:rsid w:val="0AC14746"/>
    <w:rsid w:val="0ACD54EB"/>
    <w:rsid w:val="0B100735"/>
    <w:rsid w:val="0B150E82"/>
    <w:rsid w:val="0B1F5863"/>
    <w:rsid w:val="0B501388"/>
    <w:rsid w:val="0B56429E"/>
    <w:rsid w:val="0B7B7DE4"/>
    <w:rsid w:val="0B84737F"/>
    <w:rsid w:val="0C0621B7"/>
    <w:rsid w:val="0CC51E0F"/>
    <w:rsid w:val="0CE43668"/>
    <w:rsid w:val="0D185A20"/>
    <w:rsid w:val="0D1E207A"/>
    <w:rsid w:val="0D6D0214"/>
    <w:rsid w:val="0D701E45"/>
    <w:rsid w:val="0DA21FE7"/>
    <w:rsid w:val="0DE67698"/>
    <w:rsid w:val="0E345520"/>
    <w:rsid w:val="0E3B6279"/>
    <w:rsid w:val="0E42471B"/>
    <w:rsid w:val="0E4A4E9E"/>
    <w:rsid w:val="0E597328"/>
    <w:rsid w:val="0ECD3E8A"/>
    <w:rsid w:val="0F221777"/>
    <w:rsid w:val="0F7727F0"/>
    <w:rsid w:val="0FAE4E7B"/>
    <w:rsid w:val="0FAF53BF"/>
    <w:rsid w:val="0FE173B1"/>
    <w:rsid w:val="107354AD"/>
    <w:rsid w:val="107F5543"/>
    <w:rsid w:val="10E55261"/>
    <w:rsid w:val="10F95A9E"/>
    <w:rsid w:val="10F9615B"/>
    <w:rsid w:val="11226FBE"/>
    <w:rsid w:val="112278CE"/>
    <w:rsid w:val="113A45F6"/>
    <w:rsid w:val="118D1035"/>
    <w:rsid w:val="11A006BF"/>
    <w:rsid w:val="11C85C6E"/>
    <w:rsid w:val="11E629B5"/>
    <w:rsid w:val="121C60CC"/>
    <w:rsid w:val="12CA1FB4"/>
    <w:rsid w:val="12F7581A"/>
    <w:rsid w:val="13502F23"/>
    <w:rsid w:val="136D5068"/>
    <w:rsid w:val="13A159D3"/>
    <w:rsid w:val="13FD1FA8"/>
    <w:rsid w:val="145330E7"/>
    <w:rsid w:val="151829DD"/>
    <w:rsid w:val="1519357C"/>
    <w:rsid w:val="152139F9"/>
    <w:rsid w:val="154D68CC"/>
    <w:rsid w:val="155B4089"/>
    <w:rsid w:val="158226E9"/>
    <w:rsid w:val="158E6059"/>
    <w:rsid w:val="15902A99"/>
    <w:rsid w:val="15DEAF17"/>
    <w:rsid w:val="160C65FF"/>
    <w:rsid w:val="16B519D6"/>
    <w:rsid w:val="16D553CC"/>
    <w:rsid w:val="1701159D"/>
    <w:rsid w:val="17077EF9"/>
    <w:rsid w:val="1736587F"/>
    <w:rsid w:val="176A5846"/>
    <w:rsid w:val="184C1D4C"/>
    <w:rsid w:val="188A7263"/>
    <w:rsid w:val="18C20FA8"/>
    <w:rsid w:val="18CA12DC"/>
    <w:rsid w:val="18F8118C"/>
    <w:rsid w:val="19A53FB7"/>
    <w:rsid w:val="19DB26A5"/>
    <w:rsid w:val="19FA131C"/>
    <w:rsid w:val="1A1D0D3A"/>
    <w:rsid w:val="1A66155B"/>
    <w:rsid w:val="1A6E148E"/>
    <w:rsid w:val="1ACF506F"/>
    <w:rsid w:val="1AD9547F"/>
    <w:rsid w:val="1B4D2651"/>
    <w:rsid w:val="1B66607E"/>
    <w:rsid w:val="1BB42438"/>
    <w:rsid w:val="1BB66D1D"/>
    <w:rsid w:val="1BD77AD8"/>
    <w:rsid w:val="1BDD4CD0"/>
    <w:rsid w:val="1C070453"/>
    <w:rsid w:val="1C4E5A1B"/>
    <w:rsid w:val="1C925D64"/>
    <w:rsid w:val="1C984362"/>
    <w:rsid w:val="1C9B19A4"/>
    <w:rsid w:val="1CF77E61"/>
    <w:rsid w:val="1D0B5E49"/>
    <w:rsid w:val="1D611C76"/>
    <w:rsid w:val="1DD71AA7"/>
    <w:rsid w:val="1E0233F4"/>
    <w:rsid w:val="1ED41C72"/>
    <w:rsid w:val="1FDE70B6"/>
    <w:rsid w:val="2029492D"/>
    <w:rsid w:val="2030068F"/>
    <w:rsid w:val="20647602"/>
    <w:rsid w:val="20980B5A"/>
    <w:rsid w:val="21700375"/>
    <w:rsid w:val="217E5F56"/>
    <w:rsid w:val="21C43677"/>
    <w:rsid w:val="21EC3FA5"/>
    <w:rsid w:val="221C2019"/>
    <w:rsid w:val="222C53F7"/>
    <w:rsid w:val="226D64CF"/>
    <w:rsid w:val="22DA2ED2"/>
    <w:rsid w:val="22E73F43"/>
    <w:rsid w:val="232345F2"/>
    <w:rsid w:val="234B01B5"/>
    <w:rsid w:val="236471AD"/>
    <w:rsid w:val="23EE3DB5"/>
    <w:rsid w:val="23F15106"/>
    <w:rsid w:val="23F22DD8"/>
    <w:rsid w:val="24287DBD"/>
    <w:rsid w:val="24602142"/>
    <w:rsid w:val="24BC1E1C"/>
    <w:rsid w:val="24CE594B"/>
    <w:rsid w:val="25792403"/>
    <w:rsid w:val="258E03AA"/>
    <w:rsid w:val="259A4274"/>
    <w:rsid w:val="25AD2BA4"/>
    <w:rsid w:val="25B90096"/>
    <w:rsid w:val="25D02A8E"/>
    <w:rsid w:val="25D520AE"/>
    <w:rsid w:val="26103D41"/>
    <w:rsid w:val="261F59B7"/>
    <w:rsid w:val="26413193"/>
    <w:rsid w:val="26D158B1"/>
    <w:rsid w:val="26DC2F0E"/>
    <w:rsid w:val="26EC4C3F"/>
    <w:rsid w:val="26EE2087"/>
    <w:rsid w:val="271F52BE"/>
    <w:rsid w:val="27B45026"/>
    <w:rsid w:val="27B6261E"/>
    <w:rsid w:val="28150722"/>
    <w:rsid w:val="28180B55"/>
    <w:rsid w:val="28CB2E84"/>
    <w:rsid w:val="296F3094"/>
    <w:rsid w:val="297D790F"/>
    <w:rsid w:val="29BA7887"/>
    <w:rsid w:val="29D72BE6"/>
    <w:rsid w:val="29E22260"/>
    <w:rsid w:val="2A321881"/>
    <w:rsid w:val="2AAF19E0"/>
    <w:rsid w:val="2AAF58B8"/>
    <w:rsid w:val="2AD04015"/>
    <w:rsid w:val="2AFB4193"/>
    <w:rsid w:val="2B186EC3"/>
    <w:rsid w:val="2BC628A0"/>
    <w:rsid w:val="2C223CCD"/>
    <w:rsid w:val="2C343EB3"/>
    <w:rsid w:val="2C411885"/>
    <w:rsid w:val="2C5D3972"/>
    <w:rsid w:val="2CE80D90"/>
    <w:rsid w:val="2CEB4A0F"/>
    <w:rsid w:val="2CF359DC"/>
    <w:rsid w:val="2D543414"/>
    <w:rsid w:val="2D8D7A26"/>
    <w:rsid w:val="2DB86C2C"/>
    <w:rsid w:val="2E011840"/>
    <w:rsid w:val="2E1C2DEC"/>
    <w:rsid w:val="2EE86D07"/>
    <w:rsid w:val="2FA2624B"/>
    <w:rsid w:val="2FC06036"/>
    <w:rsid w:val="2FE04785"/>
    <w:rsid w:val="2FE6330A"/>
    <w:rsid w:val="303417C3"/>
    <w:rsid w:val="304E7164"/>
    <w:rsid w:val="306732B1"/>
    <w:rsid w:val="30A21C0B"/>
    <w:rsid w:val="30FB7EF8"/>
    <w:rsid w:val="31870817"/>
    <w:rsid w:val="31EF370A"/>
    <w:rsid w:val="31F369F1"/>
    <w:rsid w:val="332771A9"/>
    <w:rsid w:val="3371305C"/>
    <w:rsid w:val="33B45D0C"/>
    <w:rsid w:val="33DF240F"/>
    <w:rsid w:val="33ED1BEB"/>
    <w:rsid w:val="33EE5376"/>
    <w:rsid w:val="342875CF"/>
    <w:rsid w:val="34392AF0"/>
    <w:rsid w:val="343C0927"/>
    <w:rsid w:val="34502254"/>
    <w:rsid w:val="34677453"/>
    <w:rsid w:val="34774F9F"/>
    <w:rsid w:val="3493329A"/>
    <w:rsid w:val="34B578FF"/>
    <w:rsid w:val="354E350E"/>
    <w:rsid w:val="35903386"/>
    <w:rsid w:val="3602755C"/>
    <w:rsid w:val="36164230"/>
    <w:rsid w:val="36AF2BD4"/>
    <w:rsid w:val="36FA2BC8"/>
    <w:rsid w:val="372633C5"/>
    <w:rsid w:val="37547452"/>
    <w:rsid w:val="375FE134"/>
    <w:rsid w:val="37737914"/>
    <w:rsid w:val="377F0EB2"/>
    <w:rsid w:val="379E0EF7"/>
    <w:rsid w:val="37FFDF87"/>
    <w:rsid w:val="38D27CD8"/>
    <w:rsid w:val="38D84480"/>
    <w:rsid w:val="394A0EC1"/>
    <w:rsid w:val="397D1858"/>
    <w:rsid w:val="3A0E063E"/>
    <w:rsid w:val="3A6E3D80"/>
    <w:rsid w:val="3AA446F9"/>
    <w:rsid w:val="3B1E16CE"/>
    <w:rsid w:val="3B635FE6"/>
    <w:rsid w:val="3B772714"/>
    <w:rsid w:val="3B796F44"/>
    <w:rsid w:val="3B8F1A46"/>
    <w:rsid w:val="3BCB0BA5"/>
    <w:rsid w:val="3BE53078"/>
    <w:rsid w:val="3BF10D0E"/>
    <w:rsid w:val="3C17273B"/>
    <w:rsid w:val="3C340C34"/>
    <w:rsid w:val="3C6B21DA"/>
    <w:rsid w:val="3C6C3DBD"/>
    <w:rsid w:val="3C926AEF"/>
    <w:rsid w:val="3CB404E9"/>
    <w:rsid w:val="3CBC20D5"/>
    <w:rsid w:val="3D6E0A0A"/>
    <w:rsid w:val="3D8A39E5"/>
    <w:rsid w:val="3D98555B"/>
    <w:rsid w:val="3DD15D8C"/>
    <w:rsid w:val="3DD2519C"/>
    <w:rsid w:val="3DD964E0"/>
    <w:rsid w:val="3DF5035C"/>
    <w:rsid w:val="3E0456CC"/>
    <w:rsid w:val="3E2919ED"/>
    <w:rsid w:val="3E2D75BB"/>
    <w:rsid w:val="3E2E2A73"/>
    <w:rsid w:val="3E4A0BAC"/>
    <w:rsid w:val="3E6646EC"/>
    <w:rsid w:val="3EF115E1"/>
    <w:rsid w:val="3EF265FF"/>
    <w:rsid w:val="3F0D1EF3"/>
    <w:rsid w:val="3F154298"/>
    <w:rsid w:val="3F7A4632"/>
    <w:rsid w:val="3F863DE2"/>
    <w:rsid w:val="3FA24224"/>
    <w:rsid w:val="3FDC410F"/>
    <w:rsid w:val="3FDD0392"/>
    <w:rsid w:val="401D1683"/>
    <w:rsid w:val="40AC4624"/>
    <w:rsid w:val="41305B2F"/>
    <w:rsid w:val="4142473E"/>
    <w:rsid w:val="41630D4A"/>
    <w:rsid w:val="41C470D5"/>
    <w:rsid w:val="41DB0949"/>
    <w:rsid w:val="42084379"/>
    <w:rsid w:val="42347E76"/>
    <w:rsid w:val="42E365EE"/>
    <w:rsid w:val="42F9532C"/>
    <w:rsid w:val="433C5061"/>
    <w:rsid w:val="433C74B4"/>
    <w:rsid w:val="43646852"/>
    <w:rsid w:val="43E94328"/>
    <w:rsid w:val="443E52EC"/>
    <w:rsid w:val="44646FB4"/>
    <w:rsid w:val="44790BA7"/>
    <w:rsid w:val="44863BD4"/>
    <w:rsid w:val="44872FC9"/>
    <w:rsid w:val="44970113"/>
    <w:rsid w:val="44DF2C92"/>
    <w:rsid w:val="455B47D1"/>
    <w:rsid w:val="45D21C66"/>
    <w:rsid w:val="46446D7B"/>
    <w:rsid w:val="46547ECF"/>
    <w:rsid w:val="468F7B21"/>
    <w:rsid w:val="46D01754"/>
    <w:rsid w:val="46EE5832"/>
    <w:rsid w:val="474F3AF6"/>
    <w:rsid w:val="47940560"/>
    <w:rsid w:val="47950F52"/>
    <w:rsid w:val="4799100D"/>
    <w:rsid w:val="47C14A44"/>
    <w:rsid w:val="484361C3"/>
    <w:rsid w:val="48617F0B"/>
    <w:rsid w:val="48627FD5"/>
    <w:rsid w:val="487E1F7B"/>
    <w:rsid w:val="488010AB"/>
    <w:rsid w:val="48B6649B"/>
    <w:rsid w:val="49185107"/>
    <w:rsid w:val="49490CA3"/>
    <w:rsid w:val="4963159E"/>
    <w:rsid w:val="49854068"/>
    <w:rsid w:val="4A48444A"/>
    <w:rsid w:val="4AE97CBF"/>
    <w:rsid w:val="4C5D160E"/>
    <w:rsid w:val="4C6C1160"/>
    <w:rsid w:val="4C906FAA"/>
    <w:rsid w:val="4CC12BF9"/>
    <w:rsid w:val="4CC15954"/>
    <w:rsid w:val="4CC51A03"/>
    <w:rsid w:val="4CED6F73"/>
    <w:rsid w:val="4DA223BC"/>
    <w:rsid w:val="4DC5F89A"/>
    <w:rsid w:val="4F3DB0A9"/>
    <w:rsid w:val="4FFB808F"/>
    <w:rsid w:val="5016171D"/>
    <w:rsid w:val="50647E45"/>
    <w:rsid w:val="509727E6"/>
    <w:rsid w:val="509B2168"/>
    <w:rsid w:val="512027DB"/>
    <w:rsid w:val="517153CB"/>
    <w:rsid w:val="517B280A"/>
    <w:rsid w:val="518371C8"/>
    <w:rsid w:val="51B22394"/>
    <w:rsid w:val="52B05B2E"/>
    <w:rsid w:val="53113766"/>
    <w:rsid w:val="532C6B41"/>
    <w:rsid w:val="53472784"/>
    <w:rsid w:val="536C098A"/>
    <w:rsid w:val="53A83285"/>
    <w:rsid w:val="53B83ECA"/>
    <w:rsid w:val="53CB5025"/>
    <w:rsid w:val="53EA4817"/>
    <w:rsid w:val="54022656"/>
    <w:rsid w:val="540B3A4B"/>
    <w:rsid w:val="5442040D"/>
    <w:rsid w:val="5485345E"/>
    <w:rsid w:val="54E75C32"/>
    <w:rsid w:val="556D12CB"/>
    <w:rsid w:val="55B6531F"/>
    <w:rsid w:val="5649F0A1"/>
    <w:rsid w:val="5660442A"/>
    <w:rsid w:val="56A10420"/>
    <w:rsid w:val="56AC1799"/>
    <w:rsid w:val="56BB29EA"/>
    <w:rsid w:val="5726191F"/>
    <w:rsid w:val="57707D99"/>
    <w:rsid w:val="57AB35D9"/>
    <w:rsid w:val="57AB65D4"/>
    <w:rsid w:val="581129EF"/>
    <w:rsid w:val="584A7C25"/>
    <w:rsid w:val="5866141B"/>
    <w:rsid w:val="58774E1B"/>
    <w:rsid w:val="59832BE9"/>
    <w:rsid w:val="599C0E6D"/>
    <w:rsid w:val="59E56026"/>
    <w:rsid w:val="5A567607"/>
    <w:rsid w:val="5A86642E"/>
    <w:rsid w:val="5A9C6A9C"/>
    <w:rsid w:val="5AD73E3B"/>
    <w:rsid w:val="5AF01470"/>
    <w:rsid w:val="5B6C6DA2"/>
    <w:rsid w:val="5B8E086A"/>
    <w:rsid w:val="5B8F429A"/>
    <w:rsid w:val="5BB25A36"/>
    <w:rsid w:val="5BB97AB4"/>
    <w:rsid w:val="5BE76698"/>
    <w:rsid w:val="5BF44F90"/>
    <w:rsid w:val="5C0F51EF"/>
    <w:rsid w:val="5C55750B"/>
    <w:rsid w:val="5C74361F"/>
    <w:rsid w:val="5CDA6FFE"/>
    <w:rsid w:val="5D137698"/>
    <w:rsid w:val="5D243E27"/>
    <w:rsid w:val="5D2F247B"/>
    <w:rsid w:val="5D5B0138"/>
    <w:rsid w:val="5D652184"/>
    <w:rsid w:val="5D9205BD"/>
    <w:rsid w:val="5DB7066B"/>
    <w:rsid w:val="5DED7AB2"/>
    <w:rsid w:val="5E6D2B36"/>
    <w:rsid w:val="5EC369E4"/>
    <w:rsid w:val="5F680359"/>
    <w:rsid w:val="5F764580"/>
    <w:rsid w:val="5F865093"/>
    <w:rsid w:val="5F9A49C5"/>
    <w:rsid w:val="603315F8"/>
    <w:rsid w:val="612D34C7"/>
    <w:rsid w:val="61524620"/>
    <w:rsid w:val="61665F59"/>
    <w:rsid w:val="62223117"/>
    <w:rsid w:val="622D57CD"/>
    <w:rsid w:val="625911EA"/>
    <w:rsid w:val="627471CE"/>
    <w:rsid w:val="6297662A"/>
    <w:rsid w:val="62CD0900"/>
    <w:rsid w:val="63511D57"/>
    <w:rsid w:val="63D3A111"/>
    <w:rsid w:val="647851A9"/>
    <w:rsid w:val="64ED4544"/>
    <w:rsid w:val="6511334A"/>
    <w:rsid w:val="65BEBE14"/>
    <w:rsid w:val="662B0C34"/>
    <w:rsid w:val="66364E6D"/>
    <w:rsid w:val="665047E4"/>
    <w:rsid w:val="665A70FA"/>
    <w:rsid w:val="66B51E59"/>
    <w:rsid w:val="66C613E9"/>
    <w:rsid w:val="66C71196"/>
    <w:rsid w:val="670F7122"/>
    <w:rsid w:val="6755677A"/>
    <w:rsid w:val="67970C97"/>
    <w:rsid w:val="67F105D6"/>
    <w:rsid w:val="682A315E"/>
    <w:rsid w:val="688A1847"/>
    <w:rsid w:val="688A602A"/>
    <w:rsid w:val="68B903C3"/>
    <w:rsid w:val="690D143F"/>
    <w:rsid w:val="698B739D"/>
    <w:rsid w:val="699761C3"/>
    <w:rsid w:val="69CD26B6"/>
    <w:rsid w:val="69CF790C"/>
    <w:rsid w:val="69D8346D"/>
    <w:rsid w:val="6A9242F2"/>
    <w:rsid w:val="6A990E85"/>
    <w:rsid w:val="6AA455E4"/>
    <w:rsid w:val="6B213BD1"/>
    <w:rsid w:val="6B3B5A14"/>
    <w:rsid w:val="6C460131"/>
    <w:rsid w:val="6C501B8E"/>
    <w:rsid w:val="6C644F08"/>
    <w:rsid w:val="6C7D4B2E"/>
    <w:rsid w:val="6C84457E"/>
    <w:rsid w:val="6C883B68"/>
    <w:rsid w:val="6C98511F"/>
    <w:rsid w:val="6CAC0449"/>
    <w:rsid w:val="6CAE13F4"/>
    <w:rsid w:val="6CD67193"/>
    <w:rsid w:val="6CE86BDE"/>
    <w:rsid w:val="6D37E1D5"/>
    <w:rsid w:val="6D475D9B"/>
    <w:rsid w:val="6D493C12"/>
    <w:rsid w:val="6D77157D"/>
    <w:rsid w:val="6D8669D3"/>
    <w:rsid w:val="6D8E5DE6"/>
    <w:rsid w:val="6E215A23"/>
    <w:rsid w:val="6E7D4FE3"/>
    <w:rsid w:val="6EFE5E6B"/>
    <w:rsid w:val="6F207F70"/>
    <w:rsid w:val="6F327144"/>
    <w:rsid w:val="6F505AB4"/>
    <w:rsid w:val="6F8F64F8"/>
    <w:rsid w:val="7007389C"/>
    <w:rsid w:val="701C7365"/>
    <w:rsid w:val="70860F06"/>
    <w:rsid w:val="70F7521D"/>
    <w:rsid w:val="71221613"/>
    <w:rsid w:val="71296F90"/>
    <w:rsid w:val="71331EE5"/>
    <w:rsid w:val="71333783"/>
    <w:rsid w:val="7147655A"/>
    <w:rsid w:val="715068C6"/>
    <w:rsid w:val="7162464B"/>
    <w:rsid w:val="716965A9"/>
    <w:rsid w:val="71FB5955"/>
    <w:rsid w:val="726A5AEB"/>
    <w:rsid w:val="72D34AC9"/>
    <w:rsid w:val="738F21D4"/>
    <w:rsid w:val="73947883"/>
    <w:rsid w:val="73BC418E"/>
    <w:rsid w:val="73DB21E0"/>
    <w:rsid w:val="73E64CF7"/>
    <w:rsid w:val="73EE2518"/>
    <w:rsid w:val="73F461C8"/>
    <w:rsid w:val="741A3EF3"/>
    <w:rsid w:val="74DB7CB8"/>
    <w:rsid w:val="74DC1206"/>
    <w:rsid w:val="7504037F"/>
    <w:rsid w:val="75193A1C"/>
    <w:rsid w:val="752356A9"/>
    <w:rsid w:val="759742EA"/>
    <w:rsid w:val="762F258E"/>
    <w:rsid w:val="76451E47"/>
    <w:rsid w:val="7685323D"/>
    <w:rsid w:val="76BD1D37"/>
    <w:rsid w:val="76DB9434"/>
    <w:rsid w:val="76EFF479"/>
    <w:rsid w:val="770866DB"/>
    <w:rsid w:val="77523A5F"/>
    <w:rsid w:val="788E40B4"/>
    <w:rsid w:val="78A13368"/>
    <w:rsid w:val="78FF6BAE"/>
    <w:rsid w:val="7927556F"/>
    <w:rsid w:val="792E3438"/>
    <w:rsid w:val="794F177A"/>
    <w:rsid w:val="79612FC9"/>
    <w:rsid w:val="796A0DF3"/>
    <w:rsid w:val="79A124FE"/>
    <w:rsid w:val="79B01623"/>
    <w:rsid w:val="79B832A7"/>
    <w:rsid w:val="79C33DAE"/>
    <w:rsid w:val="7A401675"/>
    <w:rsid w:val="7AA045E2"/>
    <w:rsid w:val="7AD87FEB"/>
    <w:rsid w:val="7B2014A6"/>
    <w:rsid w:val="7B6C5615"/>
    <w:rsid w:val="7BCB77EE"/>
    <w:rsid w:val="7BDA1655"/>
    <w:rsid w:val="7BE66548"/>
    <w:rsid w:val="7BF662EE"/>
    <w:rsid w:val="7C1841EA"/>
    <w:rsid w:val="7C567B99"/>
    <w:rsid w:val="7C603EF2"/>
    <w:rsid w:val="7C8B6DF3"/>
    <w:rsid w:val="7CA93E82"/>
    <w:rsid w:val="7CBD4D8A"/>
    <w:rsid w:val="7CCB124A"/>
    <w:rsid w:val="7CFF02B7"/>
    <w:rsid w:val="7DC0660A"/>
    <w:rsid w:val="7DD70A37"/>
    <w:rsid w:val="7DD93A62"/>
    <w:rsid w:val="7DEB36BA"/>
    <w:rsid w:val="7E4FDF1D"/>
    <w:rsid w:val="7E527BC8"/>
    <w:rsid w:val="7E5D46A3"/>
    <w:rsid w:val="7E791262"/>
    <w:rsid w:val="7ECE11BB"/>
    <w:rsid w:val="7ED3494A"/>
    <w:rsid w:val="7F28419C"/>
    <w:rsid w:val="7F2C498C"/>
    <w:rsid w:val="7F2FAAFF"/>
    <w:rsid w:val="7FB40977"/>
    <w:rsid w:val="7FB646DC"/>
    <w:rsid w:val="7FD76DE2"/>
    <w:rsid w:val="7FEB498A"/>
    <w:rsid w:val="7FF7BBB9"/>
    <w:rsid w:val="7FFD8CC9"/>
    <w:rsid w:val="8F76B932"/>
    <w:rsid w:val="A4D2D87B"/>
    <w:rsid w:val="ADFF7498"/>
    <w:rsid w:val="AFBEED2B"/>
    <w:rsid w:val="AFFB8D58"/>
    <w:rsid w:val="BCFE1131"/>
    <w:rsid w:val="BDFD7364"/>
    <w:rsid w:val="BF5B75A1"/>
    <w:rsid w:val="C773FCE6"/>
    <w:rsid w:val="DADB446E"/>
    <w:rsid w:val="DDDF0650"/>
    <w:rsid w:val="DFFC8AE0"/>
    <w:rsid w:val="EDB3067F"/>
    <w:rsid w:val="EE7E32F6"/>
    <w:rsid w:val="EFD8A05F"/>
    <w:rsid w:val="F5FFDD45"/>
    <w:rsid w:val="F6B70E3C"/>
    <w:rsid w:val="F777D017"/>
    <w:rsid w:val="FDAFCA1F"/>
    <w:rsid w:val="FEEF9212"/>
    <w:rsid w:val="FEFBCF95"/>
    <w:rsid w:val="FF77F7EC"/>
    <w:rsid w:val="FFFF2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FF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2"/>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0"/>
    <w:pPr>
      <w:spacing w:after="120" w:afterLines="0" w:afterAutospacing="0"/>
    </w:pPr>
  </w:style>
  <w:style w:type="paragraph" w:styleId="4">
    <w:name w:val="Date"/>
    <w:basedOn w:val="1"/>
    <w:next w:val="1"/>
    <w:link w:val="17"/>
    <w:unhideWhenUsed/>
    <w:qFormat/>
    <w:uiPriority w:val="0"/>
    <w:pPr>
      <w:ind w:left="100" w:leftChars="2500"/>
    </w:pPr>
  </w:style>
  <w:style w:type="paragraph" w:styleId="5">
    <w:name w:val="Balloon Text"/>
    <w:basedOn w:val="1"/>
    <w:link w:val="18"/>
    <w:qFormat/>
    <w:uiPriority w:val="0"/>
    <w:rPr>
      <w:rFonts w:ascii="宋体" w:eastAsia="宋体"/>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qFormat/>
    <w:uiPriority w:val="0"/>
    <w:rPr>
      <w:b/>
    </w:rPr>
  </w:style>
  <w:style w:type="character" w:styleId="13">
    <w:name w:val="page number"/>
    <w:basedOn w:val="11"/>
    <w:unhideWhenUsed/>
    <w:qFormat/>
    <w:uiPriority w:val="0"/>
  </w:style>
  <w:style w:type="character" w:styleId="14">
    <w:name w:val="Hyperlink"/>
    <w:basedOn w:val="11"/>
    <w:semiHidden/>
    <w:unhideWhenUsed/>
    <w:qFormat/>
    <w:uiPriority w:val="0"/>
    <w:rPr>
      <w:color w:val="0000FF"/>
      <w:u w:val="single"/>
    </w:rPr>
  </w:style>
  <w:style w:type="character" w:customStyle="1" w:styleId="15">
    <w:name w:val="页眉 字符"/>
    <w:basedOn w:val="11"/>
    <w:link w:val="7"/>
    <w:qFormat/>
    <w:uiPriority w:val="0"/>
    <w:rPr>
      <w:kern w:val="2"/>
      <w:sz w:val="18"/>
      <w:szCs w:val="18"/>
    </w:rPr>
  </w:style>
  <w:style w:type="character" w:customStyle="1" w:styleId="16">
    <w:name w:val="页脚 字符"/>
    <w:basedOn w:val="11"/>
    <w:link w:val="6"/>
    <w:qFormat/>
    <w:uiPriority w:val="99"/>
    <w:rPr>
      <w:kern w:val="2"/>
      <w:sz w:val="18"/>
      <w:szCs w:val="18"/>
    </w:rPr>
  </w:style>
  <w:style w:type="character" w:customStyle="1" w:styleId="17">
    <w:name w:val="日期 字符"/>
    <w:basedOn w:val="11"/>
    <w:link w:val="4"/>
    <w:semiHidden/>
    <w:qFormat/>
    <w:uiPriority w:val="0"/>
    <w:rPr>
      <w:rFonts w:eastAsia="仿宋"/>
      <w:kern w:val="2"/>
      <w:sz w:val="32"/>
      <w:szCs w:val="22"/>
    </w:rPr>
  </w:style>
  <w:style w:type="character" w:customStyle="1" w:styleId="18">
    <w:name w:val="批注框文本 字符"/>
    <w:basedOn w:val="11"/>
    <w:link w:val="5"/>
    <w:qFormat/>
    <w:uiPriority w:val="0"/>
    <w:rPr>
      <w:rFonts w:ascii="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6940</Words>
  <Characters>7310</Characters>
  <Lines>11</Lines>
  <Paragraphs>3</Paragraphs>
  <TotalTime>1</TotalTime>
  <ScaleCrop>false</ScaleCrop>
  <LinksUpToDate>false</LinksUpToDate>
  <CharactersWithSpaces>7515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2020-04-25T10:07:00Z</dcterms:created>
  <dc:creator>Moz</dc:creator>
  <cp:lastModifiedBy>孙开敖</cp:lastModifiedBy>
  <cp:lastPrinted>2021-09-02T07:52:00Z</cp:lastPrinted>
  <dcterms:modified xsi:type="dcterms:W3CDTF">2022-11-10T14:37:30Z</dcterms:modified>
  <dc:title>_x0001_</dc:title>
  <cp:revision>269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1BDDCA99D69440E58FD1C0881802213E</vt:lpwstr>
  </property>
</Properties>
</file>