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jc w:val="center"/>
        <w:rPr>
          <w:rFonts w:ascii="宋体" w:hAnsi="宋体" w:cs="宋体"/>
          <w:b/>
          <w:bCs/>
          <w:sz w:val="36"/>
          <w:szCs w:val="36"/>
        </w:rPr>
      </w:pPr>
      <w:r>
        <w:rPr>
          <w:rFonts w:hint="eastAsia" w:ascii="黑体" w:hAnsi="黑体" w:eastAsia="黑体" w:cs="黑体"/>
          <w:b/>
          <w:bCs/>
          <w:sz w:val="32"/>
          <w:szCs w:val="32"/>
        </w:rPr>
        <w:t>拍卖公告</w:t>
      </w:r>
    </w:p>
    <w:p>
      <w:pPr>
        <w:spacing w:line="360" w:lineRule="auto"/>
        <w:ind w:firstLine="600" w:firstLineChars="200"/>
        <w:rPr>
          <w:rFonts w:ascii="仿宋" w:hAnsi="仿宋" w:eastAsia="仿宋" w:cs="仿宋"/>
          <w:sz w:val="30"/>
          <w:szCs w:val="30"/>
          <w:highlight w:val="none"/>
        </w:rPr>
      </w:pPr>
      <w:r>
        <w:rPr>
          <w:rFonts w:hint="eastAsia" w:ascii="仿宋" w:hAnsi="仿宋" w:eastAsia="仿宋" w:cs="仿宋"/>
          <w:sz w:val="30"/>
          <w:szCs w:val="30"/>
          <w:highlight w:val="none"/>
        </w:rPr>
        <w:t>厦门新阳奔马科技有限公司管理人</w:t>
      </w:r>
      <w:r>
        <w:rPr>
          <w:rFonts w:hint="eastAsia" w:ascii="仿宋" w:hAnsi="仿宋" w:eastAsia="仿宋" w:cs="仿宋"/>
          <w:sz w:val="30"/>
          <w:szCs w:val="30"/>
          <w:highlight w:val="none"/>
          <w:lang w:eastAsia="zh-Hans"/>
        </w:rPr>
        <w:t>（以下</w:t>
      </w:r>
      <w:r>
        <w:rPr>
          <w:rFonts w:hint="eastAsia" w:ascii="仿宋" w:hAnsi="仿宋" w:eastAsia="仿宋" w:cs="仿宋"/>
          <w:sz w:val="30"/>
          <w:szCs w:val="30"/>
          <w:highlight w:val="none"/>
        </w:rPr>
        <w:t>简称</w:t>
      </w:r>
      <w:r>
        <w:rPr>
          <w:rFonts w:hint="eastAsia" w:ascii="仿宋" w:hAnsi="仿宋" w:eastAsia="仿宋" w:cs="仿宋"/>
          <w:sz w:val="30"/>
          <w:szCs w:val="30"/>
          <w:highlight w:val="none"/>
          <w:lang w:eastAsia="zh-Hans"/>
        </w:rPr>
        <w:t>管理人）</w:t>
      </w:r>
      <w:r>
        <w:rPr>
          <w:rFonts w:hint="eastAsia" w:ascii="仿宋" w:hAnsi="仿宋" w:eastAsia="仿宋" w:cs="仿宋"/>
          <w:sz w:val="30"/>
          <w:szCs w:val="30"/>
          <w:highlight w:val="none"/>
        </w:rPr>
        <w:t>将于</w:t>
      </w:r>
      <w:r>
        <w:rPr>
          <w:rFonts w:ascii="仿宋" w:hAnsi="仿宋" w:eastAsia="仿宋" w:cs="仿宋"/>
          <w:sz w:val="30"/>
          <w:szCs w:val="30"/>
          <w:highlight w:val="none"/>
        </w:rPr>
        <w:t>2022</w:t>
      </w:r>
      <w:r>
        <w:rPr>
          <w:rFonts w:hint="eastAsia" w:ascii="仿宋" w:hAnsi="仿宋" w:eastAsia="仿宋" w:cs="仿宋"/>
          <w:sz w:val="30"/>
          <w:szCs w:val="30"/>
          <w:highlight w:val="none"/>
        </w:rPr>
        <w:t>年1</w:t>
      </w:r>
      <w:r>
        <w:rPr>
          <w:rFonts w:hint="default" w:ascii="仿宋" w:hAnsi="仿宋" w:eastAsia="仿宋" w:cs="仿宋"/>
          <w:sz w:val="30"/>
          <w:szCs w:val="30"/>
          <w:highlight w:val="none"/>
        </w:rPr>
        <w:t>2</w:t>
      </w:r>
      <w:r>
        <w:rPr>
          <w:rFonts w:hint="eastAsia" w:ascii="仿宋" w:hAnsi="仿宋" w:eastAsia="仿宋" w:cs="仿宋"/>
          <w:sz w:val="30"/>
          <w:szCs w:val="30"/>
          <w:highlight w:val="none"/>
        </w:rPr>
        <w:t>月</w:t>
      </w:r>
      <w:r>
        <w:rPr>
          <w:rFonts w:hint="default" w:ascii="仿宋" w:hAnsi="仿宋" w:eastAsia="仿宋" w:cs="仿宋"/>
          <w:sz w:val="30"/>
          <w:szCs w:val="30"/>
          <w:highlight w:val="none"/>
        </w:rPr>
        <w:t>12</w:t>
      </w:r>
      <w:r>
        <w:rPr>
          <w:rFonts w:hint="eastAsia" w:ascii="仿宋" w:hAnsi="仿宋" w:eastAsia="仿宋" w:cs="仿宋"/>
          <w:sz w:val="30"/>
          <w:szCs w:val="30"/>
          <w:highlight w:val="none"/>
        </w:rPr>
        <w:t>日</w:t>
      </w:r>
      <w:r>
        <w:rPr>
          <w:rFonts w:ascii="仿宋" w:hAnsi="仿宋" w:eastAsia="仿宋" w:cs="仿宋"/>
          <w:sz w:val="30"/>
          <w:szCs w:val="30"/>
          <w:highlight w:val="none"/>
        </w:rPr>
        <w:t>10</w:t>
      </w:r>
      <w:r>
        <w:rPr>
          <w:rFonts w:hint="eastAsia" w:ascii="仿宋" w:hAnsi="仿宋" w:eastAsia="仿宋" w:cs="仿宋"/>
          <w:sz w:val="30"/>
          <w:szCs w:val="30"/>
          <w:highlight w:val="none"/>
        </w:rPr>
        <w:t>时至</w:t>
      </w:r>
      <w:r>
        <w:rPr>
          <w:rFonts w:ascii="仿宋" w:hAnsi="仿宋" w:eastAsia="仿宋" w:cs="仿宋"/>
          <w:sz w:val="30"/>
          <w:szCs w:val="30"/>
          <w:highlight w:val="none"/>
        </w:rPr>
        <w:t>2022</w:t>
      </w:r>
      <w:r>
        <w:rPr>
          <w:rFonts w:hint="eastAsia" w:ascii="仿宋" w:hAnsi="仿宋" w:eastAsia="仿宋" w:cs="仿宋"/>
          <w:sz w:val="30"/>
          <w:szCs w:val="30"/>
          <w:highlight w:val="none"/>
        </w:rPr>
        <w:t>年1</w:t>
      </w:r>
      <w:r>
        <w:rPr>
          <w:rFonts w:hint="default" w:ascii="仿宋" w:hAnsi="仿宋" w:eastAsia="仿宋" w:cs="仿宋"/>
          <w:sz w:val="30"/>
          <w:szCs w:val="30"/>
          <w:highlight w:val="none"/>
        </w:rPr>
        <w:t>2</w:t>
      </w:r>
      <w:r>
        <w:rPr>
          <w:rFonts w:hint="eastAsia" w:ascii="仿宋" w:hAnsi="仿宋" w:eastAsia="仿宋" w:cs="仿宋"/>
          <w:sz w:val="30"/>
          <w:szCs w:val="30"/>
          <w:highlight w:val="none"/>
        </w:rPr>
        <w:t>月</w:t>
      </w:r>
      <w:r>
        <w:rPr>
          <w:rFonts w:hint="default" w:ascii="仿宋" w:hAnsi="仿宋" w:eastAsia="仿宋" w:cs="仿宋"/>
          <w:sz w:val="30"/>
          <w:szCs w:val="30"/>
          <w:highlight w:val="none"/>
        </w:rPr>
        <w:t>13</w:t>
      </w:r>
      <w:r>
        <w:rPr>
          <w:rFonts w:hint="eastAsia" w:ascii="仿宋" w:hAnsi="仿宋" w:eastAsia="仿宋" w:cs="仿宋"/>
          <w:sz w:val="30"/>
          <w:szCs w:val="30"/>
          <w:highlight w:val="none"/>
        </w:rPr>
        <w:t>日</w:t>
      </w:r>
      <w:r>
        <w:rPr>
          <w:rFonts w:ascii="仿宋" w:hAnsi="仿宋" w:eastAsia="仿宋" w:cs="仿宋"/>
          <w:sz w:val="30"/>
          <w:szCs w:val="30"/>
          <w:highlight w:val="none"/>
        </w:rPr>
        <w:t>10</w:t>
      </w:r>
      <w:r>
        <w:rPr>
          <w:rFonts w:hint="eastAsia" w:ascii="仿宋" w:hAnsi="仿宋" w:eastAsia="仿宋" w:cs="仿宋"/>
          <w:sz w:val="30"/>
          <w:szCs w:val="30"/>
          <w:highlight w:val="none"/>
        </w:rPr>
        <w:t>时止（</w:t>
      </w:r>
      <w:r>
        <w:rPr>
          <w:rFonts w:hint="eastAsia" w:ascii="仿宋" w:hAnsi="仿宋" w:eastAsia="仿宋" w:cs="仿宋"/>
          <w:sz w:val="30"/>
          <w:szCs w:val="30"/>
          <w:highlight w:val="none"/>
          <w:lang w:eastAsia="zh-Hans"/>
        </w:rPr>
        <w:t>延时顺延</w:t>
      </w:r>
      <w:r>
        <w:rPr>
          <w:rFonts w:hint="eastAsia" w:ascii="仿宋" w:hAnsi="仿宋" w:eastAsia="仿宋" w:cs="仿宋"/>
          <w:sz w:val="30"/>
          <w:szCs w:val="30"/>
          <w:highlight w:val="none"/>
        </w:rPr>
        <w:t>）在京东拍卖平台（处置单位：厦门新阳奔马科技有限公司管理人</w:t>
      </w: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rPr>
        <w:t>监督单位：厦门市中级人民法院</w:t>
      </w: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rPr>
        <w:t>网址：</w:t>
      </w:r>
      <w:r>
        <w:rPr>
          <w:rFonts w:ascii="仿宋" w:hAnsi="仿宋" w:eastAsia="仿宋" w:cs="仿宋"/>
          <w:sz w:val="30"/>
          <w:szCs w:val="30"/>
          <w:highlight w:val="none"/>
        </w:rPr>
        <w:t>https://auction.jd.com/bankrupt.html）进行公开拍卖活动，现公告如下：</w:t>
      </w:r>
    </w:p>
    <w:p>
      <w:pPr>
        <w:spacing w:line="360" w:lineRule="auto"/>
        <w:ind w:firstLine="600" w:firstLineChars="200"/>
        <w:rPr>
          <w:rFonts w:ascii="仿宋" w:hAnsi="仿宋" w:eastAsia="仿宋" w:cs="仿宋"/>
          <w:sz w:val="30"/>
          <w:szCs w:val="30"/>
          <w:highlight w:val="none"/>
        </w:rPr>
      </w:pPr>
    </w:p>
    <w:p>
      <w:pPr>
        <w:numPr>
          <w:ilvl w:val="0"/>
          <w:numId w:val="1"/>
        </w:numPr>
        <w:spacing w:line="360" w:lineRule="auto"/>
        <w:ind w:firstLine="602" w:firstLineChars="200"/>
        <w:jc w:val="left"/>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拍卖标的及价格</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highlight w:val="none"/>
          <w:lang w:eastAsia="zh-Hans"/>
        </w:rPr>
        <w:t>拍卖标的：</w:t>
      </w:r>
      <w:bookmarkStart w:id="0" w:name="_Hlk93324398"/>
      <w:r>
        <w:rPr>
          <w:rFonts w:hint="eastAsia" w:ascii="仿宋" w:hAnsi="仿宋" w:eastAsia="仿宋" w:cs="仿宋"/>
          <w:sz w:val="30"/>
          <w:szCs w:val="30"/>
          <w:highlight w:val="none"/>
        </w:rPr>
        <w:t>厦门新阳奔马科技有限公司</w:t>
      </w:r>
      <w:r>
        <w:rPr>
          <w:rFonts w:hint="eastAsia" w:ascii="仿宋" w:hAnsi="仿宋" w:eastAsia="仿宋" w:cs="仿宋"/>
          <w:sz w:val="30"/>
          <w:szCs w:val="30"/>
        </w:rPr>
        <w:t>对外享有的应收债权，具体明细详见下表：</w:t>
      </w:r>
    </w:p>
    <w:tbl>
      <w:tblPr>
        <w:tblStyle w:val="8"/>
        <w:tblpPr w:leftFromText="180" w:rightFromText="180" w:vertAnchor="text" w:horzAnchor="page" w:tblpXSpec="center" w:tblpY="616"/>
        <w:tblOverlap w:val="never"/>
        <w:tblW w:w="8070" w:type="dxa"/>
        <w:tblInd w:w="0" w:type="dxa"/>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91"/>
        <w:gridCol w:w="1384"/>
        <w:gridCol w:w="3118"/>
        <w:gridCol w:w="1701"/>
        <w:gridCol w:w="1276"/>
      </w:tblGrid>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587" w:hRule="atLeast"/>
          <w:tblHeader/>
        </w:trPr>
        <w:tc>
          <w:tcPr>
            <w:tcW w:w="591"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kern w:val="0"/>
                <w:sz w:val="22"/>
                <w:szCs w:val="22"/>
                <w:lang w:bidi="ar"/>
              </w:rPr>
              <w:t>序号</w:t>
            </w:r>
          </w:p>
        </w:tc>
        <w:tc>
          <w:tcPr>
            <w:tcW w:w="1384"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sz w:val="22"/>
                <w:szCs w:val="22"/>
              </w:rPr>
              <w:t>债权属性</w:t>
            </w:r>
          </w:p>
        </w:tc>
        <w:tc>
          <w:tcPr>
            <w:tcW w:w="3118"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sz w:val="22"/>
                <w:szCs w:val="22"/>
              </w:rPr>
              <w:t>应收主体</w:t>
            </w:r>
          </w:p>
        </w:tc>
        <w:tc>
          <w:tcPr>
            <w:tcW w:w="1701"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sz w:val="22"/>
                <w:szCs w:val="22"/>
              </w:rPr>
              <w:t>审计清查账面值（元）</w:t>
            </w:r>
          </w:p>
        </w:tc>
        <w:tc>
          <w:tcPr>
            <w:tcW w:w="1276" w:type="dxa"/>
            <w:shd w:val="clear" w:color="auto" w:fill="auto"/>
            <w:noWrap/>
            <w:vAlign w:val="center"/>
          </w:tcPr>
          <w:p>
            <w:pPr>
              <w:widowControl/>
              <w:spacing w:line="240" w:lineRule="atLeast"/>
              <w:jc w:val="center"/>
              <w:textAlignment w:val="center"/>
              <w:rPr>
                <w:rFonts w:ascii="宋体" w:hAnsi="宋体" w:cs="DengXian"/>
                <w:b/>
                <w:bCs/>
                <w:sz w:val="22"/>
                <w:szCs w:val="22"/>
              </w:rPr>
            </w:pPr>
            <w:r>
              <w:rPr>
                <w:rFonts w:hint="eastAsia" w:ascii="宋体" w:hAnsi="宋体" w:cs="DengXian"/>
                <w:b/>
                <w:bCs/>
                <w:kern w:val="0"/>
                <w:sz w:val="22"/>
                <w:szCs w:val="22"/>
                <w:lang w:bidi="ar"/>
              </w:rPr>
              <w:t>佐证资料</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1</w:t>
            </w:r>
          </w:p>
        </w:tc>
        <w:tc>
          <w:tcPr>
            <w:tcW w:w="1384"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上海磐初实业有限公司</w:t>
            </w:r>
          </w:p>
        </w:tc>
        <w:tc>
          <w:tcPr>
            <w:tcW w:w="1701" w:type="dxa"/>
            <w:shd w:val="clear" w:color="auto" w:fill="auto"/>
            <w:noWrap/>
            <w:vAlign w:val="center"/>
          </w:tcPr>
          <w:p>
            <w:pPr>
              <w:widowControl/>
              <w:spacing w:line="240" w:lineRule="atLeast"/>
              <w:jc w:val="right"/>
              <w:textAlignment w:val="bottom"/>
              <w:rPr>
                <w:rFonts w:ascii="宋体" w:hAnsi="宋体" w:cs="DengXian"/>
                <w:kern w:val="0"/>
                <w:sz w:val="22"/>
                <w:szCs w:val="22"/>
                <w:lang w:bidi="ar"/>
              </w:rPr>
            </w:pPr>
            <w:r>
              <w:rPr>
                <w:rFonts w:ascii="宋体" w:hAnsi="宋体" w:cs="Arial"/>
                <w:kern w:val="0"/>
                <w:sz w:val="22"/>
                <w:szCs w:val="22"/>
                <w:lang w:bidi="ar"/>
              </w:rPr>
              <w:t>16,400.00</w:t>
            </w:r>
          </w:p>
        </w:tc>
        <w:tc>
          <w:tcPr>
            <w:tcW w:w="1276"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明细账、银行回单、发票</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hint="eastAsia" w:ascii="宋体" w:hAnsi="宋体" w:cs="DengXian"/>
                <w:kern w:val="0"/>
                <w:sz w:val="22"/>
                <w:szCs w:val="22"/>
                <w:lang w:bidi="ar"/>
              </w:rPr>
              <w:t>2</w:t>
            </w:r>
          </w:p>
        </w:tc>
        <w:tc>
          <w:tcPr>
            <w:tcW w:w="1384"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吕祥泰</w:t>
            </w:r>
          </w:p>
        </w:tc>
        <w:tc>
          <w:tcPr>
            <w:tcW w:w="1701" w:type="dxa"/>
            <w:shd w:val="clear" w:color="auto" w:fill="auto"/>
            <w:noWrap/>
            <w:vAlign w:val="center"/>
          </w:tcPr>
          <w:p>
            <w:pPr>
              <w:widowControl/>
              <w:spacing w:line="240" w:lineRule="atLeast"/>
              <w:jc w:val="right"/>
              <w:textAlignment w:val="bottom"/>
              <w:rPr>
                <w:rFonts w:ascii="宋体" w:hAnsi="宋体" w:cs="DengXian"/>
                <w:kern w:val="0"/>
                <w:sz w:val="22"/>
                <w:szCs w:val="22"/>
                <w:lang w:bidi="ar"/>
              </w:rPr>
            </w:pPr>
            <w:r>
              <w:rPr>
                <w:rFonts w:ascii="宋体" w:hAnsi="宋体" w:cs="Arial"/>
                <w:kern w:val="0"/>
                <w:sz w:val="22"/>
                <w:szCs w:val="22"/>
                <w:lang w:bidi="ar"/>
              </w:rPr>
              <w:t>124,400.00</w:t>
            </w:r>
          </w:p>
        </w:tc>
        <w:tc>
          <w:tcPr>
            <w:tcW w:w="1276"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ascii="宋体" w:hAnsi="宋体" w:cs="Arial"/>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佳廷昌有限公司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81,695.62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伟诠电子股份有限公司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41,686.63</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厦门汇科电子有限公司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768.87</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6</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厦门市鑫海铭电子有限公司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6,328.25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7</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厦门盈瑞丰电子科技有限公司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11,902.92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安费诺电子装配（厦门）有限公司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1,169.05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雅迅网络股份有限公司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18,019.12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厦门安氏兄弟科技有限公司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4,092.53</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厦门瑞忆科技有限公司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34,373.39</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厦门普瑞特科技有限公司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0.09</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厦门汉纳森汽车电子有限公司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1,260.00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厦门誉诚科威安全技术开发有限公司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43.35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厦门市芯阳科技有限公司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191.87</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6</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CHAMP FOCUS LIMITED</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7,104,693.21</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7</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厦门信华塑胶企业有限公司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3,900.00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巨达国际股份有限公司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79,080.57</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1</w:t>
            </w:r>
            <w:r>
              <w:rPr>
                <w:rFonts w:ascii="宋体" w:hAnsi="宋体" w:cs="DengXian"/>
                <w:kern w:val="0"/>
                <w:sz w:val="22"/>
                <w:szCs w:val="22"/>
                <w:lang w:bidi="ar"/>
              </w:rPr>
              <w:t>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厦门百利达设计装饰工程有限公司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28,085.00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2</w:t>
            </w:r>
            <w:r>
              <w:rPr>
                <w:rFonts w:ascii="宋体" w:hAnsi="宋体" w:cs="DengXian"/>
                <w:sz w:val="22"/>
                <w:szCs w:val="22"/>
              </w:rPr>
              <w:t>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开发晶照明（厦门）有限公司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91.11</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2</w:t>
            </w:r>
            <w:r>
              <w:rPr>
                <w:rFonts w:ascii="宋体" w:hAnsi="宋体" w:cs="DengXian"/>
                <w:sz w:val="22"/>
                <w:szCs w:val="22"/>
              </w:rPr>
              <w:t>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厦门五湖电子有限公司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30,700.00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2</w:t>
            </w:r>
            <w:r>
              <w:rPr>
                <w:rFonts w:ascii="宋体" w:hAnsi="宋体" w:cs="DengXian"/>
                <w:sz w:val="22"/>
                <w:szCs w:val="22"/>
              </w:rPr>
              <w:t>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漳州灿坤实业有限公司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600.00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sz w:val="22"/>
                <w:szCs w:val="22"/>
              </w:rPr>
              <w:t>2</w:t>
            </w:r>
            <w:r>
              <w:rPr>
                <w:rFonts w:ascii="宋体" w:hAnsi="宋体" w:cs="DengXian"/>
                <w:sz w:val="22"/>
                <w:szCs w:val="22"/>
              </w:rPr>
              <w:t>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SYTECH NTERNATIONAL CO.,LTD</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131,276.88</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eastAsia" w:ascii="宋体" w:hAnsi="宋体" w:cs="DengXian"/>
                <w:sz w:val="22"/>
                <w:szCs w:val="22"/>
              </w:rPr>
              <w:t>2</w:t>
            </w:r>
            <w:r>
              <w:rPr>
                <w:rFonts w:hint="default" w:ascii="宋体" w:hAnsi="宋体" w:cs="DengXian"/>
                <w:sz w:val="22"/>
                <w:szCs w:val="22"/>
              </w:rPr>
              <w:t>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EASTERN SINO ENTERPRISE LIMITED</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4,129,190.25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eastAsia" w:ascii="宋体" w:hAnsi="宋体" w:cs="DengXian"/>
                <w:sz w:val="22"/>
                <w:szCs w:val="22"/>
              </w:rPr>
              <w:t>2</w:t>
            </w:r>
            <w:r>
              <w:rPr>
                <w:rFonts w:hint="default" w:ascii="宋体" w:hAnsi="宋体" w:cs="DengXian"/>
                <w:sz w:val="22"/>
                <w:szCs w:val="22"/>
              </w:rPr>
              <w:t>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安徽三安科技有限公司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9,624.54</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26</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崔凤花</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38,537.37</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27</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邱进展</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21,000.00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28</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吴振花</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26,600.00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29</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邱跃明</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8,000.00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30</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王碧惠</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5,100.00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应收账款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Smart Electric LLC.</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102,236.48</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黄文烈</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3,217,040.35</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33</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郑天福</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31,200.00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34</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郑天福</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74,900.00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35</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郑天福</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10,000.00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36</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陈享辉</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163,000.00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37</w:t>
            </w:r>
          </w:p>
        </w:tc>
        <w:tc>
          <w:tcPr>
            <w:tcW w:w="1384"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郑天福</w:t>
            </w:r>
          </w:p>
        </w:tc>
        <w:tc>
          <w:tcPr>
            <w:tcW w:w="1701" w:type="dxa"/>
            <w:shd w:val="clear" w:color="auto" w:fill="auto"/>
            <w:noWrap/>
            <w:vAlign w:val="center"/>
          </w:tcPr>
          <w:p>
            <w:pPr>
              <w:widowControl/>
              <w:spacing w:line="240" w:lineRule="atLeast"/>
              <w:jc w:val="right"/>
              <w:textAlignment w:val="bottom"/>
              <w:rPr>
                <w:rFonts w:hint="eastAsia" w:ascii="宋体" w:hAnsi="宋体" w:cs="DengXian"/>
                <w:kern w:val="0"/>
                <w:sz w:val="22"/>
                <w:szCs w:val="22"/>
                <w:lang w:bidi="ar"/>
              </w:rPr>
            </w:pPr>
            <w:r>
              <w:rPr>
                <w:rFonts w:hint="eastAsia" w:ascii="宋体" w:hAnsi="宋体" w:cs="DengXian"/>
                <w:kern w:val="0"/>
                <w:sz w:val="22"/>
                <w:szCs w:val="22"/>
                <w:lang w:bidi="ar"/>
              </w:rPr>
              <w:t>31,200.00</w:t>
            </w:r>
          </w:p>
        </w:tc>
        <w:tc>
          <w:tcPr>
            <w:tcW w:w="1276" w:type="dxa"/>
            <w:shd w:val="clear" w:color="auto" w:fill="auto"/>
            <w:noWrap/>
            <w:vAlign w:val="center"/>
          </w:tcPr>
          <w:p>
            <w:pPr>
              <w:widowControl/>
              <w:spacing w:line="240" w:lineRule="atLeast"/>
              <w:jc w:val="center"/>
              <w:textAlignment w:val="bottom"/>
              <w:rPr>
                <w:rFonts w:hint="eastAsia" w:ascii="宋体" w:hAnsi="宋体" w:cs="DengXian"/>
                <w:kern w:val="0"/>
                <w:sz w:val="22"/>
                <w:szCs w:val="22"/>
                <w:lang w:bidi="ar"/>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其他应收款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安徽三安科技有限公司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60,000.00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明细账、付款审批单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39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厦门高泰自动化科技有限公司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2,500.00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会昌小山鑫龙锡制品有限公司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52,148.72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明细账、银行回单、发票</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厦门晶晟宇电子有限公司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8,019.92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福建建威发机电设备工程有限公司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109,000.00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普科贸易（深圳）有限公司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15,000.00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厦门锐兴达工贸有限公司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51,114.00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厦门市双飞人塑胶有限公司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7,000.00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46</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万尔（厦门）科技有限公司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47</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东莞市万江科维电子仪器经营部</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8,310.00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厦门鑫贝电子有限公司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100,820.00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49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厦门鑫恒欣工贸有限公司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4,144.80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厦门祎辉塑胶制品有限公司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6,197.44</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厦门谊高电子科技有限公司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22,422.96</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明细账、银行回单</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厦门羽康机电设备有限公司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4,955.00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53</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中山市曜宇照明灯饰有限公司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12,575.56</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54</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厦门昭丞电子科技有限公司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500.00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55</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东莞市正德连接器有限公司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1,887.60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56</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镇江新区久久电子散热器厂</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1,140.00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57</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深圳市中天远电子经营部</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949.91</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58</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厦门市及时雨焊料有限公司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4,863.68</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59</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厦门市英泰尔工贸有限公司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1,073.00</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60</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东莞市常平昆凌电子配件店</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1,128.21</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4"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61</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惠州市汇强科技有限公司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1,244.32</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8" w:hRule="atLeast"/>
        </w:trPr>
        <w:tc>
          <w:tcPr>
            <w:tcW w:w="591" w:type="dxa"/>
            <w:shd w:val="clear" w:color="auto" w:fill="auto"/>
            <w:noWrap/>
            <w:vAlign w:val="center"/>
          </w:tcPr>
          <w:p>
            <w:pPr>
              <w:widowControl/>
              <w:spacing w:line="240" w:lineRule="atLeast"/>
              <w:jc w:val="center"/>
              <w:textAlignment w:val="bottom"/>
              <w:rPr>
                <w:rFonts w:hint="default" w:ascii="宋体" w:hAnsi="宋体" w:cs="DengXian"/>
                <w:sz w:val="22"/>
                <w:szCs w:val="22"/>
              </w:rPr>
            </w:pPr>
            <w:r>
              <w:rPr>
                <w:rFonts w:hint="default" w:ascii="宋体" w:hAnsi="宋体" w:cs="DengXian"/>
                <w:sz w:val="22"/>
                <w:szCs w:val="22"/>
              </w:rPr>
              <w:t>62</w:t>
            </w:r>
          </w:p>
        </w:tc>
        <w:tc>
          <w:tcPr>
            <w:tcW w:w="1384"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预付账款</w:t>
            </w:r>
          </w:p>
        </w:tc>
        <w:tc>
          <w:tcPr>
            <w:tcW w:w="3118"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厦门昊宇微电子科技有限公司</w:t>
            </w:r>
          </w:p>
        </w:tc>
        <w:tc>
          <w:tcPr>
            <w:tcW w:w="1701" w:type="dxa"/>
            <w:shd w:val="clear" w:color="auto" w:fill="auto"/>
            <w:noWrap/>
            <w:vAlign w:val="center"/>
          </w:tcPr>
          <w:p>
            <w:pPr>
              <w:widowControl/>
              <w:spacing w:line="240" w:lineRule="atLeast"/>
              <w:jc w:val="right"/>
              <w:textAlignment w:val="bottom"/>
              <w:rPr>
                <w:rFonts w:ascii="宋体" w:hAnsi="宋体" w:cs="DengXian"/>
                <w:sz w:val="22"/>
                <w:szCs w:val="22"/>
              </w:rPr>
            </w:pPr>
            <w:r>
              <w:rPr>
                <w:rFonts w:hint="eastAsia" w:ascii="宋体" w:hAnsi="宋体" w:cs="DengXian"/>
                <w:kern w:val="0"/>
                <w:sz w:val="22"/>
                <w:szCs w:val="22"/>
                <w:lang w:bidi="ar"/>
              </w:rPr>
              <w:t>7,379.49</w:t>
            </w:r>
          </w:p>
        </w:tc>
        <w:tc>
          <w:tcPr>
            <w:tcW w:w="1276" w:type="dxa"/>
            <w:shd w:val="clear" w:color="auto" w:fill="auto"/>
            <w:noWrap/>
            <w:vAlign w:val="center"/>
          </w:tcPr>
          <w:p>
            <w:pPr>
              <w:widowControl/>
              <w:spacing w:line="240" w:lineRule="atLeast"/>
              <w:jc w:val="center"/>
              <w:textAlignment w:val="bottom"/>
              <w:rPr>
                <w:rFonts w:ascii="宋体" w:hAnsi="宋体" w:cs="DengXian"/>
                <w:sz w:val="22"/>
                <w:szCs w:val="22"/>
              </w:rPr>
            </w:pPr>
            <w:r>
              <w:rPr>
                <w:rFonts w:hint="eastAsia" w:ascii="宋体" w:hAnsi="宋体" w:cs="DengXian"/>
                <w:kern w:val="0"/>
                <w:sz w:val="22"/>
                <w:szCs w:val="22"/>
                <w:lang w:bidi="ar"/>
              </w:rPr>
              <w:t>明细账</w:t>
            </w:r>
          </w:p>
        </w:tc>
      </w:tr>
      <w:tr>
        <w:tblPrEx>
          <w:tblBorders>
            <w:top w:val="single" w:color="000000" w:sz="8" w:space="0"/>
            <w:left w:val="single" w:color="000000" w:sz="8" w:space="0"/>
            <w:bottom w:val="single" w:color="000000" w:sz="4" w:space="0"/>
            <w:right w:val="single" w:color="000000" w:sz="4" w:space="0"/>
            <w:insideH w:val="single" w:color="000000" w:sz="4" w:space="0"/>
            <w:insideV w:val="single" w:color="000000" w:sz="4" w:space="0"/>
          </w:tblBorders>
        </w:tblPrEx>
        <w:trPr>
          <w:trHeight w:val="298" w:hRule="atLeast"/>
        </w:trPr>
        <w:tc>
          <w:tcPr>
            <w:tcW w:w="5093" w:type="dxa"/>
            <w:gridSpan w:val="3"/>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r>
              <w:rPr>
                <w:rFonts w:hint="eastAsia" w:ascii="宋体" w:hAnsi="宋体" w:cs="DengXian"/>
                <w:kern w:val="0"/>
                <w:sz w:val="22"/>
                <w:szCs w:val="22"/>
                <w:lang w:bidi="ar"/>
              </w:rPr>
              <w:t>合计</w:t>
            </w:r>
          </w:p>
        </w:tc>
        <w:tc>
          <w:tcPr>
            <w:tcW w:w="1701" w:type="dxa"/>
            <w:shd w:val="clear" w:color="auto" w:fill="auto"/>
            <w:noWrap/>
            <w:vAlign w:val="center"/>
          </w:tcPr>
          <w:p>
            <w:pPr>
              <w:widowControl/>
              <w:spacing w:line="240" w:lineRule="atLeast"/>
              <w:jc w:val="right"/>
              <w:textAlignment w:val="bottom"/>
              <w:rPr>
                <w:rFonts w:ascii="宋体" w:hAnsi="宋体" w:cs="DengXian"/>
                <w:kern w:val="0"/>
                <w:sz w:val="22"/>
                <w:szCs w:val="22"/>
                <w:lang w:bidi="ar"/>
              </w:rPr>
            </w:pPr>
            <w:r>
              <w:rPr>
                <w:rFonts w:ascii="宋体" w:hAnsi="宋体" w:cs="DengXian"/>
                <w:kern w:val="0"/>
                <w:sz w:val="22"/>
                <w:szCs w:val="22"/>
                <w:lang w:bidi="ar"/>
              </w:rPr>
              <w:fldChar w:fldCharType="begin"/>
            </w:r>
            <w:r>
              <w:rPr>
                <w:rFonts w:ascii="宋体" w:hAnsi="宋体" w:cs="DengXian"/>
                <w:kern w:val="0"/>
                <w:sz w:val="22"/>
                <w:szCs w:val="22"/>
                <w:lang w:bidi="ar"/>
              </w:rPr>
              <w:instrText xml:space="preserve"> =SUM(ABOVE) </w:instrText>
            </w:r>
            <w:r>
              <w:rPr>
                <w:rFonts w:ascii="宋体" w:hAnsi="宋体" w:cs="DengXian"/>
                <w:kern w:val="0"/>
                <w:sz w:val="22"/>
                <w:szCs w:val="22"/>
                <w:lang w:bidi="ar"/>
              </w:rPr>
              <w:fldChar w:fldCharType="separate"/>
            </w:r>
            <w:r>
              <w:rPr>
                <w:rFonts w:ascii="宋体" w:hAnsi="宋体" w:cs="DengXian"/>
                <w:kern w:val="0"/>
                <w:sz w:val="22"/>
                <w:szCs w:val="22"/>
                <w:lang w:bidi="ar"/>
              </w:rPr>
              <w:t>16,073,862.06</w:t>
            </w:r>
            <w:r>
              <w:rPr>
                <w:rFonts w:ascii="宋体" w:hAnsi="宋体" w:cs="DengXian"/>
                <w:kern w:val="0"/>
                <w:sz w:val="22"/>
                <w:szCs w:val="22"/>
                <w:lang w:bidi="ar"/>
              </w:rPr>
              <w:fldChar w:fldCharType="end"/>
            </w:r>
          </w:p>
        </w:tc>
        <w:tc>
          <w:tcPr>
            <w:tcW w:w="1276" w:type="dxa"/>
            <w:shd w:val="clear" w:color="auto" w:fill="auto"/>
            <w:noWrap/>
            <w:vAlign w:val="center"/>
          </w:tcPr>
          <w:p>
            <w:pPr>
              <w:widowControl/>
              <w:spacing w:line="240" w:lineRule="atLeast"/>
              <w:jc w:val="center"/>
              <w:textAlignment w:val="bottom"/>
              <w:rPr>
                <w:rFonts w:ascii="宋体" w:hAnsi="宋体" w:cs="DengXian"/>
                <w:kern w:val="0"/>
                <w:sz w:val="22"/>
                <w:szCs w:val="22"/>
                <w:lang w:bidi="ar"/>
              </w:rPr>
            </w:pPr>
          </w:p>
        </w:tc>
      </w:tr>
    </w:tbl>
    <w:p>
      <w:pPr>
        <w:spacing w:line="360" w:lineRule="auto"/>
        <w:rPr>
          <w:rFonts w:ascii="仿宋" w:hAnsi="仿宋" w:eastAsia="仿宋" w:cs="仿宋"/>
          <w:b/>
          <w:bCs/>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起拍价：2696748元。</w:t>
      </w: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保证金：</w:t>
      </w:r>
      <w:r>
        <w:rPr>
          <w:rFonts w:hint="default" w:ascii="仿宋" w:hAnsi="仿宋" w:eastAsia="仿宋" w:cs="仿宋"/>
          <w:b/>
          <w:bCs/>
          <w:sz w:val="30"/>
          <w:szCs w:val="30"/>
          <w:highlight w:val="none"/>
          <w:lang w:eastAsia="zh-Hans"/>
        </w:rPr>
        <w:t>45</w:t>
      </w:r>
      <w:r>
        <w:rPr>
          <w:rFonts w:hint="eastAsia" w:ascii="仿宋" w:hAnsi="仿宋" w:eastAsia="仿宋" w:cs="仿宋"/>
          <w:b/>
          <w:bCs/>
          <w:sz w:val="30"/>
          <w:szCs w:val="30"/>
          <w:highlight w:val="none"/>
          <w:lang w:val="en-US" w:eastAsia="zh-Hans"/>
        </w:rPr>
        <w:t>万</w:t>
      </w:r>
      <w:r>
        <w:rPr>
          <w:rFonts w:hint="eastAsia" w:ascii="仿宋" w:hAnsi="仿宋" w:eastAsia="仿宋" w:cs="仿宋"/>
          <w:b/>
          <w:bCs/>
          <w:sz w:val="30"/>
          <w:szCs w:val="30"/>
          <w:highlight w:val="none"/>
          <w:lang w:eastAsia="zh-Hans"/>
        </w:rPr>
        <w:t>元</w:t>
      </w:r>
      <w:r>
        <w:rPr>
          <w:rFonts w:hint="eastAsia" w:ascii="仿宋" w:hAnsi="仿宋" w:eastAsia="仿宋" w:cs="仿宋"/>
          <w:b/>
          <w:bCs/>
          <w:sz w:val="30"/>
          <w:szCs w:val="30"/>
          <w:lang w:eastAsia="zh-Hans"/>
        </w:rPr>
        <w:t>，增价幅度：</w:t>
      </w:r>
      <w:r>
        <w:rPr>
          <w:rFonts w:ascii="仿宋" w:hAnsi="仿宋" w:eastAsia="仿宋" w:cs="仿宋"/>
          <w:b/>
          <w:bCs/>
          <w:sz w:val="30"/>
          <w:szCs w:val="30"/>
          <w:lang w:eastAsia="zh-Hans"/>
        </w:rPr>
        <w:t>5000</w:t>
      </w:r>
      <w:r>
        <w:rPr>
          <w:rFonts w:hint="eastAsia" w:ascii="仿宋" w:hAnsi="仿宋" w:eastAsia="仿宋" w:cs="仿宋"/>
          <w:b/>
          <w:bCs/>
          <w:sz w:val="30"/>
          <w:szCs w:val="30"/>
          <w:lang w:eastAsia="zh-Hans"/>
        </w:rPr>
        <w:t>元或其整数倍。</w:t>
      </w:r>
    </w:p>
    <w:p>
      <w:pPr>
        <w:spacing w:line="360" w:lineRule="auto"/>
        <w:ind w:firstLine="602" w:firstLineChars="200"/>
        <w:rPr>
          <w:rFonts w:ascii="仿宋" w:hAnsi="仿宋" w:eastAsia="仿宋" w:cs="仿宋"/>
          <w:b/>
          <w:bCs/>
          <w:sz w:val="30"/>
          <w:szCs w:val="30"/>
          <w:lang w:eastAsia="zh-Hans"/>
        </w:rPr>
      </w:pPr>
    </w:p>
    <w:p>
      <w:pPr>
        <w:numPr>
          <w:ilvl w:val="255"/>
          <w:numId w:val="0"/>
        </w:numPr>
        <w:spacing w:line="360" w:lineRule="auto"/>
        <w:ind w:firstLine="602" w:firstLineChars="200"/>
        <w:rPr>
          <w:rFonts w:ascii="仿宋" w:hAnsi="仿宋" w:eastAsia="仿宋" w:cs="仿宋"/>
          <w:b/>
          <w:bCs/>
          <w:sz w:val="30"/>
          <w:szCs w:val="30"/>
        </w:rPr>
      </w:pPr>
      <w:r>
        <w:rPr>
          <w:rFonts w:hint="eastAsia" w:ascii="仿宋" w:hAnsi="仿宋" w:eastAsia="仿宋" w:cs="仿宋"/>
          <w:b/>
          <w:bCs/>
          <w:sz w:val="30"/>
          <w:szCs w:val="30"/>
          <w:lang w:eastAsia="zh-Hans"/>
        </w:rPr>
        <w:t>二、</w:t>
      </w:r>
      <w:r>
        <w:rPr>
          <w:rFonts w:hint="eastAsia" w:ascii="仿宋" w:hAnsi="仿宋" w:eastAsia="仿宋" w:cs="仿宋"/>
          <w:b/>
          <w:bCs/>
          <w:sz w:val="30"/>
          <w:szCs w:val="30"/>
        </w:rPr>
        <w:t>瑕疵说明</w:t>
      </w:r>
    </w:p>
    <w:p>
      <w:pPr>
        <w:pStyle w:val="7"/>
        <w:shd w:val="clear" w:color="auto" w:fill="FFFFFF"/>
        <w:spacing w:beforeAutospacing="0" w:afterAutospacing="0" w:line="252" w:lineRule="atLeast"/>
        <w:ind w:firstLine="555"/>
        <w:jc w:val="both"/>
        <w:rPr>
          <w:rFonts w:ascii="微软雅黑" w:hAnsi="微软雅黑" w:eastAsia="微软雅黑" w:cs="宋体"/>
          <w:b/>
          <w:bCs/>
          <w:color w:val="666666"/>
          <w:sz w:val="18"/>
          <w:szCs w:val="18"/>
        </w:rPr>
      </w:pPr>
      <w:r>
        <w:rPr>
          <w:rFonts w:hint="eastAsia" w:ascii="仿宋" w:hAnsi="仿宋" w:eastAsia="仿宋" w:cs="宋体"/>
          <w:b/>
          <w:bCs/>
          <w:color w:val="000000"/>
          <w:sz w:val="29"/>
          <w:szCs w:val="29"/>
        </w:rPr>
        <w:t>（一）本次拍卖标的为</w:t>
      </w:r>
      <w:r>
        <w:rPr>
          <w:rFonts w:hint="eastAsia" w:ascii="仿宋" w:hAnsi="仿宋" w:eastAsia="仿宋" w:cs="宋体"/>
          <w:b/>
          <w:bCs/>
          <w:color w:val="000000"/>
          <w:sz w:val="29"/>
          <w:szCs w:val="29"/>
          <w:highlight w:val="none"/>
        </w:rPr>
        <w:t>厦门新阳奔马科技有限公司</w:t>
      </w:r>
      <w:r>
        <w:rPr>
          <w:rFonts w:hint="eastAsia" w:ascii="仿宋" w:hAnsi="仿宋" w:eastAsia="仿宋" w:cs="宋体"/>
          <w:b/>
          <w:bCs/>
          <w:color w:val="000000"/>
          <w:sz w:val="29"/>
          <w:szCs w:val="29"/>
        </w:rPr>
        <w:t>对外应收债权；</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（二）本次拍卖标的可能存在瑕疵或尚未发现的缺陷（该瑕疵和缺陷将导致对外应收债权部分或者全部无法收回等风险），包括但不限于以下情况：</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1）管理人可能无法提供债权债务关系形成的基础证据材料（包括但不限于合同、对账单、发票、支付凭证等相关法律凭证等），对外应收债权可能全部或部分无效、不存在或真实性存在瑕疵；</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2）对外应收债权可能存在债务人实际已履行等原因已消灭，发票未开，被抵销、撤销以及其他原因或纠纷导致无法收回、产生损失等风险；</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3）与对外应收债权相关的债务人或担保人或第三方可能存在破产、被解散、被注销、被撤销、被关闭、被吊销、歇业、下落不明以及其他主体存续性瑕疵的情形；</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4）对外应收债权可能存在已经被其他债权人或第三人收取的情形；</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5）对外应收债权对应的债务人对</w:t>
      </w:r>
      <w:r>
        <w:rPr>
          <w:rFonts w:hint="eastAsia" w:ascii="仿宋" w:hAnsi="仿宋" w:eastAsia="仿宋" w:cs="宋体"/>
          <w:b/>
          <w:bCs/>
          <w:color w:val="000000"/>
          <w:kern w:val="0"/>
          <w:sz w:val="29"/>
          <w:szCs w:val="29"/>
          <w:highlight w:val="none"/>
        </w:rPr>
        <w:t>厦门新阳奔马科技有限公司</w:t>
      </w:r>
      <w:r>
        <w:rPr>
          <w:rFonts w:hint="eastAsia" w:ascii="仿宋" w:hAnsi="仿宋" w:eastAsia="仿宋" w:cs="宋体"/>
          <w:b/>
          <w:bCs/>
          <w:color w:val="000000"/>
          <w:kern w:val="0"/>
          <w:sz w:val="29"/>
          <w:szCs w:val="29"/>
        </w:rPr>
        <w:t>的抗辩权利（包括但不限于超过诉讼时效、异议、债权抵销、提起诉讼或者反诉等）可依法向买受人行使，由此可能导致标的债权无法回收；</w:t>
      </w:r>
    </w:p>
    <w:p>
      <w:pPr>
        <w:widowControl/>
        <w:shd w:val="clear" w:color="auto" w:fill="FFFFFF"/>
        <w:spacing w:line="252" w:lineRule="atLeast"/>
        <w:ind w:firstLine="555"/>
        <w:rPr>
          <w:rFonts w:ascii="微软雅黑" w:hAnsi="微软雅黑" w:eastAsia="微软雅黑" w:cs="宋体"/>
          <w:b/>
          <w:bCs/>
          <w:color w:val="666666"/>
          <w:kern w:val="0"/>
          <w:sz w:val="18"/>
          <w:szCs w:val="18"/>
        </w:rPr>
      </w:pPr>
      <w:r>
        <w:rPr>
          <w:rFonts w:hint="eastAsia" w:ascii="仿宋" w:hAnsi="仿宋" w:eastAsia="仿宋" w:cs="宋体"/>
          <w:b/>
          <w:bCs/>
          <w:color w:val="000000"/>
          <w:kern w:val="0"/>
          <w:sz w:val="29"/>
          <w:szCs w:val="29"/>
        </w:rPr>
        <w:t>（</w:t>
      </w:r>
      <w:r>
        <w:rPr>
          <w:rFonts w:ascii="仿宋" w:hAnsi="仿宋" w:eastAsia="仿宋" w:cs="宋体"/>
          <w:b/>
          <w:bCs/>
          <w:color w:val="000000"/>
          <w:kern w:val="0"/>
          <w:sz w:val="29"/>
          <w:szCs w:val="29"/>
        </w:rPr>
        <w:t>6）其他已经和/或尚未发现的可能导致对外应收债权存在争议、不存在、无法收回、产生损失等风险。</w:t>
      </w:r>
    </w:p>
    <w:p>
      <w:pPr>
        <w:widowControl/>
        <w:shd w:val="clear" w:color="auto" w:fill="FFFFFF"/>
        <w:spacing w:line="252" w:lineRule="atLeast"/>
        <w:ind w:firstLine="555"/>
        <w:rPr>
          <w:rFonts w:ascii="仿宋" w:hAnsi="仿宋" w:eastAsia="仿宋" w:cs="仿宋"/>
          <w:b/>
          <w:bCs/>
          <w:sz w:val="30"/>
          <w:szCs w:val="30"/>
          <w:u w:val="single"/>
        </w:rPr>
      </w:pPr>
      <w:r>
        <w:rPr>
          <w:rFonts w:hint="eastAsia" w:ascii="仿宋" w:hAnsi="仿宋" w:eastAsia="仿宋" w:cs="宋体"/>
          <w:b/>
          <w:bCs/>
          <w:color w:val="000000"/>
          <w:kern w:val="0"/>
          <w:sz w:val="29"/>
          <w:szCs w:val="29"/>
        </w:rPr>
        <w:t>上述可能存在的瑕疵或尚未发现的缺陷，由买受人自行承担风险。</w:t>
      </w:r>
    </w:p>
    <w:p>
      <w:pPr>
        <w:numPr>
          <w:ilvl w:val="255"/>
          <w:numId w:val="0"/>
        </w:num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三、</w:t>
      </w:r>
      <w:r>
        <w:rPr>
          <w:rFonts w:hint="eastAsia" w:ascii="仿宋" w:hAnsi="仿宋" w:eastAsia="仿宋" w:cs="仿宋"/>
          <w:b/>
          <w:bCs/>
          <w:sz w:val="30"/>
          <w:szCs w:val="30"/>
          <w:lang w:eastAsia="zh-Hans"/>
        </w:rPr>
        <w:t>咨询、尽职调查的时间与方式</w:t>
      </w:r>
    </w:p>
    <w:p>
      <w:pPr>
        <w:spacing w:line="360" w:lineRule="auto"/>
        <w:ind w:firstLine="600" w:firstLineChars="200"/>
        <w:rPr>
          <w:rFonts w:ascii="仿宋" w:hAnsi="仿宋" w:eastAsia="仿宋" w:cs="仿宋"/>
          <w:sz w:val="30"/>
          <w:szCs w:val="30"/>
          <w:lang w:eastAsia="zh-Hans"/>
        </w:rPr>
      </w:pPr>
      <w:r>
        <w:rPr>
          <w:rFonts w:hint="eastAsia" w:ascii="仿宋" w:hAnsi="仿宋" w:eastAsia="仿宋" w:cs="仿宋"/>
          <w:sz w:val="30"/>
          <w:szCs w:val="30"/>
          <w:lang w:eastAsia="zh-Hans"/>
        </w:rPr>
        <w:t>自本公告发布之日起至</w:t>
      </w:r>
      <w:r>
        <w:rPr>
          <w:rFonts w:ascii="仿宋" w:hAnsi="仿宋" w:eastAsia="仿宋" w:cs="仿宋"/>
          <w:sz w:val="30"/>
          <w:szCs w:val="30"/>
          <w:lang w:eastAsia="zh-Hans"/>
        </w:rPr>
        <w:t>2022</w:t>
      </w:r>
      <w:r>
        <w:rPr>
          <w:rFonts w:hint="eastAsia" w:ascii="仿宋" w:hAnsi="仿宋" w:eastAsia="仿宋" w:cs="仿宋"/>
          <w:sz w:val="30"/>
          <w:szCs w:val="30"/>
          <w:lang w:eastAsia="zh-Hans"/>
        </w:rPr>
        <w:t>年</w:t>
      </w:r>
      <w:r>
        <w:rPr>
          <w:rFonts w:hint="default" w:ascii="仿宋" w:hAnsi="仿宋" w:eastAsia="仿宋" w:cs="仿宋"/>
          <w:sz w:val="30"/>
          <w:szCs w:val="30"/>
          <w:lang w:eastAsia="zh-Hans"/>
        </w:rPr>
        <w:t>12</w:t>
      </w:r>
      <w:r>
        <w:rPr>
          <w:rFonts w:hint="eastAsia" w:ascii="仿宋" w:hAnsi="仿宋" w:eastAsia="仿宋" w:cs="仿宋"/>
          <w:sz w:val="30"/>
          <w:szCs w:val="30"/>
          <w:lang w:eastAsia="zh-Hans"/>
        </w:rPr>
        <w:t>月</w:t>
      </w:r>
      <w:r>
        <w:rPr>
          <w:rFonts w:hint="default" w:ascii="仿宋" w:hAnsi="仿宋" w:eastAsia="仿宋" w:cs="仿宋"/>
          <w:sz w:val="30"/>
          <w:szCs w:val="30"/>
          <w:lang w:eastAsia="zh-Hans"/>
        </w:rPr>
        <w:t>11</w:t>
      </w:r>
      <w:r>
        <w:rPr>
          <w:rFonts w:hint="eastAsia" w:ascii="仿宋" w:hAnsi="仿宋" w:eastAsia="仿宋" w:cs="仿宋"/>
          <w:sz w:val="30"/>
          <w:szCs w:val="30"/>
          <w:lang w:eastAsia="zh-Hans"/>
        </w:rPr>
        <w:t>日止（休息日节假日除外）接受咨询，有意者可在前述期间的工作日与管理人联系。</w:t>
      </w:r>
    </w:p>
    <w:p>
      <w:pPr>
        <w:spacing w:line="360" w:lineRule="auto"/>
        <w:ind w:firstLine="600" w:firstLineChars="200"/>
        <w:rPr>
          <w:rFonts w:ascii="仿宋" w:hAnsi="仿宋" w:eastAsia="仿宋" w:cs="仿宋"/>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四</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拍卖标的优先购买权人</w:t>
      </w:r>
    </w:p>
    <w:p>
      <w:pPr>
        <w:numPr>
          <w:ilvl w:val="255"/>
          <w:numId w:val="0"/>
        </w:num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拍卖标的若存在优先购买权人参加竞买的，应于竞价活动开始5个工作日前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pPr>
        <w:numPr>
          <w:ilvl w:val="255"/>
          <w:numId w:val="0"/>
        </w:numPr>
        <w:spacing w:line="360" w:lineRule="auto"/>
        <w:ind w:firstLine="602" w:firstLineChars="200"/>
        <w:rPr>
          <w:rFonts w:ascii="仿宋" w:hAnsi="仿宋" w:eastAsia="仿宋" w:cs="仿宋"/>
          <w:b/>
          <w:bCs/>
          <w:sz w:val="30"/>
          <w:szCs w:val="30"/>
          <w:lang w:eastAsia="zh-Hans"/>
        </w:rPr>
      </w:pPr>
    </w:p>
    <w:p>
      <w:pPr>
        <w:spacing w:line="360" w:lineRule="auto"/>
        <w:ind w:firstLine="602" w:firstLineChars="200"/>
        <w:rPr>
          <w:rFonts w:ascii="仿宋" w:hAnsi="仿宋" w:eastAsia="仿宋" w:cs="仿宋"/>
          <w:sz w:val="30"/>
          <w:szCs w:val="30"/>
          <w:lang w:eastAsia="zh-Hans"/>
        </w:rPr>
      </w:pPr>
      <w:r>
        <w:rPr>
          <w:rFonts w:hint="eastAsia" w:ascii="仿宋" w:hAnsi="仿宋" w:eastAsia="仿宋" w:cs="仿宋"/>
          <w:b/>
          <w:bCs/>
          <w:sz w:val="30"/>
          <w:szCs w:val="30"/>
        </w:rPr>
        <w:t>五、</w:t>
      </w:r>
      <w:r>
        <w:rPr>
          <w:rFonts w:hint="eastAsia" w:ascii="仿宋" w:hAnsi="仿宋" w:eastAsia="仿宋" w:cs="仿宋"/>
          <w:b/>
          <w:bCs/>
          <w:sz w:val="30"/>
          <w:szCs w:val="30"/>
          <w:lang w:eastAsia="zh-Hans"/>
        </w:rPr>
        <w:t>对拍卖标的权属或者拍卖行为有异议者，请于竞价活动开始5个工作日前与管理人联系。</w:t>
      </w:r>
      <w:r>
        <w:rPr>
          <w:rFonts w:hint="eastAsia" w:ascii="仿宋" w:hAnsi="仿宋" w:eastAsia="仿宋" w:cs="仿宋"/>
          <w:sz w:val="30"/>
          <w:szCs w:val="30"/>
          <w:lang w:eastAsia="zh-Hans"/>
        </w:rPr>
        <w:t>与拍卖标的有利害关系的当事人可以参加竞价，不参加竞价的请自行关注本次竞价活动的整个过程。</w:t>
      </w:r>
    </w:p>
    <w:p>
      <w:pPr>
        <w:spacing w:line="360" w:lineRule="auto"/>
        <w:rPr>
          <w:rFonts w:ascii="仿宋" w:hAnsi="仿宋" w:eastAsia="仿宋" w:cs="仿宋"/>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六</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竞价方式</w:t>
      </w:r>
    </w:p>
    <w:p>
      <w:pPr>
        <w:spacing w:line="360" w:lineRule="auto"/>
        <w:ind w:firstLine="600" w:firstLineChars="200"/>
        <w:rPr>
          <w:rFonts w:ascii="仿宋" w:hAnsi="仿宋" w:eastAsia="仿宋" w:cs="仿宋"/>
          <w:b/>
          <w:bCs/>
          <w:sz w:val="30"/>
          <w:szCs w:val="30"/>
          <w:lang w:eastAsia="zh-Hans"/>
        </w:rPr>
      </w:pPr>
      <w:r>
        <w:rPr>
          <w:rFonts w:hint="eastAsia" w:ascii="仿宋" w:hAnsi="仿宋" w:eastAsia="仿宋" w:cs="仿宋"/>
          <w:sz w:val="30"/>
          <w:szCs w:val="30"/>
          <w:lang w:eastAsia="zh-Hans"/>
        </w:rPr>
        <w:t>（一）</w:t>
      </w:r>
      <w:r>
        <w:rPr>
          <w:rFonts w:ascii="仿宋" w:hAnsi="仿宋" w:eastAsia="仿宋" w:cs="仿宋"/>
          <w:sz w:val="30"/>
          <w:szCs w:val="30"/>
          <w:lang w:eastAsia="zh-Hans"/>
        </w:rPr>
        <w:t>竞价从起拍价开始以递增出价方式竞价，</w:t>
      </w:r>
      <w:r>
        <w:rPr>
          <w:rFonts w:hint="eastAsia" w:ascii="仿宋" w:hAnsi="仿宋" w:eastAsia="仿宋" w:cs="仿宋"/>
          <w:sz w:val="30"/>
          <w:szCs w:val="30"/>
          <w:lang w:eastAsia="zh-Hans"/>
        </w:rPr>
        <w:t>每次</w:t>
      </w:r>
      <w:r>
        <w:rPr>
          <w:rFonts w:ascii="仿宋" w:hAnsi="仿宋" w:eastAsia="仿宋" w:cs="仿宋"/>
          <w:sz w:val="30"/>
          <w:szCs w:val="30"/>
          <w:lang w:eastAsia="zh-Hans"/>
        </w:rPr>
        <w:t>竞价增价幅度为人民币</w:t>
      </w:r>
      <w:r>
        <w:rPr>
          <w:rFonts w:ascii="仿宋" w:hAnsi="仿宋" w:eastAsia="仿宋" w:cs="仿宋"/>
          <w:sz w:val="30"/>
          <w:szCs w:val="30"/>
        </w:rPr>
        <w:t>5000</w:t>
      </w:r>
      <w:r>
        <w:rPr>
          <w:rFonts w:ascii="仿宋" w:hAnsi="仿宋" w:eastAsia="仿宋" w:cs="仿宋"/>
          <w:sz w:val="30"/>
          <w:szCs w:val="30"/>
          <w:lang w:eastAsia="zh-Hans"/>
        </w:rPr>
        <w:t>元或其整数倍。</w:t>
      </w:r>
      <w:r>
        <w:rPr>
          <w:rFonts w:ascii="仿宋" w:hAnsi="仿宋" w:eastAsia="仿宋" w:cs="仿宋"/>
          <w:b/>
          <w:bCs/>
          <w:sz w:val="30"/>
          <w:szCs w:val="30"/>
          <w:lang w:eastAsia="zh-Hans"/>
        </w:rPr>
        <w:t>竞买人低于起拍价的出价无效。</w:t>
      </w:r>
    </w:p>
    <w:p>
      <w:pPr>
        <w:spacing w:line="360" w:lineRule="auto"/>
        <w:ind w:firstLine="600" w:firstLineChars="200"/>
        <w:rPr>
          <w:rFonts w:ascii="仿宋" w:hAnsi="仿宋" w:eastAsia="仿宋" w:cs="仿宋"/>
          <w:sz w:val="30"/>
          <w:szCs w:val="30"/>
          <w:lang w:eastAsia="zh-Hans"/>
        </w:rPr>
      </w:pPr>
      <w:r>
        <w:rPr>
          <w:rFonts w:hint="eastAsia" w:ascii="仿宋" w:hAnsi="仿宋" w:eastAsia="仿宋" w:cs="仿宋"/>
          <w:sz w:val="30"/>
          <w:szCs w:val="30"/>
          <w:lang w:eastAsia="zh-Hans"/>
        </w:rPr>
        <w:t>（二）</w:t>
      </w:r>
      <w:r>
        <w:rPr>
          <w:rFonts w:ascii="仿宋" w:hAnsi="仿宋" w:eastAsia="仿宋" w:cs="仿宋"/>
          <w:sz w:val="30"/>
          <w:szCs w:val="30"/>
          <w:lang w:eastAsia="zh-Hans"/>
        </w:rPr>
        <w:t>本次竞价活动设置延时出价功能，在竞价活动结束前，每最后5分钟如果有竞买人出价，将自动延迟5分钟。</w:t>
      </w:r>
    </w:p>
    <w:p>
      <w:pPr>
        <w:tabs>
          <w:tab w:val="left" w:pos="5609"/>
        </w:tabs>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（三）</w:t>
      </w:r>
      <w:r>
        <w:rPr>
          <w:rFonts w:ascii="仿宋" w:hAnsi="仿宋" w:eastAsia="仿宋" w:cs="仿宋"/>
          <w:b/>
          <w:bCs/>
          <w:sz w:val="30"/>
          <w:szCs w:val="30"/>
          <w:lang w:eastAsia="zh-Hans"/>
        </w:rPr>
        <w:t>本次拍卖保留价为起拍价</w:t>
      </w:r>
      <w:r>
        <w:rPr>
          <w:rFonts w:hint="eastAsia" w:ascii="仿宋" w:hAnsi="仿宋" w:eastAsia="仿宋" w:cs="仿宋"/>
          <w:b/>
          <w:bCs/>
          <w:sz w:val="30"/>
          <w:szCs w:val="30"/>
          <w:lang w:eastAsia="zh-Hans"/>
        </w:rPr>
        <w:t>。</w:t>
      </w:r>
    </w:p>
    <w:p>
      <w:pPr>
        <w:tabs>
          <w:tab w:val="left" w:pos="5609"/>
        </w:tabs>
        <w:spacing w:line="360" w:lineRule="auto"/>
        <w:ind w:firstLine="602" w:firstLineChars="200"/>
        <w:rPr>
          <w:rFonts w:ascii="仿宋" w:hAnsi="仿宋" w:eastAsia="仿宋" w:cs="仿宋"/>
          <w:b/>
          <w:bCs/>
          <w:sz w:val="30"/>
          <w:szCs w:val="30"/>
          <w:lang w:eastAsia="zh-Hans"/>
        </w:rPr>
      </w:pPr>
    </w:p>
    <w:p>
      <w:pPr>
        <w:pStyle w:val="7"/>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rPr>
        <w:t>七</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保证金与余款支付</w:t>
      </w:r>
    </w:p>
    <w:p>
      <w:pPr>
        <w:pStyle w:val="7"/>
        <w:numPr>
          <w:ilvl w:val="255"/>
          <w:numId w:val="0"/>
        </w:numPr>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（一）拍卖竞价前将通过京东拍卖平台在竞买人京东账户内锁定相应资金作为应缴的保证金，拍卖结束后未能竞得者锁定的保证金自动解锁，锁定期间不计利息。</w:t>
      </w:r>
    </w:p>
    <w:p>
      <w:pPr>
        <w:pStyle w:val="7"/>
        <w:numPr>
          <w:ilvl w:val="255"/>
          <w:numId w:val="0"/>
        </w:numPr>
        <w:shd w:val="clear" w:color="auto" w:fill="FFFFFF"/>
        <w:spacing w:beforeAutospacing="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（二）竞价成交后，买受人交纳的保证金可以充抵价款，拍卖标的买受人原锁定的保证金24小时内自动转入管理人指定账户。</w:t>
      </w:r>
      <w:r>
        <w:rPr>
          <w:rFonts w:hint="eastAsia" w:ascii="仿宋" w:hAnsi="仿宋" w:eastAsia="仿宋" w:cs="仿宋"/>
          <w:b/>
          <w:bCs/>
          <w:sz w:val="30"/>
          <w:szCs w:val="30"/>
          <w:lang w:eastAsia="zh-Hans"/>
        </w:rPr>
        <w:t>拍卖余款买受人应在拍卖成交之日起</w:t>
      </w:r>
      <w:r>
        <w:rPr>
          <w:rFonts w:hint="default" w:ascii="仿宋" w:hAnsi="仿宋" w:eastAsia="仿宋" w:cs="仿宋"/>
          <w:b/>
          <w:bCs/>
          <w:sz w:val="30"/>
          <w:szCs w:val="30"/>
          <w:lang w:eastAsia="zh-Hans"/>
        </w:rPr>
        <w:t>5</w:t>
      </w:r>
      <w:r>
        <w:rPr>
          <w:rFonts w:hint="eastAsia" w:ascii="仿宋" w:hAnsi="仿宋" w:eastAsia="仿宋" w:cs="仿宋"/>
          <w:b/>
          <w:bCs/>
          <w:sz w:val="30"/>
          <w:szCs w:val="30"/>
          <w:lang w:val="en-US" w:eastAsia="zh-Hans"/>
        </w:rPr>
        <w:t>个自然日</w:t>
      </w:r>
      <w:r>
        <w:rPr>
          <w:rFonts w:hint="eastAsia" w:ascii="仿宋" w:hAnsi="仿宋" w:eastAsia="仿宋" w:cs="仿宋"/>
          <w:b/>
          <w:bCs/>
          <w:sz w:val="30"/>
          <w:szCs w:val="30"/>
          <w:lang w:eastAsia="zh-Hans"/>
        </w:rPr>
        <w:t>内汇款至管理人如下账户：</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户  名：厦门新阳奔马科技有限公司管理人</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开户行：中国银行股份有限公司厦门开元支行</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账  号：4</w:t>
      </w:r>
      <w:r>
        <w:rPr>
          <w:rFonts w:ascii="仿宋" w:hAnsi="仿宋" w:eastAsia="仿宋" w:cs="仿宋"/>
          <w:b/>
          <w:bCs/>
          <w:sz w:val="30"/>
          <w:szCs w:val="30"/>
          <w:lang w:eastAsia="zh-Hans"/>
        </w:rPr>
        <w:t>23481035483</w:t>
      </w:r>
    </w:p>
    <w:p>
      <w:pPr>
        <w:pStyle w:val="7"/>
        <w:numPr>
          <w:ilvl w:val="0"/>
          <w:numId w:val="2"/>
        </w:numPr>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因标的物本身价值较高，其起拍价、保证金、竞拍成交价相对较高，竞买人参与竞拍，支付保证金及余款可能会遇到当天限额无法支付的情况，请竞买人根据自身情况选择网上充值银行。各大银行充值和支付的限额情况可上网查询，网址https://help.jd.com/user/issue/359-1659.html。</w:t>
      </w:r>
    </w:p>
    <w:p>
      <w:pPr>
        <w:pStyle w:val="7"/>
        <w:numPr>
          <w:ilvl w:val="0"/>
          <w:numId w:val="2"/>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买受人不符合竞拍资格或有未按期足额支付竞价款、悔拍等行为的，管理人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pPr>
        <w:pStyle w:val="7"/>
        <w:shd w:val="clear" w:color="auto" w:fill="FFFFFF"/>
        <w:spacing w:beforeAutospacing="0" w:afterAutospacing="0" w:line="360" w:lineRule="auto"/>
        <w:jc w:val="both"/>
        <w:rPr>
          <w:rFonts w:ascii="仿宋" w:hAnsi="仿宋" w:eastAsia="仿宋" w:cs="仿宋"/>
          <w:b/>
          <w:bCs/>
          <w:sz w:val="30"/>
          <w:szCs w:val="30"/>
          <w:lang w:eastAsia="zh-Hans"/>
        </w:rPr>
      </w:pPr>
    </w:p>
    <w:p>
      <w:pPr>
        <w:tabs>
          <w:tab w:val="left" w:pos="5609"/>
        </w:tabs>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八</w:t>
      </w:r>
      <w:r>
        <w:rPr>
          <w:rFonts w:ascii="仿宋" w:hAnsi="仿宋" w:eastAsia="仿宋" w:cs="仿宋"/>
          <w:b/>
          <w:bCs/>
          <w:sz w:val="30"/>
          <w:szCs w:val="30"/>
          <w:lang w:eastAsia="zh-Hans"/>
        </w:rPr>
        <w:t>、拍卖标的交付</w:t>
      </w:r>
      <w:r>
        <w:rPr>
          <w:rFonts w:hint="eastAsia" w:ascii="仿宋" w:hAnsi="仿宋" w:eastAsia="仿宋" w:cs="仿宋"/>
          <w:b/>
          <w:bCs/>
          <w:sz w:val="30"/>
          <w:szCs w:val="30"/>
          <w:lang w:eastAsia="zh-Hans"/>
        </w:rPr>
        <w:t>手续办理</w:t>
      </w:r>
    </w:p>
    <w:p>
      <w:pPr>
        <w:pStyle w:val="7"/>
        <w:numPr>
          <w:ilvl w:val="255"/>
          <w:numId w:val="0"/>
        </w:numPr>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（一）买受人应于付清全部拍卖成交款后</w:t>
      </w:r>
      <w:r>
        <w:rPr>
          <w:rFonts w:ascii="仿宋" w:hAnsi="仿宋" w:eastAsia="仿宋" w:cs="仿宋"/>
          <w:b/>
          <w:bCs/>
          <w:sz w:val="30"/>
          <w:szCs w:val="30"/>
          <w:lang w:eastAsia="zh-Hans"/>
        </w:rPr>
        <w:t>3</w:t>
      </w:r>
      <w:r>
        <w:rPr>
          <w:rFonts w:hint="eastAsia" w:ascii="仿宋" w:hAnsi="仿宋" w:eastAsia="仿宋" w:cs="仿宋"/>
          <w:b/>
          <w:bCs/>
          <w:sz w:val="30"/>
          <w:szCs w:val="30"/>
          <w:lang w:eastAsia="zh-Hans"/>
        </w:rPr>
        <w:t>个工作日内（遇休息日节假日顺延）</w:t>
      </w:r>
      <w:r>
        <w:rPr>
          <w:rFonts w:hint="eastAsia" w:ascii="仿宋" w:hAnsi="仿宋" w:eastAsia="仿宋" w:cs="仿宋"/>
          <w:sz w:val="30"/>
          <w:szCs w:val="30"/>
          <w:lang w:eastAsia="zh-Hans"/>
        </w:rPr>
        <w:t>凭付款凭证及相关身份材料（个人持身份证、单位持营业执照、法定代表人或负责人身份证明文件）到管理人处签署拍卖成交确认文件。</w:t>
      </w:r>
    </w:p>
    <w:p>
      <w:pPr>
        <w:tabs>
          <w:tab w:val="left" w:pos="5609"/>
        </w:tabs>
        <w:spacing w:line="360" w:lineRule="auto"/>
        <w:ind w:firstLine="600" w:firstLineChars="200"/>
        <w:rPr>
          <w:rFonts w:ascii="仿宋" w:hAnsi="仿宋" w:eastAsia="仿宋" w:cs="仿宋"/>
          <w:sz w:val="30"/>
          <w:szCs w:val="30"/>
          <w:lang w:eastAsia="zh-Hans"/>
        </w:rPr>
      </w:pPr>
      <w:r>
        <w:rPr>
          <w:rFonts w:hint="eastAsia" w:ascii="仿宋" w:hAnsi="仿宋" w:eastAsia="仿宋" w:cs="仿宋"/>
          <w:sz w:val="30"/>
          <w:szCs w:val="30"/>
          <w:lang w:eastAsia="zh-Hans"/>
        </w:rPr>
        <w:t>（</w:t>
      </w:r>
      <w:r>
        <w:rPr>
          <w:rFonts w:hint="eastAsia" w:ascii="仿宋" w:hAnsi="仿宋" w:eastAsia="仿宋" w:cs="仿宋"/>
          <w:sz w:val="30"/>
          <w:szCs w:val="30"/>
          <w:lang w:val="en-US" w:eastAsia="zh-Hans"/>
        </w:rPr>
        <w:t>二</w:t>
      </w:r>
      <w:r>
        <w:rPr>
          <w:rFonts w:hint="eastAsia" w:ascii="仿宋" w:hAnsi="仿宋" w:eastAsia="仿宋" w:cs="仿宋"/>
          <w:sz w:val="30"/>
          <w:szCs w:val="30"/>
          <w:lang w:eastAsia="zh-Hans"/>
        </w:rPr>
        <w:t>）</w:t>
      </w:r>
      <w:r>
        <w:rPr>
          <w:rFonts w:hint="eastAsia" w:ascii="仿宋" w:hAnsi="仿宋" w:eastAsia="仿宋" w:cs="仿宋"/>
          <w:b/>
          <w:bCs/>
          <w:sz w:val="30"/>
          <w:szCs w:val="30"/>
          <w:lang w:eastAsia="zh-Hans"/>
        </w:rPr>
        <w:t>拍卖成交</w:t>
      </w:r>
      <w:r>
        <w:rPr>
          <w:rFonts w:hint="eastAsia" w:ascii="仿宋" w:hAnsi="仿宋" w:eastAsia="仿宋" w:cs="仿宋"/>
          <w:b/>
          <w:bCs/>
          <w:sz w:val="30"/>
          <w:szCs w:val="30"/>
        </w:rPr>
        <w:t>且买受人交清全部价款、提交身份材料后</w:t>
      </w:r>
      <w:r>
        <w:rPr>
          <w:rFonts w:hint="eastAsia" w:ascii="仿宋" w:hAnsi="仿宋" w:eastAsia="仿宋" w:cs="仿宋"/>
          <w:b/>
          <w:bCs/>
          <w:sz w:val="30"/>
          <w:szCs w:val="30"/>
          <w:lang w:eastAsia="zh-Hans"/>
        </w:rPr>
        <w:t>，管理人将申请法院出具《民事裁定书》、《协助执行通知书》等</w:t>
      </w:r>
      <w:r>
        <w:rPr>
          <w:rFonts w:hint="eastAsia" w:ascii="仿宋" w:hAnsi="仿宋" w:eastAsia="仿宋" w:cs="仿宋"/>
          <w:b/>
          <w:bCs/>
          <w:sz w:val="30"/>
          <w:szCs w:val="30"/>
        </w:rPr>
        <w:t>相关</w:t>
      </w:r>
      <w:r>
        <w:rPr>
          <w:rFonts w:hint="eastAsia" w:ascii="仿宋" w:hAnsi="仿宋" w:eastAsia="仿宋" w:cs="仿宋"/>
          <w:b/>
          <w:bCs/>
          <w:sz w:val="30"/>
          <w:szCs w:val="30"/>
          <w:lang w:eastAsia="zh-Hans"/>
        </w:rPr>
        <w:t>文件给买受人。</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ascii="仿宋" w:hAnsi="仿宋" w:eastAsia="仿宋" w:cs="仿宋"/>
          <w:b/>
          <w:bCs/>
          <w:sz w:val="30"/>
          <w:szCs w:val="30"/>
          <w:lang w:eastAsia="zh-Hans"/>
        </w:rPr>
        <w:t>（</w:t>
      </w:r>
      <w:r>
        <w:rPr>
          <w:rFonts w:hint="eastAsia" w:ascii="仿宋" w:hAnsi="仿宋" w:eastAsia="仿宋" w:cs="仿宋"/>
          <w:b/>
          <w:bCs/>
          <w:sz w:val="30"/>
          <w:szCs w:val="30"/>
          <w:lang w:val="en-US" w:eastAsia="zh-Hans"/>
        </w:rPr>
        <w:t>三</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买受人收到上述法律文书之时即视为拍卖标的所有权已移交给买受人</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拍卖标的的一切权利</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义务及可能产生的灭失</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价值减损等风险均由买受人自行承担</w:t>
      </w:r>
      <w:r>
        <w:rPr>
          <w:rFonts w:ascii="仿宋" w:hAnsi="仿宋" w:eastAsia="仿宋" w:cs="仿宋"/>
          <w:b/>
          <w:bCs/>
          <w:sz w:val="30"/>
          <w:szCs w:val="30"/>
          <w:lang w:eastAsia="zh-Hans"/>
        </w:rPr>
        <w:t>。</w:t>
      </w:r>
    </w:p>
    <w:p>
      <w:pPr>
        <w:pStyle w:val="7"/>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rPr>
        <w:t>九</w:t>
      </w:r>
      <w:r>
        <w:rPr>
          <w:rFonts w:ascii="仿宋" w:hAnsi="仿宋" w:eastAsia="仿宋" w:cs="仿宋"/>
          <w:b/>
          <w:bCs/>
          <w:sz w:val="30"/>
          <w:szCs w:val="30"/>
          <w:lang w:eastAsia="zh-Hans"/>
        </w:rPr>
        <w:t>、风险提示和特别</w:t>
      </w:r>
      <w:r>
        <w:rPr>
          <w:rFonts w:hint="eastAsia" w:ascii="仿宋" w:hAnsi="仿宋" w:eastAsia="仿宋" w:cs="仿宋"/>
          <w:b/>
          <w:bCs/>
          <w:sz w:val="30"/>
          <w:szCs w:val="30"/>
          <w:lang w:eastAsia="zh-Hans"/>
        </w:rPr>
        <w:t>提醒</w:t>
      </w:r>
    </w:p>
    <w:p>
      <w:pPr>
        <w:spacing w:line="360" w:lineRule="auto"/>
        <w:ind w:firstLine="600" w:firstLineChars="200"/>
        <w:rPr>
          <w:rFonts w:ascii="仿宋" w:hAnsi="仿宋" w:eastAsia="仿宋" w:cs="仿宋"/>
          <w:b/>
          <w:bCs/>
          <w:sz w:val="30"/>
          <w:szCs w:val="30"/>
          <w:lang w:eastAsia="zh-Hans"/>
        </w:rPr>
      </w:pPr>
      <w:r>
        <w:rPr>
          <w:rFonts w:hint="eastAsia" w:ascii="仿宋" w:hAnsi="仿宋" w:eastAsia="仿宋" w:cs="仿宋"/>
          <w:sz w:val="30"/>
          <w:szCs w:val="30"/>
          <w:lang w:eastAsia="zh-Hans"/>
        </w:rPr>
        <w:t>除本公告外，其他</w:t>
      </w:r>
      <w:r>
        <w:rPr>
          <w:rFonts w:ascii="仿宋" w:hAnsi="仿宋" w:eastAsia="仿宋" w:cs="仿宋"/>
          <w:sz w:val="30"/>
          <w:szCs w:val="30"/>
          <w:lang w:eastAsia="zh-Hans"/>
        </w:rPr>
        <w:t>风险提示和特别</w:t>
      </w:r>
      <w:r>
        <w:rPr>
          <w:rFonts w:hint="eastAsia" w:ascii="仿宋" w:hAnsi="仿宋" w:eastAsia="仿宋" w:cs="仿宋"/>
          <w:sz w:val="30"/>
          <w:szCs w:val="30"/>
          <w:lang w:eastAsia="zh-Hans"/>
        </w:rPr>
        <w:t>提醒</w:t>
      </w:r>
      <w:r>
        <w:rPr>
          <w:rFonts w:ascii="仿宋" w:hAnsi="仿宋" w:eastAsia="仿宋" w:cs="仿宋"/>
          <w:sz w:val="30"/>
          <w:szCs w:val="30"/>
          <w:lang w:eastAsia="zh-Hans"/>
        </w:rPr>
        <w:t>部分内容详见《竞拍须知》。</w:t>
      </w:r>
    </w:p>
    <w:p>
      <w:pPr>
        <w:pStyle w:val="7"/>
        <w:numPr>
          <w:ilvl w:val="255"/>
          <w:numId w:val="0"/>
        </w:numPr>
        <w:shd w:val="clear" w:color="auto" w:fill="FFFFFF"/>
        <w:spacing w:before="312" w:beforeLines="100" w:beforeAutospacing="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rPr>
        <w:t>十</w:t>
      </w:r>
      <w:r>
        <w:rPr>
          <w:rFonts w:hint="eastAsia" w:ascii="仿宋" w:hAnsi="仿宋" w:eastAsia="仿宋" w:cs="仿宋"/>
          <w:sz w:val="30"/>
          <w:szCs w:val="30"/>
          <w:lang w:eastAsia="zh-Hans"/>
        </w:rPr>
        <w:t>、竞买人在参与此次竞价活动前，请认真阅读本公告、《竞拍须知》及所有附件内容，</w:t>
      </w:r>
      <w:r>
        <w:rPr>
          <w:rFonts w:hint="eastAsia" w:ascii="仿宋" w:hAnsi="仿宋" w:eastAsia="仿宋" w:cs="仿宋"/>
          <w:sz w:val="30"/>
          <w:szCs w:val="30"/>
        </w:rPr>
        <w:t>以及</w:t>
      </w:r>
      <w:r>
        <w:rPr>
          <w:rFonts w:hint="eastAsia" w:ascii="仿宋" w:hAnsi="仿宋" w:eastAsia="仿宋" w:cs="仿宋"/>
          <w:sz w:val="30"/>
          <w:szCs w:val="30"/>
          <w:lang w:eastAsia="zh-Hans"/>
        </w:rPr>
        <w:t>相关法律、法规、规章及规范性文件的规定，并安排必要的尽职调查。</w:t>
      </w:r>
      <w:r>
        <w:rPr>
          <w:rFonts w:hint="eastAsia" w:ascii="仿宋" w:hAnsi="仿宋" w:eastAsia="仿宋" w:cs="仿宋"/>
          <w:b/>
          <w:bCs/>
          <w:sz w:val="30"/>
          <w:szCs w:val="30"/>
          <w:lang w:eastAsia="zh-Hans"/>
        </w:rPr>
        <w:t>竞买人支付竞买保证金，即视为其已对拍卖标的实施了审慎</w:t>
      </w:r>
      <w:r>
        <w:rPr>
          <w:rFonts w:hint="eastAsia" w:ascii="仿宋" w:hAnsi="仿宋" w:eastAsia="仿宋" w:cs="仿宋"/>
          <w:b/>
          <w:bCs/>
          <w:sz w:val="30"/>
          <w:szCs w:val="30"/>
        </w:rPr>
        <w:t>、充分</w:t>
      </w:r>
      <w:r>
        <w:rPr>
          <w:rFonts w:hint="eastAsia" w:ascii="仿宋" w:hAnsi="仿宋" w:eastAsia="仿宋" w:cs="仿宋"/>
          <w:b/>
          <w:bCs/>
          <w:sz w:val="30"/>
          <w:szCs w:val="30"/>
          <w:lang w:eastAsia="zh-Hans"/>
        </w:rPr>
        <w:t>的尽职调查，</w:t>
      </w:r>
      <w:r>
        <w:rPr>
          <w:rFonts w:hint="eastAsia" w:ascii="仿宋" w:hAnsi="仿宋" w:eastAsia="仿宋" w:cs="仿宋"/>
          <w:b/>
          <w:bCs/>
          <w:sz w:val="30"/>
          <w:szCs w:val="30"/>
        </w:rPr>
        <w:t>已</w:t>
      </w:r>
      <w:r>
        <w:rPr>
          <w:rFonts w:hint="eastAsia" w:ascii="仿宋" w:hAnsi="仿宋" w:eastAsia="仿宋" w:cs="仿宋"/>
          <w:b/>
          <w:bCs/>
          <w:sz w:val="30"/>
          <w:szCs w:val="30"/>
          <w:lang w:eastAsia="zh-Hans"/>
        </w:rPr>
        <w:t>充分了解拍卖文件及相关规定的内容及要求，并承诺自行承担法律责任。</w:t>
      </w: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为便于买受人及时收到相关的法律文书及通知，竞买人应在本次竞价活动前如实向京东拍卖平台提供</w:t>
      </w:r>
      <w:r>
        <w:rPr>
          <w:rFonts w:hint="eastAsia" w:ascii="仿宋" w:hAnsi="仿宋" w:eastAsia="仿宋" w:cs="仿宋"/>
          <w:b/>
          <w:bCs/>
          <w:sz w:val="30"/>
          <w:szCs w:val="30"/>
        </w:rPr>
        <w:t>准</w:t>
      </w:r>
      <w:r>
        <w:rPr>
          <w:rFonts w:hint="eastAsia" w:ascii="仿宋" w:hAnsi="仿宋" w:eastAsia="仿宋" w:cs="仿宋"/>
          <w:b/>
          <w:bCs/>
          <w:sz w:val="30"/>
          <w:szCs w:val="30"/>
          <w:lang w:eastAsia="zh-Hans"/>
        </w:rPr>
        <w:t>确的送达地址或主动与管理人联系</w:t>
      </w:r>
      <w:r>
        <w:rPr>
          <w:rFonts w:hint="eastAsia" w:ascii="仿宋" w:hAnsi="仿宋" w:eastAsia="仿宋" w:cs="仿宋"/>
          <w:b/>
          <w:bCs/>
          <w:sz w:val="30"/>
          <w:szCs w:val="30"/>
        </w:rPr>
        <w:t>提供送达地址</w:t>
      </w:r>
      <w:r>
        <w:rPr>
          <w:rFonts w:hint="eastAsia" w:ascii="仿宋" w:hAnsi="仿宋" w:eastAsia="仿宋" w:cs="仿宋"/>
          <w:b/>
          <w:bCs/>
          <w:sz w:val="30"/>
          <w:szCs w:val="30"/>
          <w:lang w:eastAsia="zh-Hans"/>
        </w:rPr>
        <w:t>。如需更改地址，买受人应及时与京东拍卖平台</w:t>
      </w:r>
      <w:r>
        <w:rPr>
          <w:rFonts w:hint="eastAsia" w:ascii="仿宋" w:hAnsi="仿宋" w:eastAsia="仿宋" w:cs="仿宋"/>
          <w:b/>
          <w:bCs/>
          <w:sz w:val="30"/>
          <w:szCs w:val="30"/>
        </w:rPr>
        <w:t>、</w:t>
      </w:r>
      <w:r>
        <w:rPr>
          <w:rFonts w:hint="eastAsia" w:ascii="仿宋" w:hAnsi="仿宋" w:eastAsia="仿宋" w:cs="仿宋"/>
          <w:b/>
          <w:bCs/>
          <w:sz w:val="30"/>
          <w:szCs w:val="30"/>
          <w:lang w:eastAsia="zh-Hans"/>
        </w:rPr>
        <w:t>管理人联系确认更改。因提供的送达地址不</w:t>
      </w:r>
      <w:r>
        <w:rPr>
          <w:rFonts w:hint="eastAsia" w:ascii="仿宋" w:hAnsi="仿宋" w:eastAsia="仿宋" w:cs="仿宋"/>
          <w:b/>
          <w:bCs/>
          <w:sz w:val="30"/>
          <w:szCs w:val="30"/>
        </w:rPr>
        <w:t>准</w:t>
      </w:r>
      <w:r>
        <w:rPr>
          <w:rFonts w:hint="eastAsia" w:ascii="仿宋" w:hAnsi="仿宋" w:eastAsia="仿宋" w:cs="仿宋"/>
          <w:b/>
          <w:bCs/>
          <w:sz w:val="30"/>
          <w:szCs w:val="30"/>
          <w:lang w:eastAsia="zh-Hans"/>
        </w:rPr>
        <w:t>确，或未及时告知变更地址，导致有关法律文书及通知无法送达的，</w:t>
      </w:r>
      <w:r>
        <w:rPr>
          <w:rFonts w:hint="eastAsia" w:ascii="仿宋" w:hAnsi="仿宋" w:eastAsia="仿宋" w:cs="仿宋"/>
          <w:b/>
          <w:bCs/>
          <w:sz w:val="30"/>
          <w:szCs w:val="30"/>
        </w:rPr>
        <w:t>视为已有效送达，</w:t>
      </w:r>
      <w:r>
        <w:rPr>
          <w:rFonts w:hint="eastAsia" w:ascii="仿宋" w:hAnsi="仿宋" w:eastAsia="仿宋" w:cs="仿宋"/>
          <w:b/>
          <w:bCs/>
          <w:sz w:val="30"/>
          <w:szCs w:val="30"/>
          <w:lang w:eastAsia="zh-Hans"/>
        </w:rPr>
        <w:t>由竞买人自行承担由此产生的法律后果。</w:t>
      </w:r>
    </w:p>
    <w:p>
      <w:pPr>
        <w:spacing w:line="360" w:lineRule="auto"/>
        <w:ind w:firstLine="602" w:firstLineChars="200"/>
        <w:rPr>
          <w:rFonts w:ascii="仿宋" w:hAnsi="仿宋" w:eastAsia="仿宋" w:cs="仿宋"/>
          <w:b/>
          <w:bCs/>
          <w:sz w:val="30"/>
          <w:szCs w:val="30"/>
          <w:lang w:eastAsia="zh-Hans"/>
        </w:rPr>
      </w:pPr>
    </w:p>
    <w:p>
      <w:pPr>
        <w:spacing w:line="360" w:lineRule="auto"/>
        <w:ind w:firstLine="602" w:firstLineChars="200"/>
        <w:rPr>
          <w:rFonts w:ascii="仿宋" w:hAnsi="仿宋" w:eastAsia="仿宋" w:cs="仿宋"/>
          <w:b/>
          <w:bCs/>
          <w:sz w:val="30"/>
          <w:szCs w:val="30"/>
          <w:lang w:eastAsia="zh-Hans"/>
        </w:rPr>
      </w:pPr>
      <w:r>
        <w:rPr>
          <w:rFonts w:hint="eastAsia" w:ascii="仿宋" w:hAnsi="仿宋" w:eastAsia="仿宋" w:cs="仿宋"/>
          <w:b/>
          <w:bCs/>
          <w:sz w:val="30"/>
          <w:szCs w:val="30"/>
          <w:lang w:eastAsia="zh-Hans"/>
        </w:rPr>
        <w:t>十</w:t>
      </w:r>
      <w:r>
        <w:rPr>
          <w:rFonts w:hint="eastAsia" w:ascii="仿宋" w:hAnsi="仿宋" w:eastAsia="仿宋" w:cs="仿宋"/>
          <w:b/>
          <w:bCs/>
          <w:sz w:val="30"/>
          <w:szCs w:val="30"/>
        </w:rPr>
        <w:t>一</w:t>
      </w:r>
      <w:r>
        <w:rPr>
          <w:rFonts w:ascii="仿宋" w:hAnsi="仿宋" w:eastAsia="仿宋" w:cs="仿宋"/>
          <w:b/>
          <w:bCs/>
          <w:sz w:val="30"/>
          <w:szCs w:val="30"/>
          <w:lang w:eastAsia="zh-Hans"/>
        </w:rPr>
        <w:t>、本公告其他未尽事宜，请向管理人咨询。</w:t>
      </w:r>
    </w:p>
    <w:bookmarkEnd w:id="0"/>
    <w:p>
      <w:pPr>
        <w:pStyle w:val="7"/>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rPr>
        <w:t>咨询电话</w:t>
      </w:r>
      <w:r>
        <w:rPr>
          <w:rFonts w:ascii="仿宋" w:hAnsi="仿宋" w:eastAsia="仿宋" w:cs="仿宋"/>
          <w:sz w:val="30"/>
          <w:szCs w:val="30"/>
        </w:rPr>
        <w:t>1</w:t>
      </w:r>
      <w:r>
        <w:rPr>
          <w:rFonts w:hint="eastAsia" w:ascii="仿宋" w:hAnsi="仿宋" w:eastAsia="仿宋" w:cs="仿宋"/>
          <w:sz w:val="30"/>
          <w:szCs w:val="30"/>
        </w:rPr>
        <w:t>：</w:t>
      </w:r>
      <w:r>
        <w:rPr>
          <w:rFonts w:ascii="仿宋" w:hAnsi="仿宋" w:eastAsia="仿宋" w:cs="仿宋"/>
          <w:sz w:val="30"/>
          <w:szCs w:val="30"/>
        </w:rPr>
        <w:t>166-5907-5566</w:t>
      </w:r>
      <w:r>
        <w:rPr>
          <w:rFonts w:hint="eastAsia" w:ascii="仿宋" w:hAnsi="仿宋" w:eastAsia="仿宋" w:cs="仿宋"/>
          <w:sz w:val="30"/>
          <w:szCs w:val="30"/>
          <w:lang w:eastAsia="zh-Hans"/>
        </w:rPr>
        <w:t>（杨雄壬律师）</w:t>
      </w:r>
    </w:p>
    <w:p>
      <w:pPr>
        <w:pStyle w:val="7"/>
        <w:shd w:val="clear" w:color="auto" w:fill="FFFFFF"/>
        <w:spacing w:beforeAutospacing="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lang w:eastAsia="zh-Hans"/>
        </w:rPr>
        <w:t>咨询电话</w:t>
      </w:r>
      <w:r>
        <w:rPr>
          <w:rFonts w:ascii="仿宋" w:hAnsi="仿宋" w:eastAsia="仿宋" w:cs="仿宋"/>
          <w:sz w:val="30"/>
          <w:szCs w:val="30"/>
          <w:lang w:eastAsia="zh-Hans"/>
        </w:rPr>
        <w:t>2</w:t>
      </w:r>
      <w:r>
        <w:rPr>
          <w:rFonts w:hint="eastAsia" w:ascii="仿宋" w:hAnsi="仿宋" w:eastAsia="仿宋" w:cs="仿宋"/>
          <w:sz w:val="30"/>
          <w:szCs w:val="30"/>
          <w:lang w:eastAsia="zh-Hans"/>
        </w:rPr>
        <w:t>：</w:t>
      </w:r>
      <w:r>
        <w:rPr>
          <w:rFonts w:hint="eastAsia" w:ascii="仿宋" w:hAnsi="仿宋" w:eastAsia="仿宋" w:cs="仿宋"/>
          <w:sz w:val="30"/>
          <w:szCs w:val="30"/>
        </w:rPr>
        <w:t>1</w:t>
      </w:r>
      <w:r>
        <w:rPr>
          <w:rFonts w:ascii="仿宋" w:hAnsi="仿宋" w:eastAsia="仿宋" w:cs="仿宋"/>
          <w:sz w:val="30"/>
          <w:szCs w:val="30"/>
        </w:rPr>
        <w:t>52-5926-4753</w:t>
      </w:r>
      <w:r>
        <w:rPr>
          <w:rFonts w:hint="eastAsia" w:ascii="仿宋" w:hAnsi="仿宋" w:eastAsia="仿宋" w:cs="仿宋"/>
          <w:sz w:val="30"/>
          <w:szCs w:val="30"/>
        </w:rPr>
        <w:t>（张晓倩</w:t>
      </w:r>
      <w:r>
        <w:rPr>
          <w:rFonts w:hint="eastAsia" w:ascii="仿宋" w:hAnsi="仿宋" w:eastAsia="仿宋" w:cs="仿宋"/>
          <w:sz w:val="30"/>
          <w:szCs w:val="30"/>
          <w:lang w:eastAsia="zh-Hans"/>
        </w:rPr>
        <w:t>律师</w:t>
      </w:r>
      <w:r>
        <w:rPr>
          <w:rFonts w:hint="eastAsia" w:ascii="仿宋" w:hAnsi="仿宋" w:eastAsia="仿宋" w:cs="仿宋"/>
          <w:sz w:val="30"/>
          <w:szCs w:val="30"/>
        </w:rPr>
        <w:t>）</w:t>
      </w:r>
    </w:p>
    <w:p>
      <w:pPr>
        <w:pStyle w:val="7"/>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rPr>
        <w:t>联系地址：</w:t>
      </w:r>
      <w:r>
        <w:rPr>
          <w:rFonts w:hint="eastAsia" w:ascii="仿宋" w:hAnsi="仿宋" w:eastAsia="仿宋" w:cs="仿宋"/>
          <w:sz w:val="30"/>
          <w:szCs w:val="30"/>
          <w:lang w:eastAsia="zh-Hans"/>
        </w:rPr>
        <w:t>福建省厦门市思明区厦禾路</w:t>
      </w:r>
      <w:r>
        <w:rPr>
          <w:rFonts w:ascii="仿宋" w:hAnsi="仿宋" w:eastAsia="仿宋" w:cs="仿宋"/>
          <w:sz w:val="30"/>
          <w:szCs w:val="30"/>
          <w:lang w:eastAsia="zh-Hans"/>
        </w:rPr>
        <w:t>666</w:t>
      </w:r>
      <w:r>
        <w:rPr>
          <w:rFonts w:hint="eastAsia" w:ascii="仿宋" w:hAnsi="仿宋" w:eastAsia="仿宋" w:cs="仿宋"/>
          <w:sz w:val="30"/>
          <w:szCs w:val="30"/>
          <w:lang w:eastAsia="zh-Hans"/>
        </w:rPr>
        <w:t>号海翼大厦A座</w:t>
      </w:r>
      <w:r>
        <w:rPr>
          <w:rFonts w:ascii="仿宋" w:hAnsi="仿宋" w:eastAsia="仿宋" w:cs="仿宋"/>
          <w:sz w:val="30"/>
          <w:szCs w:val="30"/>
          <w:lang w:eastAsia="zh-Hans"/>
        </w:rPr>
        <w:t>16-18</w:t>
      </w:r>
      <w:r>
        <w:rPr>
          <w:rFonts w:hint="eastAsia" w:ascii="仿宋" w:hAnsi="仿宋" w:eastAsia="仿宋" w:cs="仿宋"/>
          <w:sz w:val="30"/>
          <w:szCs w:val="30"/>
          <w:lang w:eastAsia="zh-Hans"/>
        </w:rPr>
        <w:t>层福建天衡联合律师事务所</w:t>
      </w:r>
    </w:p>
    <w:p>
      <w:pPr>
        <w:pStyle w:val="7"/>
        <w:shd w:val="clear" w:color="auto" w:fill="FFFFFF"/>
        <w:spacing w:beforeAutospacing="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lang w:eastAsia="zh-Hans"/>
        </w:rPr>
        <w:t>法院监督电话</w:t>
      </w:r>
      <w:r>
        <w:rPr>
          <w:rFonts w:ascii="仿宋" w:hAnsi="仿宋" w:eastAsia="仿宋" w:cs="仿宋"/>
          <w:sz w:val="30"/>
          <w:szCs w:val="30"/>
          <w:lang w:eastAsia="zh-Hans"/>
        </w:rPr>
        <w:t>：</w:t>
      </w:r>
      <w:r>
        <w:rPr>
          <w:rFonts w:ascii="仿宋" w:hAnsi="仿宋" w:eastAsia="仿宋" w:cs="仿宋"/>
          <w:sz w:val="30"/>
          <w:szCs w:val="30"/>
        </w:rPr>
        <w:t>0592-5306086</w:t>
      </w:r>
      <w:r>
        <w:rPr>
          <w:rFonts w:ascii="仿宋" w:hAnsi="仿宋" w:eastAsia="仿宋" w:cs="仿宋"/>
          <w:sz w:val="30"/>
          <w:szCs w:val="30"/>
          <w:lang w:eastAsia="zh-Hans"/>
        </w:rPr>
        <w:t>（</w:t>
      </w:r>
      <w:r>
        <w:rPr>
          <w:rFonts w:hint="eastAsia" w:ascii="仿宋" w:hAnsi="仿宋" w:eastAsia="仿宋" w:cs="仿宋"/>
          <w:sz w:val="30"/>
          <w:szCs w:val="30"/>
        </w:rPr>
        <w:t>凡发现竞价中有违规行为，可如实举报。</w:t>
      </w:r>
      <w:r>
        <w:rPr>
          <w:rFonts w:ascii="仿宋" w:hAnsi="仿宋" w:eastAsia="仿宋" w:cs="仿宋"/>
          <w:sz w:val="30"/>
          <w:szCs w:val="30"/>
        </w:rPr>
        <w:t>）</w:t>
      </w:r>
    </w:p>
    <w:p>
      <w:pPr>
        <w:pStyle w:val="7"/>
        <w:shd w:val="clear" w:color="auto" w:fill="FFFFFF"/>
        <w:spacing w:beforeAutospacing="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京东技术咨询电话：</w:t>
      </w:r>
      <w:r>
        <w:rPr>
          <w:rFonts w:ascii="仿宋" w:hAnsi="仿宋" w:eastAsia="仿宋" w:cs="仿宋"/>
          <w:sz w:val="30"/>
          <w:szCs w:val="30"/>
        </w:rPr>
        <w:t>4006229586</w:t>
      </w:r>
    </w:p>
    <w:p>
      <w:pPr>
        <w:spacing w:line="360" w:lineRule="auto"/>
        <w:ind w:firstLine="600" w:firstLineChars="200"/>
        <w:rPr>
          <w:rFonts w:ascii="宋体" w:hAnsi="宋体" w:cs="宋体"/>
          <w:sz w:val="24"/>
        </w:rPr>
      </w:pPr>
      <w:r>
        <w:rPr>
          <w:rFonts w:hint="eastAsia" w:ascii="仿宋" w:hAnsi="仿宋" w:eastAsia="仿宋" w:cs="仿宋"/>
          <w:sz w:val="30"/>
          <w:szCs w:val="30"/>
        </w:rPr>
        <w:t>此公告将在“京东</w:t>
      </w:r>
      <w:r>
        <w:rPr>
          <w:rFonts w:hint="eastAsia" w:ascii="仿宋" w:hAnsi="仿宋" w:eastAsia="仿宋" w:cs="仿宋"/>
          <w:sz w:val="30"/>
          <w:szCs w:val="30"/>
          <w:lang w:eastAsia="zh-Hans"/>
        </w:rPr>
        <w:t>拍卖</w:t>
      </w:r>
      <w:r>
        <w:rPr>
          <w:rFonts w:hint="eastAsia" w:ascii="仿宋" w:hAnsi="仿宋" w:eastAsia="仿宋" w:cs="仿宋"/>
          <w:sz w:val="30"/>
          <w:szCs w:val="30"/>
        </w:rPr>
        <w:t>”上进行发布，请各竞买人自行关注，网址为:</w:t>
      </w:r>
      <w:r>
        <w:rPr>
          <w:rFonts w:ascii="仿宋" w:hAnsi="仿宋" w:eastAsia="仿宋" w:cs="仿宋"/>
          <w:sz w:val="30"/>
          <w:szCs w:val="30"/>
        </w:rPr>
        <w:t>https://auction.jd.com/bankrupt.html</w:t>
      </w:r>
      <w:r>
        <w:rPr>
          <w:rFonts w:hint="eastAsia" w:ascii="仿宋" w:hAnsi="仿宋" w:eastAsia="仿宋" w:cs="仿宋"/>
          <w:sz w:val="30"/>
          <w:szCs w:val="30"/>
        </w:rPr>
        <w:t>。</w:t>
      </w:r>
    </w:p>
    <w:p>
      <w:pPr>
        <w:spacing w:line="360" w:lineRule="auto"/>
        <w:ind w:right="560"/>
        <w:rPr>
          <w:rFonts w:ascii="宋体" w:hAnsi="宋体" w:cs="宋体"/>
          <w:sz w:val="24"/>
        </w:rPr>
      </w:pPr>
    </w:p>
    <w:p>
      <w:pPr>
        <w:spacing w:line="360" w:lineRule="auto"/>
        <w:ind w:firstLine="600" w:firstLineChars="200"/>
        <w:jc w:val="right"/>
        <w:rPr>
          <w:rFonts w:ascii="仿宋" w:hAnsi="仿宋" w:eastAsia="仿宋" w:cs="仿宋"/>
          <w:sz w:val="30"/>
          <w:szCs w:val="30"/>
        </w:rPr>
      </w:pPr>
    </w:p>
    <w:p>
      <w:pPr>
        <w:spacing w:line="360" w:lineRule="auto"/>
        <w:ind w:firstLine="602" w:firstLineChars="200"/>
        <w:jc w:val="center"/>
        <w:rPr>
          <w:rFonts w:ascii="仿宋" w:hAnsi="仿宋" w:eastAsia="仿宋" w:cs="仿宋"/>
          <w:sz w:val="30"/>
          <w:szCs w:val="30"/>
        </w:rPr>
      </w:pPr>
      <w:r>
        <w:rPr>
          <w:rFonts w:hint="eastAsia" w:ascii="仿宋" w:hAnsi="仿宋" w:eastAsia="仿宋" w:cs="仿宋"/>
          <w:b/>
          <w:bCs/>
          <w:sz w:val="30"/>
          <w:szCs w:val="30"/>
        </w:rPr>
        <w:t xml:space="preserve"> </w:t>
      </w:r>
      <w:r>
        <w:rPr>
          <w:rFonts w:ascii="仿宋" w:hAnsi="仿宋" w:eastAsia="仿宋" w:cs="仿宋"/>
          <w:b/>
          <w:bCs/>
          <w:sz w:val="30"/>
          <w:szCs w:val="30"/>
        </w:rPr>
        <w:t xml:space="preserve">             </w:t>
      </w:r>
      <w:r>
        <w:rPr>
          <w:rFonts w:hint="eastAsia" w:ascii="仿宋" w:hAnsi="仿宋" w:eastAsia="仿宋" w:cs="仿宋"/>
          <w:b/>
          <w:bCs/>
          <w:sz w:val="30"/>
          <w:szCs w:val="30"/>
          <w:highlight w:val="none"/>
        </w:rPr>
        <w:t>厦门新阳奔马科技有限公司</w:t>
      </w:r>
      <w:r>
        <w:rPr>
          <w:rFonts w:hint="eastAsia" w:ascii="仿宋" w:hAnsi="仿宋" w:eastAsia="仿宋" w:cs="仿宋"/>
          <w:b/>
          <w:bCs/>
          <w:sz w:val="30"/>
          <w:szCs w:val="30"/>
        </w:rPr>
        <w:t>管理人</w:t>
      </w:r>
    </w:p>
    <w:p>
      <w:pPr>
        <w:spacing w:line="360" w:lineRule="auto"/>
        <w:ind w:firstLine="600" w:firstLineChars="200"/>
        <w:jc w:val="center"/>
        <w:rPr>
          <w:rFonts w:ascii="仿宋" w:hAnsi="仿宋" w:eastAsia="仿宋" w:cs="仿宋"/>
          <w:b/>
          <w:bCs/>
          <w:sz w:val="30"/>
          <w:szCs w:val="30"/>
        </w:rPr>
      </w:pPr>
      <w:r>
        <w:rPr>
          <w:rFonts w:ascii="仿宋" w:hAnsi="仿宋" w:eastAsia="仿宋" w:cs="仿宋"/>
          <w:sz w:val="30"/>
          <w:szCs w:val="30"/>
        </w:rPr>
        <w:t xml:space="preserve">                  </w:t>
      </w:r>
      <w:r>
        <w:rPr>
          <w:rFonts w:ascii="仿宋" w:hAnsi="仿宋" w:eastAsia="仿宋" w:cs="仿宋"/>
          <w:b/>
          <w:bCs/>
          <w:sz w:val="30"/>
          <w:szCs w:val="30"/>
        </w:rPr>
        <w:t>2022</w:t>
      </w:r>
      <w:r>
        <w:rPr>
          <w:rFonts w:hint="eastAsia" w:ascii="仿宋" w:hAnsi="仿宋" w:eastAsia="仿宋" w:cs="仿宋"/>
          <w:b/>
          <w:bCs/>
          <w:sz w:val="30"/>
          <w:szCs w:val="30"/>
        </w:rPr>
        <w:t>年</w:t>
      </w:r>
      <w:r>
        <w:rPr>
          <w:rFonts w:hint="default" w:ascii="仿宋" w:hAnsi="仿宋" w:eastAsia="仿宋" w:cs="仿宋"/>
          <w:b/>
          <w:bCs/>
          <w:sz w:val="30"/>
          <w:szCs w:val="30"/>
          <w:lang w:eastAsia="zh-Hans"/>
        </w:rPr>
        <w:t>12</w:t>
      </w:r>
      <w:r>
        <w:rPr>
          <w:rFonts w:hint="eastAsia" w:ascii="仿宋" w:hAnsi="仿宋" w:eastAsia="仿宋" w:cs="仿宋"/>
          <w:b/>
          <w:bCs/>
          <w:sz w:val="30"/>
          <w:szCs w:val="30"/>
        </w:rPr>
        <w:t>月</w:t>
      </w:r>
      <w:r>
        <w:rPr>
          <w:rFonts w:hint="default" w:ascii="仿宋" w:hAnsi="仿宋" w:eastAsia="仿宋" w:cs="仿宋"/>
          <w:b/>
          <w:bCs/>
          <w:sz w:val="30"/>
          <w:szCs w:val="30"/>
        </w:rPr>
        <w:t>5</w:t>
      </w:r>
      <w:bookmarkStart w:id="1" w:name="_GoBack"/>
      <w:bookmarkEnd w:id="1"/>
      <w:r>
        <w:rPr>
          <w:rFonts w:hint="eastAsia" w:ascii="仿宋" w:hAnsi="仿宋" w:eastAsia="仿宋" w:cs="仿宋"/>
          <w:b/>
          <w:bCs/>
          <w:sz w:val="30"/>
          <w:szCs w:val="30"/>
        </w:rPr>
        <w:t>日</w:t>
      </w:r>
    </w:p>
    <w:p>
      <w:pPr>
        <w:spacing w:line="360" w:lineRule="auto"/>
        <w:ind w:firstLine="602" w:firstLineChars="200"/>
        <w:rPr>
          <w:rFonts w:ascii="仿宋" w:hAnsi="仿宋" w:eastAsia="仿宋" w:cs="仿宋"/>
          <w:b/>
          <w:bCs/>
          <w:sz w:val="30"/>
          <w:szCs w:val="30"/>
        </w:rPr>
      </w:pPr>
    </w:p>
    <w:p>
      <w:pPr>
        <w:spacing w:line="360" w:lineRule="auto"/>
        <w:ind w:firstLine="602" w:firstLineChars="200"/>
        <w:rPr>
          <w:rFonts w:ascii="仿宋" w:hAnsi="仿宋" w:eastAsia="仿宋" w:cs="仿宋"/>
          <w:b/>
          <w:bCs/>
          <w:sz w:val="30"/>
          <w:szCs w:val="30"/>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DengXian">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EAAF6E"/>
    <w:multiLevelType w:val="singleLevel"/>
    <w:tmpl w:val="BEEAAF6E"/>
    <w:lvl w:ilvl="0" w:tentative="0">
      <w:start w:val="3"/>
      <w:numFmt w:val="chineseCounting"/>
      <w:suff w:val="nothing"/>
      <w:lvlText w:val="（%1）"/>
      <w:lvlJc w:val="left"/>
      <w:rPr>
        <w:rFonts w:hint="eastAsia"/>
      </w:rPr>
    </w:lvl>
  </w:abstractNum>
  <w:abstractNum w:abstractNumId="1">
    <w:nsid w:val="67E7A553"/>
    <w:multiLevelType w:val="singleLevel"/>
    <w:tmpl w:val="67E7A55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E5C6D"/>
    <w:rsid w:val="00013E81"/>
    <w:rsid w:val="00024AB6"/>
    <w:rsid w:val="0006296E"/>
    <w:rsid w:val="00075BA7"/>
    <w:rsid w:val="00077C31"/>
    <w:rsid w:val="000C15C2"/>
    <w:rsid w:val="000D2B8C"/>
    <w:rsid w:val="000E1346"/>
    <w:rsid w:val="000E56A3"/>
    <w:rsid w:val="00122404"/>
    <w:rsid w:val="00122FAE"/>
    <w:rsid w:val="00130F75"/>
    <w:rsid w:val="001342D5"/>
    <w:rsid w:val="0014557B"/>
    <w:rsid w:val="00155065"/>
    <w:rsid w:val="00162105"/>
    <w:rsid w:val="00163CCA"/>
    <w:rsid w:val="001647B4"/>
    <w:rsid w:val="001664D1"/>
    <w:rsid w:val="00171E04"/>
    <w:rsid w:val="00175B8C"/>
    <w:rsid w:val="00193F3C"/>
    <w:rsid w:val="001C3273"/>
    <w:rsid w:val="001D0130"/>
    <w:rsid w:val="00200B77"/>
    <w:rsid w:val="0020761D"/>
    <w:rsid w:val="00230920"/>
    <w:rsid w:val="00255533"/>
    <w:rsid w:val="0025639B"/>
    <w:rsid w:val="002624ED"/>
    <w:rsid w:val="002650CD"/>
    <w:rsid w:val="00272F4F"/>
    <w:rsid w:val="00275D78"/>
    <w:rsid w:val="002A454F"/>
    <w:rsid w:val="002D0ACA"/>
    <w:rsid w:val="002D4EB4"/>
    <w:rsid w:val="00305DF9"/>
    <w:rsid w:val="003331BC"/>
    <w:rsid w:val="003531E0"/>
    <w:rsid w:val="00367E45"/>
    <w:rsid w:val="003761A8"/>
    <w:rsid w:val="00387C5C"/>
    <w:rsid w:val="003A4BA6"/>
    <w:rsid w:val="003D1F28"/>
    <w:rsid w:val="003D1F49"/>
    <w:rsid w:val="003F794D"/>
    <w:rsid w:val="00410688"/>
    <w:rsid w:val="004109EF"/>
    <w:rsid w:val="00417107"/>
    <w:rsid w:val="00420078"/>
    <w:rsid w:val="0045004A"/>
    <w:rsid w:val="0045466F"/>
    <w:rsid w:val="00464C7C"/>
    <w:rsid w:val="00481227"/>
    <w:rsid w:val="004F4767"/>
    <w:rsid w:val="00510D9F"/>
    <w:rsid w:val="00545BDF"/>
    <w:rsid w:val="00551ECC"/>
    <w:rsid w:val="00552FDC"/>
    <w:rsid w:val="00554623"/>
    <w:rsid w:val="00571496"/>
    <w:rsid w:val="0057730E"/>
    <w:rsid w:val="00581CB1"/>
    <w:rsid w:val="00594DA9"/>
    <w:rsid w:val="005B2042"/>
    <w:rsid w:val="005E1C35"/>
    <w:rsid w:val="005E25C4"/>
    <w:rsid w:val="005F3133"/>
    <w:rsid w:val="005F3878"/>
    <w:rsid w:val="005F6681"/>
    <w:rsid w:val="006139F2"/>
    <w:rsid w:val="00637167"/>
    <w:rsid w:val="00657156"/>
    <w:rsid w:val="006618E2"/>
    <w:rsid w:val="00663E42"/>
    <w:rsid w:val="00667675"/>
    <w:rsid w:val="00686DC3"/>
    <w:rsid w:val="006B0A0A"/>
    <w:rsid w:val="006C029A"/>
    <w:rsid w:val="006C51AD"/>
    <w:rsid w:val="006F3F85"/>
    <w:rsid w:val="0070004E"/>
    <w:rsid w:val="00714293"/>
    <w:rsid w:val="00752B63"/>
    <w:rsid w:val="00754393"/>
    <w:rsid w:val="00772229"/>
    <w:rsid w:val="00797691"/>
    <w:rsid w:val="007A7489"/>
    <w:rsid w:val="007C6893"/>
    <w:rsid w:val="007D5E20"/>
    <w:rsid w:val="007D5E3C"/>
    <w:rsid w:val="007F74A4"/>
    <w:rsid w:val="00800CD4"/>
    <w:rsid w:val="00810C27"/>
    <w:rsid w:val="00811D4F"/>
    <w:rsid w:val="0083085E"/>
    <w:rsid w:val="008513C7"/>
    <w:rsid w:val="00861DB7"/>
    <w:rsid w:val="0086419F"/>
    <w:rsid w:val="008764EC"/>
    <w:rsid w:val="0087786B"/>
    <w:rsid w:val="0088434F"/>
    <w:rsid w:val="008A031B"/>
    <w:rsid w:val="008C47FC"/>
    <w:rsid w:val="008D7156"/>
    <w:rsid w:val="008E3C6E"/>
    <w:rsid w:val="00922C02"/>
    <w:rsid w:val="0097177A"/>
    <w:rsid w:val="0097194F"/>
    <w:rsid w:val="009B0082"/>
    <w:rsid w:val="009D6413"/>
    <w:rsid w:val="009E5A9E"/>
    <w:rsid w:val="009F4511"/>
    <w:rsid w:val="00A018A8"/>
    <w:rsid w:val="00A0275D"/>
    <w:rsid w:val="00A06205"/>
    <w:rsid w:val="00A43D68"/>
    <w:rsid w:val="00A54F9E"/>
    <w:rsid w:val="00A72129"/>
    <w:rsid w:val="00A83BBC"/>
    <w:rsid w:val="00A94463"/>
    <w:rsid w:val="00AC2E33"/>
    <w:rsid w:val="00AD1913"/>
    <w:rsid w:val="00AE40FC"/>
    <w:rsid w:val="00B00EA5"/>
    <w:rsid w:val="00B020CF"/>
    <w:rsid w:val="00B072DA"/>
    <w:rsid w:val="00B207D8"/>
    <w:rsid w:val="00B20B5D"/>
    <w:rsid w:val="00B2228E"/>
    <w:rsid w:val="00B341B3"/>
    <w:rsid w:val="00B54F8B"/>
    <w:rsid w:val="00B73769"/>
    <w:rsid w:val="00B76BF4"/>
    <w:rsid w:val="00B77FBA"/>
    <w:rsid w:val="00BB05D5"/>
    <w:rsid w:val="00BB501E"/>
    <w:rsid w:val="00BD6D52"/>
    <w:rsid w:val="00C2748F"/>
    <w:rsid w:val="00C474F5"/>
    <w:rsid w:val="00C637C4"/>
    <w:rsid w:val="00C765E2"/>
    <w:rsid w:val="00C912AD"/>
    <w:rsid w:val="00C9797D"/>
    <w:rsid w:val="00CB047F"/>
    <w:rsid w:val="00CC2EF8"/>
    <w:rsid w:val="00CD321F"/>
    <w:rsid w:val="00CF3C89"/>
    <w:rsid w:val="00D129AE"/>
    <w:rsid w:val="00D24536"/>
    <w:rsid w:val="00D43A4F"/>
    <w:rsid w:val="00D55B7B"/>
    <w:rsid w:val="00D923D3"/>
    <w:rsid w:val="00D93517"/>
    <w:rsid w:val="00D973AF"/>
    <w:rsid w:val="00DB3509"/>
    <w:rsid w:val="00DD4A57"/>
    <w:rsid w:val="00E413A2"/>
    <w:rsid w:val="00E529DE"/>
    <w:rsid w:val="00E5397D"/>
    <w:rsid w:val="00E603D9"/>
    <w:rsid w:val="00E62B1E"/>
    <w:rsid w:val="00E93CAC"/>
    <w:rsid w:val="00EC7750"/>
    <w:rsid w:val="00F01A74"/>
    <w:rsid w:val="00F4236A"/>
    <w:rsid w:val="00F473C2"/>
    <w:rsid w:val="00F5179C"/>
    <w:rsid w:val="00F5335B"/>
    <w:rsid w:val="00F56AF9"/>
    <w:rsid w:val="00F75675"/>
    <w:rsid w:val="00F75A3C"/>
    <w:rsid w:val="00F91A0D"/>
    <w:rsid w:val="00FC1769"/>
    <w:rsid w:val="00FE2A1E"/>
    <w:rsid w:val="0BDB6005"/>
    <w:rsid w:val="0DE83303"/>
    <w:rsid w:val="117E5C6D"/>
    <w:rsid w:val="131C68B5"/>
    <w:rsid w:val="1FDF479F"/>
    <w:rsid w:val="230A063A"/>
    <w:rsid w:val="3F774AB6"/>
    <w:rsid w:val="3FFFA858"/>
    <w:rsid w:val="47F6EF38"/>
    <w:rsid w:val="4E3E37D9"/>
    <w:rsid w:val="4F5742FA"/>
    <w:rsid w:val="535D4C48"/>
    <w:rsid w:val="5D5D7C93"/>
    <w:rsid w:val="5DBBB093"/>
    <w:rsid w:val="5DFD23D3"/>
    <w:rsid w:val="5FFF5D47"/>
    <w:rsid w:val="665FD7DE"/>
    <w:rsid w:val="6FFC6060"/>
    <w:rsid w:val="71F71C36"/>
    <w:rsid w:val="729D3C72"/>
    <w:rsid w:val="72C7BFD5"/>
    <w:rsid w:val="73B408C7"/>
    <w:rsid w:val="748F8A2F"/>
    <w:rsid w:val="76F7F0EB"/>
    <w:rsid w:val="77B73036"/>
    <w:rsid w:val="77DF42CF"/>
    <w:rsid w:val="79E74B34"/>
    <w:rsid w:val="7A07FC86"/>
    <w:rsid w:val="7D67922B"/>
    <w:rsid w:val="7E6E5849"/>
    <w:rsid w:val="7EEB6E73"/>
    <w:rsid w:val="8AEF421D"/>
    <w:rsid w:val="96FFC271"/>
    <w:rsid w:val="9DFEB2AD"/>
    <w:rsid w:val="9F99F6D3"/>
    <w:rsid w:val="9FAF7BC8"/>
    <w:rsid w:val="9FF7D0ED"/>
    <w:rsid w:val="A77E2110"/>
    <w:rsid w:val="AEFDEAF1"/>
    <w:rsid w:val="BFC92BF8"/>
    <w:rsid w:val="BFD77C74"/>
    <w:rsid w:val="BFFA2E02"/>
    <w:rsid w:val="CEFD7E2D"/>
    <w:rsid w:val="D3DA7668"/>
    <w:rsid w:val="D7BDAC67"/>
    <w:rsid w:val="DFAE7DF2"/>
    <w:rsid w:val="E5CAAE38"/>
    <w:rsid w:val="E75F8201"/>
    <w:rsid w:val="EFCF179A"/>
    <w:rsid w:val="EFF761E0"/>
    <w:rsid w:val="EFFF26EC"/>
    <w:rsid w:val="F27F3B7A"/>
    <w:rsid w:val="F57B7AFE"/>
    <w:rsid w:val="F9B76508"/>
    <w:rsid w:val="FBFBFB70"/>
    <w:rsid w:val="FD4E5A3E"/>
    <w:rsid w:val="FDFF50DB"/>
    <w:rsid w:val="FEF73B6D"/>
    <w:rsid w:val="FF17B4FD"/>
    <w:rsid w:val="FFDF98A3"/>
    <w:rsid w:val="FFEA00AE"/>
    <w:rsid w:val="FFEF3A1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b/>
      <w:bCs/>
      <w:kern w:val="0"/>
      <w:sz w:val="36"/>
      <w:szCs w:val="36"/>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qFormat/>
    <w:uiPriority w:val="0"/>
    <w:rPr>
      <w:rFonts w:ascii="Calibri" w:hAnsi="Calibri"/>
      <w:kern w:val="2"/>
      <w:sz w:val="18"/>
      <w:szCs w:val="18"/>
    </w:rPr>
  </w:style>
  <w:style w:type="character" w:customStyle="1" w:styleId="12">
    <w:name w:val="页脚 字符"/>
    <w:basedOn w:val="10"/>
    <w:link w:val="5"/>
    <w:qFormat/>
    <w:uiPriority w:val="0"/>
    <w:rPr>
      <w:rFonts w:ascii="Calibri" w:hAnsi="Calibri"/>
      <w:kern w:val="2"/>
      <w:sz w:val="18"/>
      <w:szCs w:val="18"/>
    </w:rPr>
  </w:style>
  <w:style w:type="paragraph" w:customStyle="1" w:styleId="13">
    <w:name w:val="修订1"/>
    <w:hidden/>
    <w:semiHidden/>
    <w:qFormat/>
    <w:uiPriority w:val="99"/>
    <w:rPr>
      <w:rFonts w:ascii="Calibri" w:hAnsi="Calibri" w:eastAsia="宋体" w:cs="Times New Roman"/>
      <w:kern w:val="2"/>
      <w:sz w:val="21"/>
      <w:szCs w:val="24"/>
      <w:lang w:val="en-US" w:eastAsia="zh-CN" w:bidi="ar-SA"/>
    </w:rPr>
  </w:style>
  <w:style w:type="paragraph" w:customStyle="1" w:styleId="14">
    <w:name w:val="修订2"/>
    <w:hidden/>
    <w:semiHidden/>
    <w:qFormat/>
    <w:uiPriority w:val="99"/>
    <w:rPr>
      <w:rFonts w:ascii="Calibri" w:hAnsi="Calibri" w:eastAsia="宋体" w:cs="Times New Roman"/>
      <w:kern w:val="2"/>
      <w:sz w:val="21"/>
      <w:szCs w:val="24"/>
      <w:lang w:val="en-US" w:eastAsia="zh-CN" w:bidi="ar-SA"/>
    </w:rPr>
  </w:style>
  <w:style w:type="paragraph" w:customStyle="1" w:styleId="15">
    <w:name w:val="修订3"/>
    <w:hidden/>
    <w:semiHidden/>
    <w:qFormat/>
    <w:uiPriority w:val="99"/>
    <w:rPr>
      <w:rFonts w:ascii="Calibri" w:hAnsi="Calibri" w:eastAsia="宋体" w:cs="Times New Roman"/>
      <w:kern w:val="2"/>
      <w:sz w:val="21"/>
      <w:szCs w:val="24"/>
      <w:lang w:val="en-US" w:eastAsia="zh-CN" w:bidi="ar-SA"/>
    </w:rPr>
  </w:style>
  <w:style w:type="paragraph" w:customStyle="1" w:styleId="16">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2347</Words>
  <Characters>2701</Characters>
  <Lines>168</Lines>
  <Paragraphs>81</Paragraphs>
  <TotalTime>419</TotalTime>
  <ScaleCrop>false</ScaleCrop>
  <LinksUpToDate>false</LinksUpToDate>
  <CharactersWithSpaces>4967</CharactersWithSpaces>
  <Application>WPS Office_4.6.1.7467_F1E327BC-269C-435d-A152-05C5408002CA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2022-01-29T00:56:00Z</dcterms:created>
  <dc:creator>monkey</dc:creator>
  <cp:lastModifiedBy>zxq</cp:lastModifiedBy>
  <dcterms:modified xsi:type="dcterms:W3CDTF">2022-11-30T18:13:51Z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CB5EC052DFC028D0530B356363254E45</vt:lpwstr>
  </property>
</Properties>
</file>