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一、本《竞拍须知》根据《中华人民共和国企业破产法》等相关法律规定及债权人会议表决通过的《财产变价方案》，并参照《最高人民法院关于人民法院网络司法拍卖若干问题的规定》（法释〔2016〕18号）的相关规定所制订，竞买人应认真仔细阅读，了解本须知的全部内容。</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二、本次竞价活动遵循“公开、公平、公正、诚实守信”的原则，竞价活动具备法律效力。参加本次竞价活动的当事人和竞买人必须遵守本须知的各项条款，并对自己的行为承担法律责任。</w:t>
      </w:r>
    </w:p>
    <w:p>
      <w:pPr>
        <w:pStyle w:val="5"/>
        <w:shd w:val="clear" w:color="auto" w:fill="FFFFFF"/>
        <w:spacing w:before="0" w:beforeAutospacing="0" w:after="0" w:afterAutospacing="0" w:line="360" w:lineRule="auto"/>
        <w:ind w:firstLine="600" w:firstLineChars="200"/>
        <w:jc w:val="both"/>
        <w:rPr>
          <w:rFonts w:ascii="仿宋" w:hAnsi="仿宋" w:eastAsia="仿宋" w:cs="仿宋"/>
          <w:highlight w:val="none"/>
          <w:lang w:eastAsia="zh-Hans"/>
        </w:rPr>
      </w:pPr>
      <w:r>
        <w:rPr>
          <w:rFonts w:hint="eastAsia" w:ascii="仿宋" w:hAnsi="仿宋" w:eastAsia="仿宋" w:cs="仿宋"/>
          <w:sz w:val="30"/>
          <w:szCs w:val="30"/>
          <w:highlight w:val="none"/>
          <w:lang w:eastAsia="zh-Hans"/>
        </w:rPr>
        <w:t>三、拍卖标的：</w:t>
      </w:r>
      <w:r>
        <w:rPr>
          <w:rFonts w:hint="eastAsia" w:ascii="仿宋" w:hAnsi="仿宋" w:eastAsia="仿宋" w:cs="仿宋"/>
          <w:sz w:val="30"/>
          <w:szCs w:val="30"/>
          <w:highlight w:val="none"/>
        </w:rPr>
        <w:t>厦门</w:t>
      </w:r>
      <w:r>
        <w:rPr>
          <w:rFonts w:hint="eastAsia" w:ascii="仿宋" w:hAnsi="仿宋" w:eastAsia="仿宋" w:cs="仿宋"/>
          <w:sz w:val="30"/>
          <w:szCs w:val="30"/>
          <w:highlight w:val="none"/>
          <w:lang w:val="en-US" w:eastAsia="zh-CN"/>
        </w:rPr>
        <w:t>协力华宏进出口贸易</w:t>
      </w:r>
      <w:r>
        <w:rPr>
          <w:rFonts w:hint="eastAsia" w:ascii="仿宋" w:hAnsi="仿宋" w:eastAsia="仿宋" w:cs="仿宋"/>
          <w:sz w:val="30"/>
          <w:szCs w:val="30"/>
          <w:highlight w:val="none"/>
        </w:rPr>
        <w:t>有限公司</w:t>
      </w:r>
      <w:r>
        <w:rPr>
          <w:rFonts w:hint="eastAsia" w:ascii="仿宋" w:hAnsi="仿宋" w:eastAsia="仿宋" w:cs="仿宋"/>
          <w:sz w:val="30"/>
          <w:szCs w:val="30"/>
          <w:highlight w:val="none"/>
        </w:rPr>
        <w:t>对外享有的应收债权，具体详见《拍卖公告》第一条</w:t>
      </w:r>
      <w:r>
        <w:rPr>
          <w:rFonts w:ascii="仿宋" w:hAnsi="仿宋" w:eastAsia="仿宋" w:cs="仿宋"/>
          <w:b/>
          <w:bCs/>
          <w:sz w:val="30"/>
          <w:szCs w:val="30"/>
          <w:highlight w:val="none"/>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拍卖标的权利</w:t>
      </w:r>
      <w:r>
        <w:rPr>
          <w:rFonts w:hint="eastAsia" w:ascii="仿宋" w:hAnsi="仿宋" w:eastAsia="仿宋" w:cs="仿宋"/>
          <w:b/>
          <w:bCs/>
          <w:sz w:val="30"/>
          <w:szCs w:val="30"/>
          <w:highlight w:val="none"/>
        </w:rPr>
        <w:t>状态</w:t>
      </w:r>
      <w:r>
        <w:rPr>
          <w:rFonts w:hint="eastAsia" w:ascii="仿宋" w:hAnsi="仿宋" w:eastAsia="仿宋" w:cs="仿宋"/>
          <w:b/>
          <w:bCs/>
          <w:sz w:val="30"/>
          <w:szCs w:val="30"/>
          <w:highlight w:val="none"/>
          <w:lang w:eastAsia="zh-Hans"/>
        </w:rPr>
        <w:t>以</w:t>
      </w:r>
      <w:r>
        <w:rPr>
          <w:rFonts w:hint="eastAsia" w:ascii="仿宋" w:hAnsi="仿宋" w:eastAsia="仿宋" w:cs="仿宋"/>
          <w:b/>
          <w:bCs/>
          <w:sz w:val="30"/>
          <w:szCs w:val="30"/>
          <w:highlight w:val="none"/>
        </w:rPr>
        <w:t>现状</w:t>
      </w:r>
      <w:r>
        <w:rPr>
          <w:rFonts w:hint="eastAsia" w:ascii="仿宋" w:hAnsi="仿宋" w:eastAsia="仿宋" w:cs="仿宋"/>
          <w:b/>
          <w:bCs/>
          <w:sz w:val="30"/>
          <w:szCs w:val="30"/>
          <w:highlight w:val="none"/>
          <w:lang w:eastAsia="zh-Hans"/>
        </w:rPr>
        <w:t>为准</w:t>
      </w:r>
      <w:r>
        <w:rPr>
          <w:rFonts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eastAsia="zh-Hans"/>
        </w:rPr>
        <w:t>管理人不承担拍卖标的瑕疵担保责任。竞买人在参与竞买前应自行对拍卖标的等开展尽职调查，其参与竞买即视为</w:t>
      </w:r>
      <w:r>
        <w:rPr>
          <w:rFonts w:ascii="仿宋" w:hAnsi="仿宋" w:eastAsia="仿宋" w:cs="仿宋"/>
          <w:b/>
          <w:bCs/>
          <w:sz w:val="30"/>
          <w:szCs w:val="30"/>
          <w:highlight w:val="none"/>
          <w:lang w:eastAsia="zh-Hans"/>
        </w:rPr>
        <w:t>接受</w:t>
      </w:r>
      <w:r>
        <w:rPr>
          <w:rFonts w:hint="eastAsia" w:ascii="仿宋" w:hAnsi="仿宋" w:eastAsia="仿宋" w:cs="仿宋"/>
          <w:b/>
          <w:bCs/>
          <w:sz w:val="30"/>
          <w:szCs w:val="30"/>
          <w:highlight w:val="none"/>
          <w:lang w:eastAsia="zh-Hans"/>
        </w:rPr>
        <w:t>拍卖标的</w:t>
      </w:r>
      <w:r>
        <w:rPr>
          <w:rFonts w:ascii="仿宋" w:hAnsi="仿宋" w:eastAsia="仿宋" w:cs="仿宋"/>
          <w:b/>
          <w:bCs/>
          <w:sz w:val="30"/>
          <w:szCs w:val="30"/>
          <w:highlight w:val="none"/>
          <w:lang w:eastAsia="zh-Hans"/>
        </w:rPr>
        <w:t>一切已知及未知的瑕疵。</w:t>
      </w:r>
      <w:r>
        <w:rPr>
          <w:rFonts w:hint="eastAsia" w:ascii="仿宋" w:hAnsi="仿宋" w:eastAsia="仿宋" w:cs="仿宋"/>
          <w:b/>
          <w:bCs/>
          <w:sz w:val="30"/>
          <w:szCs w:val="30"/>
          <w:highlight w:val="none"/>
          <w:lang w:eastAsia="zh-Hans"/>
        </w:rPr>
        <w:t>除《拍卖公告》</w:t>
      </w:r>
      <w:r>
        <w:rPr>
          <w:rFonts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eastAsia="zh-Hans"/>
        </w:rPr>
        <w:t>竞拍须知</w:t>
      </w:r>
      <w:r>
        <w:rPr>
          <w:rFonts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eastAsia="zh-Hans"/>
        </w:rPr>
        <w:t>及其附件内容外，管理人、京东拍卖平台对此次拍卖标的所作说明和提供的图片、文字资料等，仅供竞买人参考，不构成对拍卖标的的任何担保或实质承诺，不作为对竞买人参与此次竞价活动的建议。且因拍卖标的为</w:t>
      </w:r>
      <w:r>
        <w:rPr>
          <w:rFonts w:hint="eastAsia" w:ascii="仿宋" w:hAnsi="仿宋" w:eastAsia="仿宋" w:cs="仿宋"/>
          <w:b/>
          <w:bCs/>
          <w:sz w:val="30"/>
          <w:szCs w:val="30"/>
          <w:highlight w:val="none"/>
        </w:rPr>
        <w:t>债权</w:t>
      </w:r>
      <w:r>
        <w:rPr>
          <w:rFonts w:hint="eastAsia" w:ascii="仿宋" w:hAnsi="仿宋" w:eastAsia="仿宋" w:cs="仿宋"/>
          <w:b/>
          <w:bCs/>
          <w:sz w:val="30"/>
          <w:szCs w:val="30"/>
          <w:highlight w:val="none"/>
          <w:lang w:eastAsia="zh-Hans"/>
        </w:rPr>
        <w:t>，无实物可供竞买人看样。</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四、竞买人条件：</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highlight w:val="none"/>
          <w:lang w:eastAsia="zh-Hans"/>
        </w:rPr>
      </w:pPr>
      <w:r>
        <w:rPr>
          <w:rFonts w:ascii="仿宋" w:hAnsi="仿宋" w:eastAsia="仿宋" w:cs="仿宋"/>
          <w:sz w:val="30"/>
          <w:szCs w:val="30"/>
          <w:highlight w:val="none"/>
          <w:lang w:eastAsia="zh-Hans"/>
        </w:rPr>
        <w:t>（</w:t>
      </w:r>
      <w:r>
        <w:rPr>
          <w:rFonts w:hint="eastAsia" w:ascii="仿宋" w:hAnsi="仿宋" w:eastAsia="仿宋" w:cs="仿宋"/>
          <w:sz w:val="30"/>
          <w:szCs w:val="30"/>
          <w:highlight w:val="none"/>
          <w:lang w:eastAsia="zh-Hans"/>
        </w:rPr>
        <w:t>一</w:t>
      </w:r>
      <w:r>
        <w:rPr>
          <w:rFonts w:ascii="仿宋" w:hAnsi="仿宋" w:eastAsia="仿宋" w:cs="仿宋"/>
          <w:sz w:val="30"/>
          <w:szCs w:val="30"/>
          <w:highlight w:val="none"/>
          <w:lang w:eastAsia="zh-Hans"/>
        </w:rPr>
        <w:t>）</w:t>
      </w:r>
      <w:r>
        <w:rPr>
          <w:rFonts w:hint="eastAsia" w:ascii="仿宋" w:hAnsi="仿宋" w:eastAsia="仿宋" w:cs="仿宋"/>
          <w:b/>
          <w:bCs/>
          <w:sz w:val="30"/>
          <w:szCs w:val="30"/>
          <w:highlight w:val="none"/>
          <w:lang w:eastAsia="zh-Hans"/>
        </w:rPr>
        <w:t>竞买人须为具备完全民事行为能力的公民、法人或其他组织。</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highlight w:val="none"/>
          <w:lang w:eastAsia="zh-Hans"/>
        </w:rPr>
      </w:pPr>
      <w:r>
        <w:rPr>
          <w:rFonts w:hint="eastAsia" w:ascii="仿宋" w:hAnsi="仿宋" w:eastAsia="仿宋" w:cs="仿宋"/>
          <w:sz w:val="30"/>
          <w:szCs w:val="30"/>
          <w:highlight w:val="none"/>
          <w:lang w:eastAsia="zh-Hans"/>
        </w:rPr>
        <w:t>（二）</w:t>
      </w:r>
      <w:r>
        <w:rPr>
          <w:rFonts w:hint="eastAsia" w:ascii="仿宋" w:hAnsi="仿宋" w:eastAsia="仿宋" w:cs="仿宋"/>
          <w:b/>
          <w:bCs/>
          <w:sz w:val="30"/>
          <w:szCs w:val="30"/>
          <w:highlight w:val="none"/>
          <w:lang w:eastAsia="zh-Hans"/>
        </w:rPr>
        <w:t>竞价前，竞买人须在京东注册账号并通过实名认证（已注册京东账号需通过实名认证）</w:t>
      </w:r>
      <w:r>
        <w:rPr>
          <w:rFonts w:hint="eastAsia" w:ascii="仿宋" w:hAnsi="仿宋" w:eastAsia="仿宋" w:cs="仿宋"/>
          <w:sz w:val="30"/>
          <w:szCs w:val="30"/>
          <w:highlight w:val="none"/>
          <w:lang w:eastAsia="zh-Hans"/>
        </w:rPr>
        <w:t>。竞买人可委托代理人（具备完全民事行为能力的自然人）进行，但须在竞买开始前向管理人办理委托手续，并自行通知本次拍卖的网络服务提供商。前述委托手续应包含委托书，双方主体/身份信息</w:t>
      </w:r>
      <w:r>
        <w:rPr>
          <w:rFonts w:hint="eastAsia" w:ascii="仿宋" w:hAnsi="仿宋" w:eastAsia="仿宋" w:cs="仿宋"/>
          <w:sz w:val="30"/>
          <w:szCs w:val="30"/>
          <w:highlight w:val="none"/>
        </w:rPr>
        <w:t>、</w:t>
      </w:r>
      <w:r>
        <w:rPr>
          <w:rFonts w:hint="eastAsia" w:ascii="仿宋" w:hAnsi="仿宋" w:eastAsia="仿宋" w:cs="仿宋"/>
          <w:sz w:val="30"/>
          <w:szCs w:val="30"/>
          <w:highlight w:val="none"/>
          <w:lang w:eastAsia="zh-Hans"/>
        </w:rPr>
        <w:t>联系方式。</w:t>
      </w:r>
      <w:r>
        <w:rPr>
          <w:rFonts w:hint="eastAsia" w:ascii="仿宋" w:hAnsi="仿宋" w:eastAsia="仿宋" w:cs="仿宋"/>
          <w:sz w:val="30"/>
          <w:szCs w:val="30"/>
          <w:highlight w:val="none"/>
        </w:rPr>
        <w:t>竞买开始</w:t>
      </w:r>
      <w:r>
        <w:rPr>
          <w:rFonts w:hint="eastAsia" w:ascii="仿宋" w:hAnsi="仿宋" w:eastAsia="仿宋" w:cs="仿宋"/>
          <w:b/>
          <w:bCs/>
          <w:sz w:val="30"/>
          <w:szCs w:val="30"/>
          <w:highlight w:val="none"/>
          <w:lang w:eastAsia="zh-Hans"/>
        </w:rPr>
        <w:t>前无委托手续或委托手续不全的，竞买活动认定为参拍人的本人行为，成交后确定参拍人为买受人，参拍人不符合本次拍卖竞买资格的，没收保证金并重新拍卖</w:t>
      </w:r>
      <w:r>
        <w:rPr>
          <w:rFonts w:hint="eastAsia" w:ascii="仿宋" w:hAnsi="仿宋" w:eastAsia="仿宋" w:cs="仿宋"/>
          <w:b/>
          <w:bCs/>
          <w:sz w:val="30"/>
          <w:szCs w:val="30"/>
          <w:highlight w:val="none"/>
        </w:rPr>
        <w:t>，并按</w:t>
      </w:r>
      <w:r>
        <w:rPr>
          <w:rFonts w:ascii="仿宋" w:hAnsi="仿宋" w:eastAsia="仿宋" w:cs="仿宋"/>
          <w:b/>
          <w:bCs/>
          <w:sz w:val="30"/>
          <w:szCs w:val="30"/>
          <w:highlight w:val="none"/>
        </w:rPr>
        <w:t>《</w:t>
      </w:r>
      <w:r>
        <w:rPr>
          <w:rFonts w:hint="eastAsia" w:ascii="仿宋" w:hAnsi="仿宋" w:eastAsia="仿宋" w:cs="仿宋"/>
          <w:b/>
          <w:bCs/>
          <w:sz w:val="30"/>
          <w:szCs w:val="30"/>
          <w:highlight w:val="none"/>
          <w:lang w:eastAsia="zh-Hans"/>
        </w:rPr>
        <w:t>拍卖公告</w:t>
      </w:r>
      <w:r>
        <w:rPr>
          <w:rFonts w:ascii="仿宋" w:hAnsi="仿宋" w:eastAsia="仿宋" w:cs="仿宋"/>
          <w:b/>
          <w:bCs/>
          <w:sz w:val="30"/>
          <w:szCs w:val="30"/>
          <w:highlight w:val="none"/>
          <w:lang w:eastAsia="zh-Hans"/>
        </w:rPr>
        <w:t>》</w:t>
      </w:r>
      <w:r>
        <w:rPr>
          <w:rFonts w:hint="eastAsia" w:ascii="仿宋" w:hAnsi="仿宋" w:eastAsia="仿宋" w:cs="仿宋"/>
          <w:b/>
          <w:bCs/>
          <w:sz w:val="30"/>
          <w:szCs w:val="30"/>
          <w:highlight w:val="none"/>
        </w:rPr>
        <w:t>第七条第</w:t>
      </w:r>
      <w:r>
        <w:rPr>
          <w:rFonts w:hint="eastAsia" w:ascii="仿宋" w:hAnsi="仿宋" w:eastAsia="仿宋" w:cs="仿宋"/>
          <w:b/>
          <w:bCs/>
          <w:sz w:val="30"/>
          <w:szCs w:val="30"/>
          <w:highlight w:val="none"/>
          <w:lang w:eastAsia="zh-Hans"/>
        </w:rPr>
        <w:t>（四）</w:t>
      </w:r>
      <w:r>
        <w:rPr>
          <w:rFonts w:hint="eastAsia" w:ascii="仿宋" w:hAnsi="仿宋" w:eastAsia="仿宋" w:cs="仿宋"/>
          <w:b/>
          <w:bCs/>
          <w:sz w:val="30"/>
          <w:szCs w:val="30"/>
          <w:highlight w:val="none"/>
        </w:rPr>
        <w:t>项处理</w:t>
      </w:r>
      <w:r>
        <w:rPr>
          <w:rFonts w:hint="eastAsia" w:ascii="仿宋" w:hAnsi="仿宋" w:eastAsia="仿宋" w:cs="仿宋"/>
          <w:b/>
          <w:bCs/>
          <w:sz w:val="30"/>
          <w:szCs w:val="30"/>
          <w:highlight w:val="none"/>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（三）竞买成功后，竞买人或竞买人的委托代理人须按《拍卖公告》第</w:t>
      </w:r>
      <w:r>
        <w:rPr>
          <w:rFonts w:hint="eastAsia" w:ascii="仿宋" w:hAnsi="仿宋" w:eastAsia="仿宋" w:cs="仿宋"/>
          <w:b/>
          <w:bCs/>
          <w:sz w:val="30"/>
          <w:szCs w:val="30"/>
          <w:highlight w:val="none"/>
        </w:rPr>
        <w:t>八</w:t>
      </w:r>
      <w:r>
        <w:rPr>
          <w:rFonts w:hint="eastAsia" w:ascii="仿宋" w:hAnsi="仿宋" w:eastAsia="仿宋" w:cs="仿宋"/>
          <w:b/>
          <w:bCs/>
          <w:sz w:val="30"/>
          <w:szCs w:val="30"/>
          <w:highlight w:val="none"/>
          <w:lang w:eastAsia="zh-Hans"/>
        </w:rPr>
        <w:t>条中的相关要求到管理人处办理拍卖标的相关手续。</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（四）因不符合条件参加竞买的，由竞买人自行承担相应的法律责任。</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五、竞价方式：</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竞价从起拍价开始以递增出价方式竞价，每次增价幅度按照拍卖公告规定执行。</w:t>
      </w:r>
      <w:r>
        <w:rPr>
          <w:rFonts w:hint="eastAsia" w:ascii="仿宋" w:hAnsi="仿宋" w:eastAsia="仿宋" w:cs="仿宋"/>
          <w:b/>
          <w:bCs/>
          <w:sz w:val="30"/>
          <w:szCs w:val="30"/>
          <w:highlight w:val="none"/>
          <w:lang w:eastAsia="zh-Hans"/>
        </w:rPr>
        <w:t>竞买人以低于起拍价出价的无效</w:t>
      </w:r>
      <w:r>
        <w:rPr>
          <w:rFonts w:hint="eastAsia" w:ascii="仿宋" w:hAnsi="仿宋" w:eastAsia="仿宋" w:cs="仿宋"/>
          <w:sz w:val="30"/>
          <w:szCs w:val="30"/>
          <w:highlight w:val="none"/>
          <w:lang w:eastAsia="zh-Hans"/>
        </w:rPr>
        <w:t>。本次竞价活动设置延时出价功能，在竞价活动结束前，每最后5分钟如果有竞买人出价，就自动延迟5分钟。</w:t>
      </w:r>
    </w:p>
    <w:p>
      <w:pPr>
        <w:pStyle w:val="5"/>
        <w:numPr>
          <w:ilvl w:val="0"/>
          <w:numId w:val="1"/>
        </w:numPr>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优先购买权人</w:t>
      </w:r>
      <w:r>
        <w:rPr>
          <w:rFonts w:ascii="仿宋" w:hAnsi="仿宋" w:eastAsia="仿宋" w:cs="仿宋"/>
          <w:sz w:val="30"/>
          <w:szCs w:val="30"/>
          <w:highlight w:val="none"/>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ascii="仿宋" w:hAnsi="仿宋" w:eastAsia="仿宋" w:cs="仿宋"/>
          <w:b/>
          <w:bCs/>
          <w:sz w:val="30"/>
          <w:szCs w:val="30"/>
          <w:highlight w:val="none"/>
          <w:lang w:eastAsia="zh-Hans"/>
        </w:rPr>
        <w:t>拍卖标的若存在优先购买权人参加竞买的，应在《拍卖公告》发布之日起5个工作日内向管理人申请确认其优先购买权人身份，并提交合法有效的证明（登记的证件信息必须与京东账户实名认证相一致），经管理人确认后才能以优先购买权人的身份参与竞买。逾期不申请确认或不提交证明或资格确认后未参加竞买的，视为放弃优先购买权。</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ascii="仿宋" w:hAnsi="仿宋" w:eastAsia="仿宋" w:cs="仿宋"/>
          <w:b/>
          <w:bCs/>
          <w:sz w:val="30"/>
          <w:szCs w:val="30"/>
          <w:highlight w:val="none"/>
          <w:lang w:eastAsia="zh-Hans"/>
        </w:rPr>
        <w:t>优先购买权人参与竞买的，可以与其他竞买人以相同的价格出价，没有更高出价的，拍卖标的由优先购买权人竞得。顺序不同的优先购买权人以相同价格出价的，拍卖标的由顺序在先的优先购买权人竞得。顺序相同的优先购买权人以相同价格出价的，拍卖标的由出价在先的优先购买权人竞得。</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七、保证金：</w:t>
      </w:r>
    </w:p>
    <w:p>
      <w:pPr>
        <w:pStyle w:val="5"/>
        <w:shd w:val="clear" w:color="auto" w:fill="FFFFFF"/>
        <w:spacing w:before="0" w:beforeAutospacing="0" w:after="0" w:afterAutospacing="0" w:line="360" w:lineRule="auto"/>
        <w:ind w:firstLine="602" w:firstLineChars="200"/>
        <w:jc w:val="both"/>
        <w:rPr>
          <w:rFonts w:ascii="仿宋" w:hAnsi="仿宋" w:eastAsia="仿宋" w:cs="仿宋"/>
          <w:sz w:val="30"/>
          <w:szCs w:val="30"/>
          <w:highlight w:val="none"/>
          <w:lang w:eastAsia="zh-Hans"/>
        </w:rPr>
      </w:pPr>
      <w:r>
        <w:rPr>
          <w:rFonts w:hint="eastAsia" w:ascii="仿宋" w:hAnsi="仿宋" w:eastAsia="仿宋" w:cs="仿宋"/>
          <w:b/>
          <w:bCs/>
          <w:sz w:val="30"/>
          <w:szCs w:val="30"/>
          <w:highlight w:val="none"/>
          <w:lang w:eastAsia="zh-Hans"/>
        </w:rPr>
        <w:t>第一次出价前，意向竞买人须在京东注册账号并通过实名认证（已注册京东账号需通过实名认证），在线支付竞买保证金，支付后系统自动冻结该笔保证金，具体要求请阅读竞价页面内的《竞拍须知》、《保证金须知》及京东网络竞价平台告知的竞价流程（竞价前必看）的相关准则。</w:t>
      </w:r>
      <w:r>
        <w:rPr>
          <w:rFonts w:hint="eastAsia" w:ascii="仿宋" w:hAnsi="仿宋" w:eastAsia="仿宋" w:cs="仿宋"/>
          <w:sz w:val="30"/>
          <w:szCs w:val="30"/>
          <w:highlight w:val="none"/>
          <w:lang w:eastAsia="zh-Hans"/>
        </w:rPr>
        <w:t>竞价成交的，拍卖标的竞得者（以下简称买受人）</w:t>
      </w:r>
      <w:r>
        <w:rPr>
          <w:rFonts w:hint="eastAsia" w:ascii="仿宋" w:hAnsi="仿宋" w:eastAsia="仿宋" w:cs="仿宋"/>
          <w:sz w:val="30"/>
          <w:szCs w:val="30"/>
          <w:highlight w:val="none"/>
        </w:rPr>
        <w:t>被</w:t>
      </w:r>
      <w:r>
        <w:rPr>
          <w:rFonts w:hint="eastAsia" w:ascii="仿宋" w:hAnsi="仿宋" w:eastAsia="仿宋" w:cs="仿宋"/>
          <w:sz w:val="30"/>
          <w:szCs w:val="30"/>
          <w:highlight w:val="none"/>
          <w:lang w:eastAsia="zh-Hans"/>
        </w:rPr>
        <w:t>冻结的保证金将自动转为部分成交款，由京东结算给管理人指定账户。竞价结束后，未能竞得者的保证金以及竞价未成交的（即流拍的）竞买人的保证金在竞价活动结束后即时解冻，保证金冻结期间不计利息。</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highlight w:val="none"/>
          <w:lang w:eastAsia="zh-Hans"/>
        </w:rPr>
      </w:pPr>
      <w:r>
        <w:rPr>
          <w:rFonts w:hint="eastAsia" w:ascii="仿宋" w:hAnsi="仿宋" w:eastAsia="仿宋" w:cs="仿宋"/>
          <w:sz w:val="30"/>
          <w:szCs w:val="30"/>
          <w:highlight w:val="none"/>
          <w:lang w:eastAsia="zh-Hans"/>
        </w:rPr>
        <w:t>由于竞买人注册账户、实名认证、开通网银、竞买人的开户银行向京东转账均需</w:t>
      </w:r>
      <w:r>
        <w:rPr>
          <w:rFonts w:hint="eastAsia" w:ascii="仿宋" w:hAnsi="仿宋" w:eastAsia="仿宋" w:cs="仿宋"/>
          <w:sz w:val="30"/>
          <w:szCs w:val="30"/>
          <w:highlight w:val="none"/>
        </w:rPr>
        <w:t>要</w:t>
      </w:r>
      <w:r>
        <w:rPr>
          <w:rFonts w:hint="eastAsia" w:ascii="仿宋" w:hAnsi="仿宋" w:eastAsia="仿宋" w:cs="仿宋"/>
          <w:sz w:val="30"/>
          <w:szCs w:val="30"/>
          <w:highlight w:val="none"/>
          <w:lang w:eastAsia="zh-Hans"/>
        </w:rPr>
        <w:t>时间，为确保交纳的保证金能够在竞价程序结束前到账，拍卖标的保证金金额在1000万及以上的，或企业参与竞买的，建议竞买人在开拍前，至少提前5个工作日办理报名及保证金交纳手续。</w:t>
      </w:r>
      <w:r>
        <w:rPr>
          <w:rFonts w:hint="eastAsia" w:ascii="仿宋" w:hAnsi="仿宋" w:eastAsia="仿宋" w:cs="仿宋"/>
          <w:b/>
          <w:bCs/>
          <w:sz w:val="30"/>
          <w:szCs w:val="30"/>
          <w:highlight w:val="none"/>
          <w:lang w:eastAsia="zh-Hans"/>
        </w:rPr>
        <w:t xml:space="preserve">如因竞买人未能及时完成报名及保证金交纳手续，导致京东在竞价结束前未能全额收到竞买人交纳的保证金，无法为竞买人开通竞买权限，所产生的一切后果由竞买人自行承担，上拍机构、管理人、京东拍卖平台均不就此承担任何责任。 </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保证金金额往往数额较大，为避免在线支付的过程中</w:t>
      </w:r>
      <w:r>
        <w:rPr>
          <w:rFonts w:hint="eastAsia" w:ascii="仿宋" w:hAnsi="仿宋" w:eastAsia="仿宋" w:cs="仿宋"/>
          <w:sz w:val="30"/>
          <w:szCs w:val="30"/>
          <w:highlight w:val="none"/>
        </w:rPr>
        <w:t>出现</w:t>
      </w:r>
      <w:r>
        <w:rPr>
          <w:rFonts w:hint="eastAsia" w:ascii="仿宋" w:hAnsi="仿宋" w:eastAsia="仿宋" w:cs="仿宋"/>
          <w:sz w:val="30"/>
          <w:szCs w:val="30"/>
          <w:highlight w:val="none"/>
          <w:lang w:eastAsia="zh-Hans"/>
        </w:rPr>
        <w:t>因银行限额而导致无法支付的问题，建议竞买人提前</w:t>
      </w:r>
      <w:r>
        <w:rPr>
          <w:rFonts w:hint="eastAsia" w:ascii="仿宋" w:hAnsi="仿宋" w:eastAsia="仿宋" w:cs="仿宋"/>
          <w:sz w:val="30"/>
          <w:szCs w:val="30"/>
          <w:highlight w:val="none"/>
        </w:rPr>
        <w:t>到</w:t>
      </w:r>
      <w:r>
        <w:rPr>
          <w:rFonts w:hint="eastAsia" w:ascii="仿宋" w:hAnsi="仿宋" w:eastAsia="仿宋" w:cs="仿宋"/>
          <w:sz w:val="30"/>
          <w:szCs w:val="30"/>
          <w:highlight w:val="none"/>
          <w:lang w:eastAsia="zh-Hans"/>
        </w:rPr>
        <w:t>相关银行办理提高网银支付限额</w:t>
      </w:r>
      <w:r>
        <w:rPr>
          <w:rFonts w:hint="eastAsia" w:ascii="仿宋" w:hAnsi="仿宋" w:eastAsia="仿宋" w:cs="仿宋"/>
          <w:sz w:val="30"/>
          <w:szCs w:val="30"/>
          <w:highlight w:val="none"/>
        </w:rPr>
        <w:t>额度</w:t>
      </w:r>
      <w:r>
        <w:rPr>
          <w:rFonts w:hint="eastAsia" w:ascii="仿宋" w:hAnsi="仿宋" w:eastAsia="仿宋" w:cs="仿宋"/>
          <w:sz w:val="30"/>
          <w:szCs w:val="30"/>
          <w:highlight w:val="none"/>
          <w:lang w:eastAsia="zh-Hans"/>
        </w:rPr>
        <w:t>的业务。如保证金金额超出竞买人开户银行制订的最高网银支付限额，建议采取更换网银支付限额更高的银行卡支付、多日分多笔支付、多张银行卡分多笔支付等方式交纳保证金。</w:t>
      </w:r>
      <w:r>
        <w:rPr>
          <w:rFonts w:hint="eastAsia" w:ascii="仿宋" w:hAnsi="仿宋" w:eastAsia="仿宋" w:cs="仿宋"/>
          <w:b/>
          <w:bCs/>
          <w:sz w:val="30"/>
          <w:szCs w:val="30"/>
          <w:highlight w:val="none"/>
          <w:lang w:eastAsia="zh-Hans"/>
        </w:rPr>
        <w:t>京东作为款项接收方，不对银行制订的网银最高支付限额造成的支付障碍承担任何责任。</w:t>
      </w:r>
      <w:r>
        <w:rPr>
          <w:rFonts w:hint="eastAsia" w:ascii="仿宋" w:hAnsi="仿宋" w:eastAsia="仿宋" w:cs="仿宋"/>
          <w:sz w:val="30"/>
          <w:szCs w:val="30"/>
          <w:highlight w:val="none"/>
          <w:lang w:eastAsia="zh-Hans"/>
        </w:rPr>
        <w:t>以下链接为各大银行对外公示的网银最高支付限额的整理页面，仅供参考，实际支付限额请咨询银行，以各银行告知</w:t>
      </w:r>
      <w:r>
        <w:rPr>
          <w:rFonts w:hint="eastAsia" w:ascii="仿宋" w:hAnsi="仿宋" w:eastAsia="仿宋" w:cs="仿宋"/>
          <w:sz w:val="30"/>
          <w:szCs w:val="30"/>
          <w:highlight w:val="none"/>
        </w:rPr>
        <w:t>和确定的</w:t>
      </w:r>
      <w:r>
        <w:rPr>
          <w:rFonts w:hint="eastAsia" w:ascii="仿宋" w:hAnsi="仿宋" w:eastAsia="仿宋" w:cs="仿宋"/>
          <w:sz w:val="30"/>
          <w:szCs w:val="30"/>
          <w:highlight w:val="none"/>
          <w:lang w:eastAsia="zh-Hans"/>
        </w:rPr>
        <w:t>为准。</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highlight w:val="none"/>
          <w:lang w:eastAsia="zh-Hans"/>
        </w:rPr>
      </w:pPr>
      <w:r>
        <w:rPr>
          <w:rFonts w:hint="eastAsia" w:ascii="仿宋" w:hAnsi="仿宋" w:eastAsia="仿宋" w:cs="仿宋"/>
          <w:sz w:val="30"/>
          <w:szCs w:val="30"/>
          <w:highlight w:val="none"/>
          <w:lang w:eastAsia="zh-Hans"/>
        </w:rPr>
        <w:t>银行支付限额：https://help.jd.com/user/issue/359-1659.html</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个人/企业参拍流程：https://auction.jd.com/bankrupt.html</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在参拍、缴纳保证金过程中，如有疑问，请拨打京东拍卖服务热线：4006229586。</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八、余款交纳</w:t>
      </w:r>
      <w:r>
        <w:rPr>
          <w:rFonts w:ascii="仿宋" w:hAnsi="仿宋" w:eastAsia="仿宋" w:cs="仿宋"/>
          <w:sz w:val="30"/>
          <w:szCs w:val="30"/>
          <w:highlight w:val="none"/>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竞价成交后，拍卖标的竞得者原锁定的保证金自动转入管理人指定账户。余款应在拍卖成交之日起</w:t>
      </w:r>
      <w:r>
        <w:rPr>
          <w:rFonts w:ascii="仿宋" w:hAnsi="仿宋" w:eastAsia="仿宋" w:cs="仿宋"/>
          <w:b/>
          <w:bCs/>
          <w:sz w:val="30"/>
          <w:szCs w:val="30"/>
          <w:highlight w:val="none"/>
          <w:lang w:eastAsia="zh-Hans"/>
        </w:rPr>
        <w:t>5</w:t>
      </w:r>
      <w:r>
        <w:rPr>
          <w:rFonts w:hint="eastAsia" w:ascii="仿宋" w:hAnsi="仿宋" w:eastAsia="仿宋" w:cs="仿宋"/>
          <w:b/>
          <w:bCs/>
          <w:sz w:val="30"/>
          <w:szCs w:val="30"/>
          <w:highlight w:val="none"/>
          <w:lang w:eastAsia="zh-Hans"/>
        </w:rPr>
        <w:t>个</w:t>
      </w:r>
      <w:r>
        <w:rPr>
          <w:rFonts w:hint="eastAsia" w:ascii="仿宋" w:hAnsi="仿宋" w:eastAsia="仿宋" w:cs="仿宋"/>
          <w:b/>
          <w:bCs/>
          <w:sz w:val="30"/>
          <w:szCs w:val="30"/>
          <w:highlight w:val="none"/>
        </w:rPr>
        <w:t>自然</w:t>
      </w:r>
      <w:r>
        <w:rPr>
          <w:rFonts w:hint="eastAsia" w:ascii="仿宋" w:hAnsi="仿宋" w:eastAsia="仿宋" w:cs="仿宋"/>
          <w:b/>
          <w:bCs/>
          <w:sz w:val="30"/>
          <w:szCs w:val="30"/>
          <w:highlight w:val="none"/>
          <w:lang w:eastAsia="zh-Hans"/>
        </w:rPr>
        <w:t>日内缴清。</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九、拍卖标的移交和过户手续办理</w:t>
      </w:r>
      <w:r>
        <w:rPr>
          <w:rFonts w:ascii="仿宋" w:hAnsi="仿宋" w:eastAsia="仿宋" w:cs="仿宋"/>
          <w:sz w:val="30"/>
          <w:szCs w:val="30"/>
          <w:highlight w:val="none"/>
          <w:lang w:eastAsia="zh-Hans"/>
        </w:rPr>
        <w:t>：</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highlight w:val="none"/>
          <w:lang w:eastAsia="zh-Hans"/>
        </w:rPr>
      </w:pPr>
      <w:r>
        <w:rPr>
          <w:rFonts w:ascii="仿宋" w:hAnsi="仿宋" w:eastAsia="仿宋" w:cs="仿宋"/>
          <w:sz w:val="30"/>
          <w:szCs w:val="30"/>
          <w:highlight w:val="none"/>
          <w:lang w:eastAsia="zh-Hans"/>
        </w:rPr>
        <w:t>买受人交清全部价款后，管理人将</w:t>
      </w:r>
      <w:r>
        <w:rPr>
          <w:rFonts w:hint="eastAsia" w:ascii="仿宋" w:hAnsi="仿宋" w:eastAsia="仿宋" w:cs="仿宋"/>
          <w:sz w:val="30"/>
          <w:szCs w:val="30"/>
          <w:highlight w:val="none"/>
        </w:rPr>
        <w:t>向买受人出具人民法院作出的</w:t>
      </w:r>
      <w:r>
        <w:rPr>
          <w:rFonts w:ascii="仿宋" w:hAnsi="仿宋" w:eastAsia="仿宋" w:cs="仿宋"/>
          <w:sz w:val="30"/>
          <w:szCs w:val="30"/>
          <w:highlight w:val="none"/>
          <w:lang w:eastAsia="zh-Hans"/>
        </w:rPr>
        <w:t>《民事裁定书》、《协助执行通知书》</w:t>
      </w:r>
      <w:r>
        <w:rPr>
          <w:rFonts w:hint="eastAsia" w:ascii="仿宋" w:hAnsi="仿宋" w:eastAsia="仿宋" w:cs="仿宋"/>
          <w:b/>
          <w:bCs/>
          <w:sz w:val="30"/>
          <w:szCs w:val="30"/>
          <w:highlight w:val="none"/>
          <w:lang w:eastAsia="zh-Hans"/>
        </w:rPr>
        <w:t>。</w:t>
      </w:r>
      <w:r>
        <w:rPr>
          <w:rFonts w:hint="eastAsia" w:ascii="仿宋" w:hAnsi="仿宋" w:eastAsia="仿宋" w:cs="仿宋"/>
          <w:sz w:val="30"/>
          <w:szCs w:val="30"/>
          <w:highlight w:val="none"/>
        </w:rPr>
        <w:t>买受人收到</w:t>
      </w:r>
      <w:r>
        <w:rPr>
          <w:rFonts w:ascii="仿宋" w:hAnsi="仿宋" w:eastAsia="仿宋" w:cs="仿宋"/>
          <w:sz w:val="30"/>
          <w:szCs w:val="30"/>
          <w:highlight w:val="none"/>
          <w:lang w:eastAsia="zh-Hans"/>
        </w:rPr>
        <w:t>《民事裁定书》、《协助执行通知书》</w:t>
      </w:r>
      <w:r>
        <w:rPr>
          <w:rFonts w:hint="eastAsia" w:ascii="仿宋" w:hAnsi="仿宋" w:eastAsia="仿宋" w:cs="仿宋"/>
          <w:sz w:val="30"/>
          <w:szCs w:val="30"/>
          <w:highlight w:val="none"/>
        </w:rPr>
        <w:t>后，管理人即完成拍卖标的的移交和过户手续。后续申请执行（恢复执行）等全部由买受人自行与执行法院或有关部门沟通解决。</w:t>
      </w:r>
      <w:bookmarkStart w:id="0" w:name="_GoBack"/>
      <w:bookmarkEnd w:id="0"/>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十、税费承担</w:t>
      </w:r>
      <w:r>
        <w:rPr>
          <w:rFonts w:ascii="仿宋" w:hAnsi="仿宋" w:eastAsia="仿宋" w:cs="仿宋"/>
          <w:sz w:val="30"/>
          <w:szCs w:val="30"/>
          <w:highlight w:val="none"/>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rPr>
      </w:pPr>
      <w:r>
        <w:rPr>
          <w:rFonts w:ascii="仿宋" w:hAnsi="仿宋" w:eastAsia="仿宋" w:cs="仿宋"/>
          <w:b/>
          <w:bCs/>
          <w:sz w:val="30"/>
          <w:szCs w:val="30"/>
          <w:highlight w:val="none"/>
        </w:rPr>
        <w:t>本次拍卖产生的买卖双方税、费</w:t>
      </w:r>
      <w:r>
        <w:rPr>
          <w:rFonts w:hint="eastAsia" w:ascii="仿宋" w:hAnsi="仿宋" w:eastAsia="仿宋" w:cs="仿宋"/>
          <w:b/>
          <w:bCs/>
          <w:sz w:val="30"/>
          <w:szCs w:val="30"/>
          <w:highlight w:val="none"/>
        </w:rPr>
        <w:t>按有关规定</w:t>
      </w:r>
      <w:r>
        <w:rPr>
          <w:rFonts w:ascii="仿宋" w:hAnsi="仿宋" w:eastAsia="仿宋" w:cs="仿宋"/>
          <w:b/>
          <w:bCs/>
          <w:sz w:val="30"/>
          <w:szCs w:val="30"/>
          <w:highlight w:val="none"/>
        </w:rPr>
        <w:t>由买卖双方各自承担，具体税费情况请竞买人于拍卖前至相关单位自行查询。</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十一、买受人未及时处理竞价后相关事宜的法律后果</w:t>
      </w:r>
      <w:r>
        <w:rPr>
          <w:rFonts w:ascii="仿宋" w:hAnsi="仿宋" w:eastAsia="仿宋" w:cs="仿宋"/>
          <w:sz w:val="30"/>
          <w:szCs w:val="30"/>
          <w:highlight w:val="none"/>
          <w:lang w:eastAsia="zh-Hans"/>
        </w:rPr>
        <w:t>：</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买受人未按《拍卖公告》、《竞拍须知》要求及时办理交接手续，或存在逾期未足额支付竞价款</w:t>
      </w:r>
      <w:r>
        <w:rPr>
          <w:rFonts w:hint="eastAsia" w:ascii="仿宋" w:hAnsi="仿宋" w:eastAsia="仿宋" w:cs="仿宋"/>
          <w:b/>
          <w:bCs/>
          <w:sz w:val="30"/>
          <w:szCs w:val="30"/>
          <w:highlight w:val="none"/>
        </w:rPr>
        <w:t>、</w:t>
      </w:r>
      <w:r>
        <w:rPr>
          <w:rFonts w:hint="eastAsia" w:ascii="仿宋" w:hAnsi="仿宋" w:eastAsia="仿宋" w:cs="仿宋"/>
          <w:b/>
          <w:bCs/>
          <w:sz w:val="30"/>
          <w:szCs w:val="30"/>
          <w:highlight w:val="none"/>
          <w:lang w:eastAsia="zh-Hans"/>
        </w:rPr>
        <w:t>悔拍等行为，管理人可以重新竞价，买受人交纳的保证金不予退还。重新竞价的，原买受人不得参与竞价。</w:t>
      </w:r>
    </w:p>
    <w:p>
      <w:pPr>
        <w:pStyle w:val="5"/>
        <w:shd w:val="clear" w:color="auto" w:fill="FFFFFF"/>
        <w:spacing w:before="0" w:beforeAutospacing="0" w:after="0" w:afterAutospacing="0" w:line="360" w:lineRule="auto"/>
        <w:ind w:firstLine="602" w:firstLineChars="200"/>
        <w:jc w:val="both"/>
        <w:rPr>
          <w:rFonts w:ascii="仿宋" w:hAnsi="仿宋" w:eastAsia="仿宋" w:cs="仿宋"/>
          <w:sz w:val="30"/>
          <w:szCs w:val="30"/>
          <w:highlight w:val="none"/>
          <w:lang w:eastAsia="zh-Hans"/>
        </w:rPr>
      </w:pPr>
      <w:r>
        <w:rPr>
          <w:rFonts w:hint="eastAsia" w:ascii="仿宋" w:hAnsi="仿宋" w:eastAsia="仿宋" w:cs="仿宋"/>
          <w:b/>
          <w:bCs/>
          <w:sz w:val="30"/>
          <w:szCs w:val="30"/>
          <w:highlight w:val="none"/>
          <w:lang w:eastAsia="zh-Hans"/>
        </w:rPr>
        <w:t>买受人付款后应及时提取拍卖标的，并办理交接手续，逾期不办理的，买受人应支付由此产生的费用，并承担拍卖标的可能发生的损毁、灭失等后果。</w:t>
      </w:r>
    </w:p>
    <w:p>
      <w:pPr>
        <w:pStyle w:val="5"/>
        <w:shd w:val="clear" w:color="auto" w:fill="FFFFFF"/>
        <w:spacing w:before="0" w:beforeAutospacing="0" w:after="0" w:afterAutospacing="0" w:line="360" w:lineRule="auto"/>
        <w:ind w:firstLine="600" w:firstLineChars="200"/>
        <w:jc w:val="both"/>
        <w:rPr>
          <w:rFonts w:ascii="仿宋" w:hAnsi="仿宋" w:eastAsia="仿宋" w:cs="仿宋"/>
          <w:b/>
          <w:bCs/>
          <w:sz w:val="30"/>
          <w:szCs w:val="30"/>
          <w:highlight w:val="none"/>
          <w:lang w:eastAsia="zh-Hans"/>
        </w:rPr>
      </w:pPr>
      <w:r>
        <w:rPr>
          <w:rFonts w:hint="eastAsia" w:ascii="仿宋" w:hAnsi="仿宋" w:eastAsia="仿宋" w:cs="仿宋"/>
          <w:sz w:val="30"/>
          <w:szCs w:val="30"/>
          <w:highlight w:val="none"/>
          <w:lang w:eastAsia="zh-Hans"/>
        </w:rPr>
        <w:t>十二、参加竞买的人应当遵守《竞拍须知》的规定，不得阻挠其他竞买人竞价，不得操纵、垄断竞价价格，严禁竞买人恶意串标，</w:t>
      </w:r>
      <w:r>
        <w:rPr>
          <w:rFonts w:hint="eastAsia" w:ascii="仿宋" w:hAnsi="仿宋" w:eastAsia="仿宋" w:cs="仿宋"/>
          <w:b/>
          <w:bCs/>
          <w:sz w:val="30"/>
          <w:szCs w:val="30"/>
          <w:highlight w:val="none"/>
          <w:lang w:eastAsia="zh-Hans"/>
        </w:rPr>
        <w:t>上述行为一经发现，将取消其竞买资格，并追究相关的法律责任。</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十三</w:t>
      </w:r>
      <w:r>
        <w:rPr>
          <w:rFonts w:ascii="仿宋" w:hAnsi="仿宋" w:eastAsia="仿宋" w:cs="仿宋"/>
          <w:sz w:val="30"/>
          <w:szCs w:val="30"/>
          <w:highlight w:val="none"/>
          <w:lang w:eastAsia="zh-Hans"/>
        </w:rPr>
        <w:t>、参照《最高人民法院关于人民法院网络司法拍卖若干问题的规定》（法释〔2016〕18号），竞买人成功竞得拍卖标的后京东拍卖平台将在管理人后台生成相应《竞价成功确认书》，确认书中载明实际买受人姓名、网拍竞买号信息，但不进行公示。</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十四、根据法律规定，破产受理法院与管理人有权在竞价开始前、竞价过程中，</w:t>
      </w:r>
      <w:r>
        <w:rPr>
          <w:rFonts w:hint="eastAsia" w:ascii="仿宋" w:hAnsi="仿宋" w:eastAsia="仿宋" w:cs="仿宋"/>
          <w:b/>
          <w:bCs/>
          <w:sz w:val="30"/>
          <w:szCs w:val="30"/>
          <w:highlight w:val="none"/>
        </w:rPr>
        <w:t>撤回、暂缓或是中止</w:t>
      </w:r>
      <w:r>
        <w:rPr>
          <w:rFonts w:hint="eastAsia" w:ascii="仿宋" w:hAnsi="仿宋" w:eastAsia="仿宋" w:cs="仿宋"/>
          <w:b/>
          <w:bCs/>
          <w:sz w:val="30"/>
          <w:szCs w:val="30"/>
          <w:highlight w:val="none"/>
          <w:lang w:eastAsia="zh-Hans"/>
        </w:rPr>
        <w:t>竞价。因网络或其他不可抗力导致竞价无法正常进行的，管理人待以上因素消除后视情决定重新竞价，并不承担因此造成的损失。</w:t>
      </w:r>
    </w:p>
    <w:p>
      <w:pPr>
        <w:pStyle w:val="5"/>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pStyle w:val="5"/>
        <w:numPr>
          <w:ilvl w:val="255"/>
          <w:numId w:val="0"/>
        </w:numPr>
        <w:shd w:val="clear" w:color="auto" w:fill="FFFFFF"/>
        <w:spacing w:before="0" w:beforeAutospacing="0" w:after="0" w:afterAutospacing="0" w:line="360" w:lineRule="auto"/>
        <w:ind w:firstLine="602" w:firstLineChars="200"/>
        <w:jc w:val="both"/>
        <w:rPr>
          <w:rFonts w:ascii="仿宋" w:hAnsi="仿宋" w:eastAsia="仿宋" w:cs="仿宋"/>
          <w:b/>
          <w:bCs/>
          <w:sz w:val="30"/>
          <w:szCs w:val="30"/>
          <w:highlight w:val="none"/>
          <w:lang w:eastAsia="zh-Hans"/>
        </w:rPr>
      </w:pPr>
      <w:r>
        <w:rPr>
          <w:rFonts w:hint="eastAsia" w:ascii="仿宋" w:hAnsi="仿宋" w:eastAsia="仿宋" w:cs="仿宋"/>
          <w:b/>
          <w:bCs/>
          <w:sz w:val="30"/>
          <w:szCs w:val="30"/>
          <w:highlight w:val="none"/>
          <w:lang w:eastAsia="zh-Hans"/>
        </w:rPr>
        <w:t>十六</w:t>
      </w:r>
      <w:r>
        <w:rPr>
          <w:rFonts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eastAsia="zh-Hans"/>
        </w:rPr>
        <w:t>拍卖成交后，买受人应按系统成交价总额的0.5%向京东支付技术服务费，单个标的技术服务费金额上限为50万（人民币：伍拾万元整）。该服务费为京东网平台单方收取，与管理人无关，该部分费用不包含在本次拍卖价款中，需买受人另行向京东平台支付，如因买受人未支付该部分款项导致买受人交至京东拍卖平台的竞买保证金无法按规定时间转至管理人账户，视为买受人逾期付款，所引发的所有不利后果等均由买受人自行承担。</w:t>
      </w:r>
    </w:p>
    <w:p>
      <w:pPr>
        <w:pStyle w:val="5"/>
        <w:numPr>
          <w:ilvl w:val="255"/>
          <w:numId w:val="0"/>
        </w:numPr>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十七、竞买人在竞价前请务必仔细阅读公告、须知并查看标的详情。本规则其他未尽事宜，请予咨询。</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lang w:eastAsia="zh-Hans"/>
        </w:rPr>
      </w:pPr>
      <w:r>
        <w:rPr>
          <w:rFonts w:hint="eastAsia" w:ascii="仿宋" w:hAnsi="仿宋" w:eastAsia="仿宋" w:cs="仿宋"/>
          <w:sz w:val="30"/>
          <w:szCs w:val="30"/>
          <w:highlight w:val="none"/>
          <w:lang w:eastAsia="zh-Hans"/>
        </w:rPr>
        <w:t>凡发现竞价中有违规行为，可如实举报。</w:t>
      </w:r>
    </w:p>
    <w:p>
      <w:pPr>
        <w:pStyle w:val="5"/>
        <w:shd w:val="clear" w:color="auto" w:fill="FFFFFF"/>
        <w:spacing w:before="0" w:beforeAutospacing="0" w:after="0" w:afterAutospacing="0" w:line="360" w:lineRule="auto"/>
        <w:ind w:firstLine="600" w:firstLineChars="200"/>
        <w:jc w:val="both"/>
        <w:rPr>
          <w:rFonts w:ascii="仿宋" w:hAnsi="仿宋" w:eastAsia="仿宋" w:cs="仿宋"/>
          <w:sz w:val="30"/>
          <w:szCs w:val="30"/>
          <w:highlight w:val="none"/>
        </w:rPr>
      </w:pPr>
      <w:r>
        <w:rPr>
          <w:rFonts w:hint="eastAsia" w:ascii="仿宋" w:hAnsi="仿宋" w:eastAsia="仿宋" w:cs="仿宋"/>
          <w:sz w:val="30"/>
          <w:szCs w:val="30"/>
          <w:highlight w:val="none"/>
          <w:lang w:eastAsia="zh-Hans"/>
        </w:rPr>
        <w:t>京东技术咨询电话：4006229586</w:t>
      </w:r>
      <w:r>
        <w:rPr>
          <w:rFonts w:hint="eastAsia" w:ascii="仿宋" w:hAnsi="仿宋" w:eastAsia="仿宋" w:cs="仿宋"/>
          <w:sz w:val="30"/>
          <w:szCs w:val="30"/>
          <w:highlight w:val="none"/>
        </w:rPr>
        <w:t>。</w:t>
      </w:r>
    </w:p>
    <w:p>
      <w:pPr>
        <w:spacing w:line="360" w:lineRule="auto"/>
        <w:ind w:firstLine="480" w:firstLineChars="200"/>
        <w:jc w:val="right"/>
        <w:rPr>
          <w:rFonts w:ascii="宋体" w:hAnsi="宋体" w:eastAsia="宋体"/>
          <w:sz w:val="24"/>
          <w:szCs w:val="24"/>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FF5AF1"/>
    <w:multiLevelType w:val="singleLevel"/>
    <w:tmpl w:val="74FF5AF1"/>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Q4MzQxMDU1OWI1NjY3ZTU2YzZlM2Q1MTU3ZjA5NjEifQ=="/>
  </w:docVars>
  <w:rsids>
    <w:rsidRoot w:val="003F2050"/>
    <w:rsid w:val="0003680A"/>
    <w:rsid w:val="000C3876"/>
    <w:rsid w:val="000C6058"/>
    <w:rsid w:val="000E2A63"/>
    <w:rsid w:val="00192826"/>
    <w:rsid w:val="001B4F84"/>
    <w:rsid w:val="00225120"/>
    <w:rsid w:val="002E4C7D"/>
    <w:rsid w:val="00316E36"/>
    <w:rsid w:val="003E245A"/>
    <w:rsid w:val="003E77B2"/>
    <w:rsid w:val="003F2050"/>
    <w:rsid w:val="00415C2F"/>
    <w:rsid w:val="004972EF"/>
    <w:rsid w:val="004A4CDF"/>
    <w:rsid w:val="004A727E"/>
    <w:rsid w:val="0052015C"/>
    <w:rsid w:val="00520FB9"/>
    <w:rsid w:val="00524A57"/>
    <w:rsid w:val="005362CA"/>
    <w:rsid w:val="005948DA"/>
    <w:rsid w:val="005A75BC"/>
    <w:rsid w:val="005D1008"/>
    <w:rsid w:val="005E4333"/>
    <w:rsid w:val="006138E5"/>
    <w:rsid w:val="00640A98"/>
    <w:rsid w:val="00663BAB"/>
    <w:rsid w:val="0069321B"/>
    <w:rsid w:val="00695628"/>
    <w:rsid w:val="006A10A7"/>
    <w:rsid w:val="006B3873"/>
    <w:rsid w:val="006B51A5"/>
    <w:rsid w:val="006D5F37"/>
    <w:rsid w:val="00742BF8"/>
    <w:rsid w:val="0075303D"/>
    <w:rsid w:val="00753AB2"/>
    <w:rsid w:val="007665A2"/>
    <w:rsid w:val="00770636"/>
    <w:rsid w:val="007A470B"/>
    <w:rsid w:val="007C2A9F"/>
    <w:rsid w:val="007C7533"/>
    <w:rsid w:val="007D4BEC"/>
    <w:rsid w:val="007E7725"/>
    <w:rsid w:val="008443F4"/>
    <w:rsid w:val="00866A3F"/>
    <w:rsid w:val="00887C4A"/>
    <w:rsid w:val="008953E6"/>
    <w:rsid w:val="008A3069"/>
    <w:rsid w:val="00901B0E"/>
    <w:rsid w:val="00926F89"/>
    <w:rsid w:val="0093651B"/>
    <w:rsid w:val="00937B7A"/>
    <w:rsid w:val="00946C23"/>
    <w:rsid w:val="00A17DDA"/>
    <w:rsid w:val="00A2580C"/>
    <w:rsid w:val="00A56CBC"/>
    <w:rsid w:val="00A6291D"/>
    <w:rsid w:val="00A70124"/>
    <w:rsid w:val="00A85DE4"/>
    <w:rsid w:val="00A87719"/>
    <w:rsid w:val="00A94218"/>
    <w:rsid w:val="00B56697"/>
    <w:rsid w:val="00B57D32"/>
    <w:rsid w:val="00B94B34"/>
    <w:rsid w:val="00C60466"/>
    <w:rsid w:val="00C6225F"/>
    <w:rsid w:val="00CD355E"/>
    <w:rsid w:val="00D724AB"/>
    <w:rsid w:val="00D81F43"/>
    <w:rsid w:val="00D966F9"/>
    <w:rsid w:val="00E139A8"/>
    <w:rsid w:val="00E349BA"/>
    <w:rsid w:val="00F372B8"/>
    <w:rsid w:val="00F83BC0"/>
    <w:rsid w:val="00FA267E"/>
    <w:rsid w:val="00FC0F25"/>
    <w:rsid w:val="05433B01"/>
    <w:rsid w:val="0FD78E63"/>
    <w:rsid w:val="132711CC"/>
    <w:rsid w:val="27436FF3"/>
    <w:rsid w:val="2AAE88FB"/>
    <w:rsid w:val="2C6646BB"/>
    <w:rsid w:val="325F6D2F"/>
    <w:rsid w:val="406854C7"/>
    <w:rsid w:val="43FFEE12"/>
    <w:rsid w:val="457B05AB"/>
    <w:rsid w:val="4F1BE8ED"/>
    <w:rsid w:val="57EFC9CE"/>
    <w:rsid w:val="5B5F7DE8"/>
    <w:rsid w:val="5FDD0527"/>
    <w:rsid w:val="66415D45"/>
    <w:rsid w:val="69CF6579"/>
    <w:rsid w:val="6FDC6613"/>
    <w:rsid w:val="797F683C"/>
    <w:rsid w:val="8E3F3C5F"/>
    <w:rsid w:val="8FDFF2B2"/>
    <w:rsid w:val="AF3BE95C"/>
    <w:rsid w:val="BC7D2661"/>
    <w:rsid w:val="BD73A5BF"/>
    <w:rsid w:val="D37BCDCB"/>
    <w:rsid w:val="EB5D5208"/>
    <w:rsid w:val="EE9E7EBA"/>
    <w:rsid w:val="F6BF41B4"/>
    <w:rsid w:val="F7C71F0A"/>
    <w:rsid w:val="F7F5DB2D"/>
    <w:rsid w:val="F7FFC64C"/>
    <w:rsid w:val="FBBFC393"/>
    <w:rsid w:val="FBDDC6BE"/>
    <w:rsid w:val="FBFFB8A3"/>
    <w:rsid w:val="FDFF3576"/>
    <w:rsid w:val="FFF91D9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annotation subject"/>
    <w:basedOn w:val="2"/>
    <w:next w:val="2"/>
    <w:link w:val="15"/>
    <w:unhideWhenUsed/>
    <w:qFormat/>
    <w:uiPriority w:val="99"/>
    <w:rPr>
      <w:b/>
      <w:bCs/>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000FF"/>
      <w:u w:val="single"/>
    </w:rPr>
  </w:style>
  <w:style w:type="character" w:styleId="11">
    <w:name w:val="annotation reference"/>
    <w:basedOn w:val="9"/>
    <w:unhideWhenUsed/>
    <w:qFormat/>
    <w:uiPriority w:val="99"/>
    <w:rPr>
      <w:sz w:val="21"/>
      <w:szCs w:val="21"/>
    </w:rPr>
  </w:style>
  <w:style w:type="character" w:customStyle="1" w:styleId="12">
    <w:name w:val="页眉 字符"/>
    <w:basedOn w:val="9"/>
    <w:link w:val="4"/>
    <w:qFormat/>
    <w:uiPriority w:val="99"/>
    <w:rPr>
      <w:sz w:val="18"/>
      <w:szCs w:val="18"/>
    </w:rPr>
  </w:style>
  <w:style w:type="character" w:customStyle="1" w:styleId="13">
    <w:name w:val="页脚 字符"/>
    <w:basedOn w:val="9"/>
    <w:link w:val="3"/>
    <w:qFormat/>
    <w:uiPriority w:val="99"/>
    <w:rPr>
      <w:sz w:val="18"/>
      <w:szCs w:val="18"/>
    </w:rPr>
  </w:style>
  <w:style w:type="character" w:customStyle="1" w:styleId="14">
    <w:name w:val="批注文字 字符"/>
    <w:basedOn w:val="9"/>
    <w:link w:val="2"/>
    <w:semiHidden/>
    <w:qFormat/>
    <w:uiPriority w:val="99"/>
    <w:rPr>
      <w:kern w:val="2"/>
      <w:sz w:val="21"/>
      <w:szCs w:val="22"/>
    </w:rPr>
  </w:style>
  <w:style w:type="character" w:customStyle="1" w:styleId="15">
    <w:name w:val="批注主题 字符"/>
    <w:basedOn w:val="14"/>
    <w:link w:val="6"/>
    <w:semiHidden/>
    <w:qFormat/>
    <w:uiPriority w:val="99"/>
    <w:rPr>
      <w:b/>
      <w:bCs/>
      <w:kern w:val="2"/>
      <w:sz w:val="21"/>
      <w:szCs w:val="22"/>
    </w:rPr>
  </w:style>
  <w:style w:type="paragraph" w:customStyle="1" w:styleId="16">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7">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3110</Words>
  <Characters>3221</Characters>
  <Lines>108</Lines>
  <Paragraphs>52</Paragraphs>
  <TotalTime>0</TotalTime>
  <ScaleCrop>false</ScaleCrop>
  <LinksUpToDate>false</LinksUpToDate>
  <CharactersWithSpaces>3222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2022-01-24T09:46:00Z</dcterms:created>
  <dc:creator> </dc:creator>
  <cp:lastModifiedBy>蔡永健</cp:lastModifiedBy>
  <dcterms:modified xsi:type="dcterms:W3CDTF">2022-09-29T06:51:16Z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31F229C16D124336A2AFABEF03BE535E</vt:lpwstr>
  </property>
</Properties>
</file>