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keepNext w:val="0"/>
        <w:keepLines w:val="0"/>
        <w:widowControl/>
        <w:suppressLineNumbers w:val="0"/>
      </w:pPr>
      <w:bookmarkStart w:id="0" w:name="_GoBack"/>
      <w:bookmarkEnd w:id="0"/>
      <w:r>
        <w:rPr>
          <w:rStyle w:val="11"/>
          <w:b/>
          <w:bCs/>
        </w:rPr>
        <w:t>广宁木格嘉诚陶瓷原料有限公司</w:t>
      </w:r>
    </w:p>
    <w:p>
      <w:pPr>
        <w:pStyle w:val="17"/>
        <w:keepNext w:val="0"/>
        <w:keepLines w:val="0"/>
        <w:widowControl/>
        <w:suppressLineNumbers w:val="0"/>
        <w:rPr>
          <w:sz w:val="36"/>
          <w:szCs w:val="36"/>
        </w:rPr>
      </w:pPr>
      <w:r>
        <w:rPr>
          <w:rStyle w:val="11"/>
          <w:b/>
          <w:bCs/>
          <w:sz w:val="36"/>
          <w:szCs w:val="36"/>
        </w:rPr>
        <w:t>关于以公开竞价方式确定重整投资人的竞买公告</w:t>
      </w:r>
    </w:p>
    <w:p>
      <w:pPr>
        <w:pStyle w:val="17"/>
        <w:keepNext w:val="0"/>
        <w:keepLines w:val="0"/>
        <w:widowControl/>
        <w:suppressLineNumbers w:val="0"/>
      </w:pPr>
      <w:r>
        <w:rPr>
          <w:rStyle w:val="11"/>
          <w:b/>
          <w:bCs/>
        </w:rPr>
        <w:t> </w:t>
      </w:r>
    </w:p>
    <w:p>
      <w:pPr>
        <w:pStyle w:val="10"/>
        <w:keepNext w:val="0"/>
        <w:keepLines w:val="0"/>
        <w:widowControl/>
        <w:suppressLineNumbers w:val="0"/>
      </w:pPr>
      <w:r>
        <w:rPr>
          <w:rStyle w:val="11"/>
        </w:rPr>
        <w:t>2021年1月26日广东省肇庆市中级人民法院（</w:t>
      </w:r>
      <w:r>
        <w:rPr>
          <w:rStyle w:val="11"/>
          <w:rFonts w:hint="eastAsia"/>
          <w:lang w:val="en-US" w:eastAsia="zh-Hans"/>
        </w:rPr>
        <w:t>下称肇庆中院</w:t>
      </w:r>
      <w:r>
        <w:rPr>
          <w:rStyle w:val="11"/>
        </w:rPr>
        <w:t>）受理广宁县木格嘉城陶瓷原料有限公司（下称木格公司）破产清算一案，并于2021年4月19日指定网际律师事务所为广宁县木格嘉城陶瓷原料有限公司管理人（下称“管理人”）。为维护全体债权人和债务人的合法权益，实现木格公司资源有效整合，管理人将于202</w:t>
      </w:r>
      <w:r>
        <w:rPr>
          <w:rStyle w:val="11"/>
          <w:rFonts w:hint="default"/>
        </w:rPr>
        <w:t>3</w:t>
      </w:r>
      <w:r>
        <w:rPr>
          <w:rStyle w:val="11"/>
        </w:rPr>
        <w:t>年</w:t>
      </w:r>
      <w:r>
        <w:rPr>
          <w:rStyle w:val="13"/>
        </w:rPr>
        <w:t> </w:t>
      </w:r>
      <w:r>
        <w:rPr>
          <w:rStyle w:val="13"/>
          <w:rFonts w:hint="default"/>
        </w:rPr>
        <w:t>1</w:t>
      </w:r>
      <w:r>
        <w:rPr>
          <w:rStyle w:val="11"/>
        </w:rPr>
        <w:t>月</w:t>
      </w:r>
      <w:r>
        <w:rPr>
          <w:rStyle w:val="13"/>
          <w:rFonts w:hint="default"/>
        </w:rPr>
        <w:t>9</w:t>
      </w:r>
      <w:r>
        <w:rPr>
          <w:rStyle w:val="11"/>
        </w:rPr>
        <w:t>日1</w:t>
      </w:r>
      <w:r>
        <w:rPr>
          <w:rStyle w:val="11"/>
          <w:rFonts w:hint="default"/>
        </w:rPr>
        <w:t>5</w:t>
      </w:r>
      <w:r>
        <w:rPr>
          <w:rStyle w:val="11"/>
        </w:rPr>
        <w:t>时至202</w:t>
      </w:r>
      <w:r>
        <w:rPr>
          <w:rStyle w:val="11"/>
          <w:rFonts w:hint="default"/>
        </w:rPr>
        <w:t>3</w:t>
      </w:r>
      <w:r>
        <w:rPr>
          <w:rStyle w:val="11"/>
        </w:rPr>
        <w:t>年</w:t>
      </w:r>
      <w:r>
        <w:rPr>
          <w:rStyle w:val="11"/>
          <w:rFonts w:hint="default"/>
        </w:rPr>
        <w:t>1</w:t>
      </w:r>
      <w:r>
        <w:rPr>
          <w:rStyle w:val="11"/>
        </w:rPr>
        <w:t>月</w:t>
      </w:r>
      <w:r>
        <w:rPr>
          <w:rStyle w:val="11"/>
          <w:rFonts w:hint="default"/>
        </w:rPr>
        <w:t>10</w:t>
      </w:r>
      <w:r>
        <w:rPr>
          <w:rStyle w:val="11"/>
        </w:rPr>
        <w:t>日1</w:t>
      </w:r>
      <w:r>
        <w:rPr>
          <w:rStyle w:val="11"/>
          <w:rFonts w:hint="default"/>
        </w:rPr>
        <w:t>4</w:t>
      </w:r>
      <w:r>
        <w:rPr>
          <w:rStyle w:val="11"/>
        </w:rPr>
        <w:t>时</w:t>
      </w:r>
      <w:r>
        <w:rPr>
          <w:rStyle w:val="11"/>
          <w:rFonts w:hint="default"/>
        </w:rPr>
        <w:t>59</w:t>
      </w:r>
      <w:r>
        <w:rPr>
          <w:rStyle w:val="11"/>
          <w:rFonts w:hint="eastAsia"/>
          <w:lang w:val="en-US" w:eastAsia="zh-Hans"/>
        </w:rPr>
        <w:t>分</w:t>
      </w:r>
      <w:r>
        <w:rPr>
          <w:rStyle w:val="11"/>
        </w:rPr>
        <w:t>止（延时的除外）在京东拍卖破产强清平台上对木格公司重整投资人资格开展竞价活动，现公告如下：</w:t>
      </w:r>
    </w:p>
    <w:p>
      <w:pPr>
        <w:pStyle w:val="10"/>
        <w:keepNext w:val="0"/>
        <w:keepLines w:val="0"/>
        <w:widowControl/>
        <w:suppressLineNumbers w:val="0"/>
      </w:pPr>
      <w:r>
        <w:rPr>
          <w:rStyle w:val="11"/>
          <w:b/>
          <w:bCs/>
        </w:rPr>
        <w:t>一、竞价标的</w:t>
      </w:r>
    </w:p>
    <w:p>
      <w:pPr>
        <w:pStyle w:val="12"/>
        <w:keepNext w:val="0"/>
        <w:keepLines w:val="0"/>
        <w:widowControl/>
        <w:suppressLineNumbers w:val="0"/>
      </w:pPr>
      <w:r>
        <w:rPr>
          <w:rStyle w:val="11"/>
          <w:b/>
          <w:bCs/>
        </w:rPr>
        <w:t>（一）标的物</w:t>
      </w:r>
    </w:p>
    <w:p>
      <w:pPr>
        <w:pStyle w:val="10"/>
        <w:keepNext w:val="0"/>
        <w:keepLines w:val="0"/>
        <w:widowControl/>
        <w:suppressLineNumbers w:val="0"/>
      </w:pPr>
      <w:r>
        <w:rPr>
          <w:rStyle w:val="11"/>
        </w:rPr>
        <w:t>竞价标的：木格公司重整投资人资格，即以报价最高者确定为重整投资人。一旦确定为重整投资人，将在</w:t>
      </w:r>
      <w:r>
        <w:rPr>
          <w:rStyle w:val="11"/>
          <w:rFonts w:hint="eastAsia"/>
          <w:lang w:val="en-US" w:eastAsia="zh-Hans"/>
        </w:rPr>
        <w:t>本公告附件</w:t>
      </w:r>
      <w:r>
        <w:rPr>
          <w:rStyle w:val="11"/>
        </w:rPr>
        <w:t>《重整计划（</w:t>
      </w:r>
      <w:r>
        <w:rPr>
          <w:rStyle w:val="11"/>
          <w:rFonts w:hint="eastAsia"/>
          <w:lang w:val="en-US" w:eastAsia="zh-Hans"/>
        </w:rPr>
        <w:t>草案</w:t>
      </w:r>
      <w:r>
        <w:rPr>
          <w:rStyle w:val="11"/>
        </w:rPr>
        <w:t>）》经</w:t>
      </w:r>
      <w:r>
        <w:rPr>
          <w:rStyle w:val="11"/>
          <w:rFonts w:hint="eastAsia"/>
          <w:lang w:val="en-US" w:eastAsia="zh-Hans"/>
        </w:rPr>
        <w:t>肇庆中院</w:t>
      </w:r>
      <w:r>
        <w:rPr>
          <w:rStyle w:val="11"/>
        </w:rPr>
        <w:t>批准生效后，取得木格公司的重整投资权益，即根据重整计划享有木格公司100%的出资人权益，该权益对应资产包括木格公司的100%股权、全部生产线及配套设施、厂区的土地使用权益（包括但不限于以</w:t>
      </w:r>
      <w:r>
        <w:rPr>
          <w:rStyle w:val="11"/>
          <w:rFonts w:hint="eastAsia"/>
          <w:lang w:val="en-US" w:eastAsia="zh-Hans"/>
        </w:rPr>
        <w:t>木格公司</w:t>
      </w:r>
      <w:r>
        <w:rPr>
          <w:rStyle w:val="11"/>
          <w:rFonts w:hint="eastAsia"/>
          <w:lang w:val="en-US" w:eastAsia="zh-CN"/>
        </w:rPr>
        <w:t>法定代表人</w:t>
      </w:r>
      <w:r>
        <w:rPr>
          <w:rStyle w:val="11"/>
        </w:rPr>
        <w:t>林奇志名义签订但</w:t>
      </w:r>
      <w:r>
        <w:rPr>
          <w:rStyle w:val="11"/>
          <w:rFonts w:hint="eastAsia"/>
          <w:lang w:val="en-US" w:eastAsia="zh-Hans"/>
        </w:rPr>
        <w:t>木格公司</w:t>
      </w:r>
      <w:r>
        <w:rPr>
          <w:rStyle w:val="11"/>
        </w:rPr>
        <w:t>实际使用的土地租赁合同）及《重整计划（草案）》</w:t>
      </w:r>
      <w:r>
        <w:rPr>
          <w:rStyle w:val="11"/>
          <w:rFonts w:hint="eastAsia"/>
          <w:lang w:val="en-US" w:eastAsia="zh-Hans"/>
        </w:rPr>
        <w:t>正文</w:t>
      </w:r>
      <w:r>
        <w:rPr>
          <w:rStyle w:val="11"/>
        </w:rPr>
        <w:t>规定的“债务人基本情况”中的“其他财产”。</w:t>
      </w:r>
    </w:p>
    <w:p>
      <w:pPr>
        <w:pStyle w:val="10"/>
        <w:keepNext w:val="0"/>
        <w:keepLines w:val="0"/>
        <w:widowControl/>
        <w:suppressLineNumbers w:val="0"/>
      </w:pPr>
      <w:r>
        <w:rPr>
          <w:rStyle w:val="11"/>
        </w:rPr>
        <w:t>重整权益的排除：肇庆中院裁定批准《重整计划（草案）》前债务人应收及实收的生产线租金收入及管理人依法接管债务人的存款不属于债务人重整投资权益，由管理人接管或追回并依法清偿</w:t>
      </w:r>
      <w:r>
        <w:rPr>
          <w:rStyle w:val="11"/>
          <w:rFonts w:hint="eastAsia"/>
          <w:lang w:val="en-US" w:eastAsia="zh-Hans"/>
        </w:rPr>
        <w:t>木格公司债务</w:t>
      </w:r>
      <w:r>
        <w:rPr>
          <w:rStyle w:val="11"/>
        </w:rPr>
        <w:t>）。</w:t>
      </w:r>
    </w:p>
    <w:p>
      <w:pPr>
        <w:pStyle w:val="10"/>
        <w:keepNext w:val="0"/>
        <w:keepLines w:val="0"/>
        <w:widowControl/>
        <w:suppressLineNumbers w:val="0"/>
      </w:pPr>
      <w:r>
        <w:rPr>
          <w:rStyle w:val="11"/>
          <w:b/>
          <w:bCs/>
        </w:rPr>
        <w:t>（二）标的物异议程序</w:t>
      </w:r>
    </w:p>
    <w:p>
      <w:pPr>
        <w:pStyle w:val="10"/>
        <w:keepNext w:val="0"/>
        <w:keepLines w:val="0"/>
        <w:widowControl/>
        <w:suppressLineNumbers w:val="0"/>
      </w:pPr>
      <w:r>
        <w:rPr>
          <w:rStyle w:val="11"/>
        </w:rPr>
        <w:t>1.对上述标的权属有异议者，应于竞价开始3个工作日前向管理人提交合法有效的证明。</w:t>
      </w:r>
    </w:p>
    <w:p>
      <w:pPr>
        <w:pStyle w:val="10"/>
        <w:keepNext w:val="0"/>
        <w:keepLines w:val="0"/>
        <w:widowControl/>
        <w:suppressLineNumbers w:val="0"/>
      </w:pPr>
      <w:r>
        <w:rPr>
          <w:rStyle w:val="11"/>
        </w:rPr>
        <w:t>2.与本标的物有利害关系的当事人可参加竞价，不参加竞价的请关注本次竞价活动的整个过程。</w:t>
      </w:r>
    </w:p>
    <w:p>
      <w:pPr>
        <w:pStyle w:val="10"/>
        <w:keepNext w:val="0"/>
        <w:keepLines w:val="0"/>
        <w:widowControl/>
        <w:suppressLineNumbers w:val="0"/>
      </w:pPr>
      <w:r>
        <w:rPr>
          <w:rStyle w:val="11"/>
          <w:b/>
          <w:bCs/>
        </w:rPr>
        <w:t>（三）起拍价</w:t>
      </w:r>
    </w:p>
    <w:p>
      <w:pPr>
        <w:pStyle w:val="10"/>
        <w:keepNext w:val="0"/>
        <w:keepLines w:val="0"/>
        <w:widowControl/>
        <w:suppressLineNumbers w:val="0"/>
      </w:pPr>
      <w:r>
        <w:rPr>
          <w:rStyle w:val="11"/>
        </w:rPr>
        <w:t>起拍价：250万元，保证金50万元，增价幅度：</w:t>
      </w:r>
      <w:r>
        <w:rPr>
          <w:rStyle w:val="11"/>
          <w:rFonts w:hint="default"/>
        </w:rPr>
        <w:t>2</w:t>
      </w:r>
      <w:r>
        <w:rPr>
          <w:rStyle w:val="11"/>
          <w:rFonts w:hint="eastAsia"/>
          <w:lang w:val="en-US" w:eastAsia="zh-Hans"/>
        </w:rPr>
        <w:t>.</w:t>
      </w:r>
      <w:r>
        <w:rPr>
          <w:rStyle w:val="11"/>
          <w:rFonts w:hint="default"/>
          <w:lang w:eastAsia="zh-Hans"/>
        </w:rPr>
        <w:t>5</w:t>
      </w:r>
      <w:r>
        <w:rPr>
          <w:rStyle w:val="11"/>
        </w:rPr>
        <w:t>万元/次。</w:t>
      </w:r>
    </w:p>
    <w:p>
      <w:pPr>
        <w:pStyle w:val="10"/>
        <w:keepNext w:val="0"/>
        <w:keepLines w:val="0"/>
        <w:widowControl/>
        <w:suppressLineNumbers w:val="0"/>
      </w:pPr>
      <w:r>
        <w:rPr>
          <w:rStyle w:val="11"/>
        </w:rPr>
        <w:t>竞价人充分知悉并接受竞价成功需按照竞价成交价提供重整资金。</w:t>
      </w:r>
    </w:p>
    <w:p>
      <w:pPr>
        <w:pStyle w:val="10"/>
        <w:keepNext w:val="0"/>
        <w:keepLines w:val="0"/>
        <w:widowControl/>
        <w:suppressLineNumbers w:val="0"/>
      </w:pPr>
      <w:r>
        <w:rPr>
          <w:rStyle w:val="11"/>
          <w:b/>
          <w:bCs/>
        </w:rPr>
        <w:t>（四）竞价方式</w:t>
      </w:r>
    </w:p>
    <w:p>
      <w:pPr>
        <w:pStyle w:val="10"/>
        <w:keepNext w:val="0"/>
        <w:keepLines w:val="0"/>
        <w:widowControl/>
        <w:suppressLineNumbers w:val="0"/>
      </w:pPr>
      <w:r>
        <w:rPr>
          <w:rStyle w:val="11"/>
        </w:rPr>
        <w:t>1.竞价从起拍价开始以递增出价方式竞价，竞买人以低于起拍价出价的无效。</w:t>
      </w:r>
    </w:p>
    <w:p>
      <w:pPr>
        <w:pStyle w:val="10"/>
        <w:keepNext w:val="0"/>
        <w:keepLines w:val="0"/>
        <w:widowControl/>
        <w:suppressLineNumbers w:val="0"/>
      </w:pPr>
      <w:r>
        <w:rPr>
          <w:rStyle w:val="11"/>
        </w:rPr>
        <w:t>2.本次竞价活动设置延时出价功能，在竞价活动结束前，每最后5分钟如果有竞买人出价，就自动延迟5分钟。</w:t>
      </w:r>
    </w:p>
    <w:p>
      <w:pPr>
        <w:pStyle w:val="10"/>
        <w:keepNext w:val="0"/>
        <w:keepLines w:val="0"/>
        <w:widowControl/>
        <w:suppressLineNumbers w:val="0"/>
      </w:pPr>
      <w:r>
        <w:rPr>
          <w:rStyle w:val="11"/>
        </w:rPr>
        <w:t>3.本次拍卖保留价为起拍价。</w:t>
      </w:r>
    </w:p>
    <w:p>
      <w:pPr>
        <w:pStyle w:val="10"/>
        <w:keepNext w:val="0"/>
        <w:keepLines w:val="0"/>
        <w:widowControl/>
        <w:suppressLineNumbers w:val="0"/>
      </w:pPr>
      <w:r>
        <w:rPr>
          <w:rStyle w:val="11"/>
          <w:b/>
          <w:bCs/>
        </w:rPr>
        <w:t>二、企业概况</w:t>
      </w:r>
    </w:p>
    <w:p>
      <w:pPr>
        <w:pStyle w:val="9"/>
        <w:keepNext w:val="0"/>
        <w:keepLines w:val="0"/>
        <w:widowControl/>
        <w:suppressLineNumbers w:val="0"/>
      </w:pPr>
      <w:r>
        <w:rPr>
          <w:rStyle w:val="11"/>
        </w:rPr>
        <w:t>木格公司成立于2011年3月7日，住所地为广宁县木格镇石台村委会石安村常生口，法定代表人林奇志，企业类型为有限责任公司（自然人独资）。公司注册资本人民币30万元，股东林奇志享有100%股权。公司经营范围：加工、销售；陶瓷原料（依法须经批准的项目，经相关部门批准后方可开展经营活动）。</w:t>
      </w:r>
    </w:p>
    <w:p>
      <w:pPr>
        <w:pStyle w:val="10"/>
        <w:keepNext w:val="0"/>
        <w:keepLines w:val="0"/>
        <w:widowControl/>
        <w:suppressLineNumbers w:val="0"/>
      </w:pPr>
      <w:r>
        <w:rPr>
          <w:rStyle w:val="11"/>
          <w:b/>
          <w:bCs/>
        </w:rPr>
        <w:t>三、竞买人条件</w:t>
      </w:r>
    </w:p>
    <w:p>
      <w:pPr>
        <w:pStyle w:val="10"/>
        <w:keepNext w:val="0"/>
        <w:keepLines w:val="0"/>
        <w:widowControl/>
        <w:suppressLineNumbers w:val="0"/>
      </w:pPr>
      <w:r>
        <w:rPr>
          <w:rStyle w:val="11"/>
        </w:rPr>
        <w:t>意向竞买人须符合以下竞买人条件，并在竞买开始前五个工作日向木格公司破产管理人提交相关证明资料，办理相关手续。</w:t>
      </w:r>
    </w:p>
    <w:p>
      <w:pPr>
        <w:pStyle w:val="10"/>
        <w:keepNext w:val="0"/>
        <w:keepLines w:val="0"/>
        <w:widowControl/>
        <w:suppressLineNumbers w:val="0"/>
      </w:pPr>
      <w:r>
        <w:rPr>
          <w:rStyle w:val="11"/>
        </w:rPr>
        <w:t>（一）具有较强的社会责任感和良好的商业信誉，意向竞买人及其控股股东、实际控制人财务状况或者信用记录不良的，管理人有权认定意向竞买人不具备重整投资人资格，因不符合条件参加竞买的，由竞买人自行承担相应的法律责任。</w:t>
      </w:r>
    </w:p>
    <w:p>
      <w:pPr>
        <w:pStyle w:val="10"/>
        <w:keepNext w:val="0"/>
        <w:keepLines w:val="0"/>
        <w:widowControl/>
        <w:suppressLineNumbers w:val="0"/>
      </w:pPr>
      <w:r>
        <w:rPr>
          <w:rStyle w:val="11"/>
        </w:rPr>
        <w:t>（二）拥有足够的资金实力进行重整投资，并提供相应的资信证明或其他履约能力证明。</w:t>
      </w:r>
    </w:p>
    <w:p>
      <w:pPr>
        <w:pStyle w:val="10"/>
        <w:keepNext w:val="0"/>
        <w:keepLines w:val="0"/>
        <w:widowControl/>
        <w:suppressLineNumbers w:val="0"/>
      </w:pPr>
      <w:r>
        <w:rPr>
          <w:rStyle w:val="11"/>
        </w:rPr>
        <w:t>（三）拥有与木格公司经营规模相适应的经营管理能力。</w:t>
      </w:r>
    </w:p>
    <w:p>
      <w:pPr>
        <w:pStyle w:val="10"/>
        <w:keepNext w:val="0"/>
        <w:keepLines w:val="0"/>
        <w:widowControl/>
        <w:suppressLineNumbers w:val="0"/>
      </w:pPr>
      <w:r>
        <w:rPr>
          <w:rStyle w:val="11"/>
        </w:rPr>
        <w:t>（四）意向竞买人须承诺：未负有数额较大的到期未清偿债务，无作为被执行人的案件，最近三年无重大违法行为，未被列入失信被执行人名单。</w:t>
      </w:r>
    </w:p>
    <w:p>
      <w:pPr>
        <w:pStyle w:val="10"/>
        <w:keepNext w:val="0"/>
        <w:keepLines w:val="0"/>
        <w:widowControl/>
        <w:suppressLineNumbers w:val="0"/>
      </w:pPr>
      <w:r>
        <w:rPr>
          <w:rStyle w:val="11"/>
        </w:rPr>
        <w:t>（五）竞买人可委托代理人（具备完全民事行为能力的自然人）进行，但须在竞买开始前向木格公司破产管理人办理委托手续；竞买成功后，竞买人（法定代表人、其他组织的负责人）须与委托代理人一同到木格公司破产管理人处办理确认和交接手续。如委托手续不全，竞买活动认定为委托代理人的个人行为。</w:t>
      </w:r>
    </w:p>
    <w:p>
      <w:pPr>
        <w:pStyle w:val="10"/>
        <w:keepNext w:val="0"/>
        <w:keepLines w:val="0"/>
        <w:widowControl/>
        <w:suppressLineNumbers w:val="0"/>
      </w:pPr>
      <w:r>
        <w:rPr>
          <w:rStyle w:val="11"/>
        </w:rPr>
        <w:t>（六）多个竞买人联合竞买的，必须在竞拍开始前向木格公司破产管理人提交书面报告（包括明确的股权份额约定）。竞买成功后，全体竞买人须共同到木格公司破产管理人处办理确认和交接手续。如共同竞买手续不全的，竞买活动被认定为直接参加竞买的单位或个人的独立竞买行为。因不符合条件参加竞买的，由竞买人自行承担相应的法律责任。</w:t>
      </w:r>
    </w:p>
    <w:p>
      <w:pPr>
        <w:pStyle w:val="10"/>
        <w:keepNext w:val="0"/>
        <w:keepLines w:val="0"/>
        <w:widowControl/>
        <w:suppressLineNumbers w:val="0"/>
      </w:pPr>
      <w:r>
        <w:rPr>
          <w:rStyle w:val="11"/>
          <w:b/>
          <w:bCs/>
        </w:rPr>
        <w:t>四、标的咨询与查看</w:t>
      </w:r>
    </w:p>
    <w:p>
      <w:pPr>
        <w:pStyle w:val="10"/>
        <w:keepNext w:val="0"/>
        <w:keepLines w:val="0"/>
        <w:widowControl/>
        <w:suppressLineNumbers w:val="0"/>
      </w:pPr>
      <w:r>
        <w:rPr>
          <w:rStyle w:val="11"/>
        </w:rPr>
        <w:t>本次竞价标的已知及可能存在的瑕疵、风险已在本次竞</w:t>
      </w:r>
      <w:r>
        <w:rPr>
          <w:rStyle w:val="11"/>
          <w:rFonts w:hint="eastAsia"/>
          <w:lang w:val="en-US" w:eastAsia="zh-Hans"/>
        </w:rPr>
        <w:t>买须知</w:t>
      </w:r>
      <w:r>
        <w:rPr>
          <w:rStyle w:val="11"/>
        </w:rPr>
        <w:t>、竞</w:t>
      </w:r>
      <w:r>
        <w:rPr>
          <w:rStyle w:val="11"/>
          <w:rFonts w:hint="eastAsia"/>
          <w:lang w:val="en-US" w:eastAsia="zh-Hans"/>
        </w:rPr>
        <w:t>买</w:t>
      </w:r>
      <w:r>
        <w:rPr>
          <w:rStyle w:val="11"/>
        </w:rPr>
        <w:t>公告中作了披露。管理人对竞价标的所作的说明和提供的资料、图片等，仅供竞买人参考，不构成对标的的任何担保。请竞买人在竞价前仔细审查与竞价标的有关的财产，调查是否存在瑕疵，认真研究查看实际情况，并请亲临现场，实地看样，慎重决定竞价行为（本次拍卖看样时间为自本公告发布之日起至202</w:t>
      </w:r>
      <w:r>
        <w:rPr>
          <w:rStyle w:val="11"/>
          <w:rFonts w:hint="default"/>
        </w:rPr>
        <w:t>3</w:t>
      </w:r>
      <w:r>
        <w:rPr>
          <w:rStyle w:val="11"/>
        </w:rPr>
        <w:t>年1月6日17时，如需看样请提前与管理人预约，看样咨询电话：李先生，13580603923）。未看样的竞买人视为对有关实物现状的确认。竞买人一旦作出竞价决定，即表明已完全了解，并接受有关本次拍卖及实物的现状和一切已知及未知的瑕疵。竞买人一旦作出竞价决定，即视为已知悉、充分预判并接受木格公司的现状，包括但不限于资产负债情况、征信情况、设备和生产线现状、税收负担、重整收益等产生的税务调整等；知悉、充分预判并接受企业经营风险、资产使用状况、重整税务调整以及行业发展前景等所有事项。</w:t>
      </w:r>
    </w:p>
    <w:p>
      <w:pPr>
        <w:pStyle w:val="18"/>
        <w:keepNext w:val="0"/>
        <w:keepLines w:val="0"/>
        <w:widowControl/>
        <w:suppressLineNumbers w:val="0"/>
      </w:pPr>
      <w:r>
        <w:rPr>
          <w:rStyle w:val="11"/>
          <w:b/>
          <w:bCs/>
        </w:rPr>
        <w:t>五、保证金及余款缴纳</w:t>
      </w:r>
    </w:p>
    <w:p>
      <w:pPr>
        <w:pStyle w:val="18"/>
        <w:keepNext w:val="0"/>
        <w:keepLines w:val="0"/>
        <w:widowControl/>
        <w:suppressLineNumbers w:val="0"/>
      </w:pPr>
      <w:r>
        <w:rPr>
          <w:rStyle w:val="11"/>
        </w:rPr>
        <w:t>（一）保证金缴纳。竞拍前竞买人的账户中应有足够的余额支付竞价保证金。竞买人在对竞价标的第一次确认出价竞拍前，按系统提示报名缴纳保证金，系统会自动冻结该笔款项。竞价成功的，本标的竞得人冻结的保证金将在24小时以内自动转入管理人指定账户（账户名称：广宁县木格嘉诚陶瓷原料有限公司管理人；账号：727674573074；开户行：中国银行股份有限公司肇庆分行，其他竞买人的保证金在竞价后即时解冻。竞价未成功的（即流拍的），竞买人的保证金在竞价活动结束后即时解冻，保证金冻结期间不计利息。</w:t>
      </w:r>
    </w:p>
    <w:p>
      <w:pPr>
        <w:pStyle w:val="18"/>
        <w:keepNext w:val="0"/>
        <w:keepLines w:val="0"/>
        <w:widowControl/>
        <w:suppressLineNumbers w:val="0"/>
      </w:pPr>
      <w:r>
        <w:rPr>
          <w:rStyle w:val="11"/>
        </w:rPr>
        <w:t>（二）余款缴纳。竞买人成功竞得标的后，需按照竞得人与管理人签署的《重整投资协议》约定履行余款缴纳义务。</w:t>
      </w:r>
    </w:p>
    <w:p>
      <w:pPr>
        <w:pStyle w:val="10"/>
        <w:keepNext w:val="0"/>
        <w:keepLines w:val="0"/>
        <w:widowControl/>
        <w:suppressLineNumbers w:val="0"/>
      </w:pPr>
      <w:r>
        <w:rPr>
          <w:rStyle w:val="11"/>
          <w:b/>
          <w:bCs/>
        </w:rPr>
        <w:t>六、特别说明</w:t>
      </w:r>
    </w:p>
    <w:p>
      <w:pPr>
        <w:pStyle w:val="10"/>
        <w:keepNext w:val="0"/>
        <w:keepLines w:val="0"/>
        <w:widowControl/>
        <w:suppressLineNumbers w:val="0"/>
      </w:pPr>
      <w:r>
        <w:rPr>
          <w:rStyle w:val="11"/>
          <w:b/>
          <w:bCs/>
        </w:rPr>
        <w:t>竞买人报名并缴纳相关竞买保证金，视为知悉并接受以下条件</w:t>
      </w:r>
    </w:p>
    <w:p>
      <w:pPr>
        <w:pStyle w:val="10"/>
        <w:keepNext w:val="0"/>
        <w:keepLines w:val="0"/>
        <w:widowControl/>
        <w:suppressLineNumbers w:val="0"/>
      </w:pPr>
      <w:r>
        <w:rPr>
          <w:rStyle w:val="11"/>
        </w:rPr>
        <w:t>（一）本次竞价标的为重整投资人资格，无法开具发票。</w:t>
      </w:r>
    </w:p>
    <w:p>
      <w:pPr>
        <w:pStyle w:val="10"/>
        <w:keepNext w:val="0"/>
        <w:keepLines w:val="0"/>
        <w:widowControl/>
        <w:suppressLineNumbers w:val="0"/>
      </w:pPr>
      <w:r>
        <w:rPr>
          <w:rStyle w:val="11"/>
        </w:rPr>
        <w:t>（二）对于木格公司</w:t>
      </w:r>
      <w:r>
        <w:rPr>
          <w:rStyle w:val="11"/>
          <w:rFonts w:hint="eastAsia"/>
          <w:lang w:val="en-US" w:eastAsia="zh-Hans"/>
        </w:rPr>
        <w:t>重整投资</w:t>
      </w:r>
      <w:r>
        <w:rPr>
          <w:rStyle w:val="11"/>
        </w:rPr>
        <w:t>权益对应的所有财产，管理人不承担资产的瑕疵担保责任，管理人在本公告及相关附件中披露的资产信息、标的物介绍、评价以及其它文字、图片、数据等仅供参考，不构成对木格公司资产的任何担保，有意者请亲自实地看样，有关资产的各项情况以现场的实物现状为准。竞买人一旦作出竞买决定，即视为竞买人已对木格公司资产进行了充分调查，已完全了解情况，并接受木格公司资产的现状和一切已知及未知的瑕疵。</w:t>
      </w:r>
    </w:p>
    <w:p>
      <w:pPr>
        <w:pStyle w:val="10"/>
        <w:keepNext w:val="0"/>
        <w:keepLines w:val="0"/>
        <w:widowControl/>
        <w:suppressLineNumbers w:val="0"/>
      </w:pPr>
      <w:r>
        <w:rPr>
          <w:rStyle w:val="11"/>
        </w:rPr>
        <w:t>有意者请在完成资产尽调的同时就木格公司所涉及的税收、环保等相关法律、政策向相关部门进行咨询，竞买人一旦作出竞买决定，即视为竞买人已知悉并作出充分预判，自愿承担相关法律、政策风险。</w:t>
      </w:r>
    </w:p>
    <w:p>
      <w:pPr>
        <w:pStyle w:val="10"/>
        <w:keepNext w:val="0"/>
        <w:keepLines w:val="0"/>
        <w:widowControl/>
        <w:suppressLineNumbers w:val="0"/>
      </w:pPr>
      <w:r>
        <w:rPr>
          <w:rStyle w:val="11"/>
        </w:rPr>
        <w:t>（四）管理人对此次竞价标的物所作的说明和提供的图片、文字资料等，仅供竞买人参考，不构成对标的物的任何担保，不作为对竞买人参与此次竞价的建议。</w:t>
      </w:r>
    </w:p>
    <w:p>
      <w:pPr>
        <w:pStyle w:val="10"/>
        <w:keepNext w:val="0"/>
        <w:keepLines w:val="0"/>
        <w:widowControl/>
        <w:suppressLineNumbers w:val="0"/>
      </w:pPr>
      <w:r>
        <w:rPr>
          <w:rStyle w:val="11"/>
        </w:rPr>
        <w:t>（五）本次网上公开竞价《竞买公告》《竞买须知》</w:t>
      </w:r>
      <w:r>
        <w:rPr>
          <w:rStyle w:val="11"/>
          <w:rFonts w:hint="eastAsia"/>
          <w:lang w:val="en-US" w:eastAsia="zh-Hans"/>
        </w:rPr>
        <w:t>及木格公司</w:t>
      </w:r>
      <w:r>
        <w:rPr>
          <w:rStyle w:val="11"/>
        </w:rPr>
        <w:t>《</w:t>
      </w:r>
      <w:r>
        <w:rPr>
          <w:rStyle w:val="11"/>
          <w:rFonts w:hint="eastAsia"/>
          <w:lang w:val="en-US" w:eastAsia="zh-Hans"/>
        </w:rPr>
        <w:t>重整计划</w:t>
      </w:r>
      <w:r>
        <w:rPr>
          <w:rStyle w:val="11"/>
          <w:rFonts w:hint="default"/>
          <w:lang w:eastAsia="zh-Hans"/>
        </w:rPr>
        <w:t>（</w:t>
      </w:r>
      <w:r>
        <w:rPr>
          <w:rStyle w:val="11"/>
          <w:rFonts w:hint="eastAsia"/>
          <w:lang w:val="en-US" w:eastAsia="zh-Hans"/>
        </w:rPr>
        <w:t>草案</w:t>
      </w:r>
      <w:r>
        <w:rPr>
          <w:rStyle w:val="11"/>
          <w:rFonts w:hint="default"/>
          <w:lang w:eastAsia="zh-Hans"/>
        </w:rPr>
        <w:t>）</w:t>
      </w:r>
      <w:r>
        <w:rPr>
          <w:rStyle w:val="11"/>
        </w:rPr>
        <w:t>》等标的物相关文件已在京东拍卖破产强清平台上公开展示，请仔细阅读。管理人已就前述相关标的物相关文件的所有条款向竞买人如实告知并做出详细说明，竞买人知悉并同意接受前述文件的全部条款和内容，竞买人不存在任何歧义和误认，竞买人承诺不再对前述文件的条款提出任何异议。</w:t>
      </w:r>
    </w:p>
    <w:p>
      <w:pPr>
        <w:pStyle w:val="18"/>
        <w:keepNext w:val="0"/>
        <w:keepLines w:val="0"/>
        <w:widowControl/>
        <w:suppressLineNumbers w:val="0"/>
      </w:pPr>
      <w:r>
        <w:rPr>
          <w:rStyle w:val="11"/>
          <w:b/>
          <w:bCs/>
        </w:rPr>
        <w:t>七、联系方式</w:t>
      </w:r>
    </w:p>
    <w:p>
      <w:pPr>
        <w:pStyle w:val="18"/>
        <w:keepNext w:val="0"/>
        <w:keepLines w:val="0"/>
        <w:widowControl/>
        <w:suppressLineNumbers w:val="0"/>
      </w:pPr>
      <w:r>
        <w:rPr>
          <w:rStyle w:val="11"/>
        </w:rPr>
        <w:t>竞买人在竞价前请务必再仔细阅读《竞买公告》《竞买须知》，凡发现竞价中有违规行为，可如实举报。</w:t>
      </w:r>
    </w:p>
    <w:p>
      <w:pPr>
        <w:pStyle w:val="10"/>
        <w:keepNext w:val="0"/>
        <w:keepLines w:val="0"/>
        <w:widowControl/>
        <w:suppressLineNumbers w:val="0"/>
      </w:pPr>
      <w:r>
        <w:rPr>
          <w:rStyle w:val="11"/>
        </w:rPr>
        <w:t>标的详情咨询电话：李先生，13580603923</w:t>
      </w:r>
    </w:p>
    <w:p>
      <w:pPr>
        <w:pStyle w:val="10"/>
        <w:keepNext w:val="0"/>
        <w:keepLines w:val="0"/>
        <w:widowControl/>
        <w:suppressLineNumbers w:val="0"/>
      </w:pPr>
      <w:r>
        <w:rPr>
          <w:rStyle w:val="11"/>
        </w:rPr>
        <w:t>管理人联系地址：肇庆市天宁北路75号广发银行大厦19楼01-02单元（广东网际律师事务所）</w:t>
      </w:r>
    </w:p>
    <w:p>
      <w:pPr>
        <w:pStyle w:val="16"/>
        <w:keepNext w:val="0"/>
        <w:keepLines w:val="0"/>
        <w:widowControl/>
        <w:suppressLineNumbers w:val="0"/>
        <w:rPr>
          <w:rStyle w:val="11"/>
        </w:rPr>
      </w:pPr>
      <w:r>
        <w:rPr>
          <w:rStyle w:val="11"/>
        </w:rPr>
        <w:t>京东咨询电话：4006229586       </w:t>
      </w:r>
    </w:p>
    <w:p>
      <w:pPr>
        <w:pStyle w:val="16"/>
        <w:keepNext w:val="0"/>
        <w:keepLines w:val="0"/>
        <w:widowControl/>
        <w:suppressLineNumbers w:val="0"/>
        <w:ind w:left="0" w:leftChars="0" w:firstLine="0" w:firstLineChars="0"/>
        <w:rPr>
          <w:rStyle w:val="11"/>
        </w:rPr>
      </w:pPr>
    </w:p>
    <w:p>
      <w:pPr>
        <w:pStyle w:val="16"/>
        <w:keepNext w:val="0"/>
        <w:keepLines w:val="0"/>
        <w:widowControl/>
        <w:suppressLineNumbers w:val="0"/>
        <w:ind w:left="0" w:leftChars="0" w:firstLine="0" w:firstLineChars="0"/>
      </w:pPr>
      <w:r>
        <w:rPr>
          <w:rStyle w:val="11"/>
          <w:rFonts w:hint="eastAsia"/>
          <w:lang w:val="en-US" w:eastAsia="zh-Hans"/>
        </w:rPr>
        <w:t>附件</w:t>
      </w:r>
      <w:r>
        <w:rPr>
          <w:rStyle w:val="11"/>
          <w:rFonts w:hint="default"/>
          <w:lang w:eastAsia="zh-Hans"/>
        </w:rPr>
        <w:t>：《</w:t>
      </w:r>
      <w:r>
        <w:rPr>
          <w:rStyle w:val="11"/>
          <w:rFonts w:hint="eastAsia"/>
          <w:lang w:val="en-US" w:eastAsia="zh-Hans"/>
        </w:rPr>
        <w:t>重整计划</w:t>
      </w:r>
      <w:r>
        <w:rPr>
          <w:rStyle w:val="11"/>
          <w:rFonts w:hint="default"/>
          <w:lang w:eastAsia="zh-Hans"/>
        </w:rPr>
        <w:t>（</w:t>
      </w:r>
      <w:r>
        <w:rPr>
          <w:rStyle w:val="11"/>
          <w:rFonts w:hint="eastAsia"/>
          <w:lang w:val="en-US" w:eastAsia="zh-Hans"/>
        </w:rPr>
        <w:t>草案</w:t>
      </w:r>
      <w:r>
        <w:rPr>
          <w:rStyle w:val="11"/>
          <w:rFonts w:hint="default"/>
          <w:lang w:eastAsia="zh-Hans"/>
        </w:rPr>
        <w:t>）》</w:t>
      </w:r>
      <w:r>
        <w:rPr>
          <w:rStyle w:val="11"/>
        </w:rPr>
        <w:t> </w:t>
      </w:r>
    </w:p>
    <w:p>
      <w:pPr>
        <w:pStyle w:val="18"/>
        <w:keepNext w:val="0"/>
        <w:keepLines w:val="0"/>
        <w:widowControl/>
        <w:suppressLineNumbers w:val="0"/>
      </w:pPr>
      <w:r>
        <w:rPr>
          <w:rStyle w:val="11"/>
        </w:rPr>
        <w:t>    </w:t>
      </w:r>
    </w:p>
    <w:p>
      <w:pPr>
        <w:pStyle w:val="8"/>
        <w:keepNext w:val="0"/>
        <w:keepLines w:val="0"/>
        <w:widowControl/>
        <w:suppressLineNumbers w:val="0"/>
      </w:pPr>
      <w:r>
        <w:rPr>
          <w:rStyle w:val="11"/>
        </w:rPr>
        <w:t>广宁木格嘉诚陶瓷原料有限公司管理人</w:t>
      </w:r>
    </w:p>
    <w:p>
      <w:pPr>
        <w:pStyle w:val="8"/>
        <w:keepNext w:val="0"/>
        <w:keepLines w:val="0"/>
        <w:widowControl/>
        <w:suppressLineNumbers w:val="0"/>
      </w:pPr>
      <w:r>
        <w:rPr>
          <w:rStyle w:val="11"/>
        </w:rPr>
        <w:t>二〇二二年十二月</w:t>
      </w:r>
      <w:r>
        <w:rPr>
          <w:rStyle w:val="11"/>
          <w:rFonts w:hint="eastAsia"/>
          <w:lang w:val="en-US" w:eastAsia="zh-Hans"/>
        </w:rPr>
        <w:t>三十</w:t>
      </w:r>
      <w:r>
        <w:rPr>
          <w:rStyle w:val="11"/>
        </w:rPr>
        <w:t>日 </w:t>
      </w:r>
    </w:p>
    <w:p>
      <w:pPr>
        <w:pStyle w:val="15"/>
        <w:keepNext w:val="0"/>
        <w:keepLines w:val="0"/>
        <w:widowControl/>
        <w:suppressLineNumbers w:val="0"/>
      </w:pPr>
      <w:r>
        <w:rPr>
          <w:rStyle w:val="11"/>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ngti sc">
    <w:altName w:val="宋体"/>
    <w:panose1 w:val="0201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7859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p8"/>
    <w:basedOn w:val="1"/>
    <w:qFormat/>
    <w:uiPriority w:val="0"/>
    <w:pPr>
      <w:shd w:val="clear" w:fill="FFFFFF"/>
      <w:spacing w:before="0" w:beforeAutospacing="0" w:after="100" w:afterAutospacing="0" w:line="700" w:lineRule="atLeast"/>
      <w:ind w:left="0" w:right="0" w:firstLine="840"/>
      <w:jc w:val="right"/>
    </w:pPr>
    <w:rPr>
      <w:rFonts w:ascii="songti sc" w:hAnsi="songti sc" w:eastAsia="songti sc" w:cs="songti sc"/>
      <w:color w:val="000000"/>
      <w:kern w:val="0"/>
      <w:sz w:val="37"/>
      <w:szCs w:val="37"/>
      <w:lang w:val="en-US" w:eastAsia="zh-CN" w:bidi="ar"/>
    </w:rPr>
  </w:style>
  <w:style w:type="paragraph" w:customStyle="1" w:styleId="9">
    <w:name w:val="p4"/>
    <w:basedOn w:val="1"/>
    <w:qFormat/>
    <w:uiPriority w:val="0"/>
    <w:pPr>
      <w:shd w:val="clear" w:fill="FFFFFF"/>
      <w:spacing w:before="0" w:beforeAutospacing="0" w:after="100" w:afterAutospacing="0" w:line="740" w:lineRule="atLeast"/>
      <w:ind w:left="0" w:right="0" w:firstLine="800"/>
      <w:jc w:val="left"/>
    </w:pPr>
    <w:rPr>
      <w:rFonts w:hint="eastAsia" w:ascii="songti sc" w:hAnsi="songti sc" w:eastAsia="songti sc" w:cs="songti sc"/>
      <w:color w:val="000000"/>
      <w:kern w:val="0"/>
      <w:sz w:val="37"/>
      <w:szCs w:val="37"/>
      <w:lang w:val="en-US" w:eastAsia="zh-CN" w:bidi="ar"/>
    </w:rPr>
  </w:style>
  <w:style w:type="paragraph" w:customStyle="1" w:styleId="10">
    <w:name w:val="p2"/>
    <w:basedOn w:val="1"/>
    <w:qFormat/>
    <w:uiPriority w:val="0"/>
    <w:pPr>
      <w:shd w:val="clear" w:fill="FFFFFF"/>
      <w:spacing w:before="0" w:beforeAutospacing="0" w:after="100" w:afterAutospacing="0" w:line="700" w:lineRule="atLeast"/>
      <w:ind w:left="0" w:right="0" w:firstLine="800"/>
      <w:jc w:val="both"/>
    </w:pPr>
    <w:rPr>
      <w:rFonts w:hint="eastAsia" w:ascii="songti sc" w:hAnsi="songti sc" w:eastAsia="songti sc" w:cs="songti sc"/>
      <w:color w:val="000000"/>
      <w:kern w:val="0"/>
      <w:sz w:val="37"/>
      <w:szCs w:val="37"/>
      <w:lang w:val="en-US" w:eastAsia="zh-CN" w:bidi="ar"/>
    </w:rPr>
  </w:style>
  <w:style w:type="character" w:customStyle="1" w:styleId="11">
    <w:name w:val="s1"/>
    <w:basedOn w:val="5"/>
    <w:uiPriority w:val="0"/>
  </w:style>
  <w:style w:type="paragraph" w:customStyle="1" w:styleId="12">
    <w:name w:val="p3"/>
    <w:basedOn w:val="1"/>
    <w:qFormat/>
    <w:uiPriority w:val="0"/>
    <w:pPr>
      <w:shd w:val="clear" w:fill="FFFFFF"/>
      <w:spacing w:before="0" w:beforeAutospacing="0" w:after="100" w:afterAutospacing="0" w:line="700" w:lineRule="atLeast"/>
      <w:ind w:left="560" w:right="0"/>
      <w:jc w:val="both"/>
    </w:pPr>
    <w:rPr>
      <w:rFonts w:hint="eastAsia" w:ascii="songti sc" w:hAnsi="songti sc" w:eastAsia="songti sc" w:cs="songti sc"/>
      <w:color w:val="000000"/>
      <w:kern w:val="0"/>
      <w:sz w:val="37"/>
      <w:szCs w:val="37"/>
      <w:lang w:val="en-US" w:eastAsia="zh-CN" w:bidi="ar"/>
    </w:rPr>
  </w:style>
  <w:style w:type="character" w:customStyle="1" w:styleId="13">
    <w:name w:val="s2"/>
    <w:basedOn w:val="5"/>
    <w:qFormat/>
    <w:uiPriority w:val="0"/>
    <w:rPr>
      <w:u w:val="single"/>
    </w:rPr>
  </w:style>
  <w:style w:type="paragraph" w:customStyle="1" w:styleId="14">
    <w:name w:val="p6"/>
    <w:basedOn w:val="1"/>
    <w:qFormat/>
    <w:uiPriority w:val="0"/>
    <w:pPr>
      <w:shd w:val="clear" w:fill="FFFFFF"/>
      <w:spacing w:before="0" w:beforeAutospacing="0" w:after="100" w:afterAutospacing="0" w:line="700" w:lineRule="atLeast"/>
      <w:ind w:left="0" w:right="0"/>
      <w:jc w:val="both"/>
    </w:pPr>
    <w:rPr>
      <w:rFonts w:hint="eastAsia" w:ascii="songti sc" w:hAnsi="songti sc" w:eastAsia="songti sc" w:cs="songti sc"/>
      <w:color w:val="000000"/>
      <w:kern w:val="0"/>
      <w:sz w:val="37"/>
      <w:szCs w:val="37"/>
      <w:lang w:val="en-US" w:eastAsia="zh-CN" w:bidi="ar"/>
    </w:rPr>
  </w:style>
  <w:style w:type="paragraph" w:customStyle="1" w:styleId="15">
    <w:name w:val="p9"/>
    <w:basedOn w:val="1"/>
    <w:qFormat/>
    <w:uiPriority w:val="0"/>
    <w:pPr>
      <w:shd w:val="clear" w:fill="FFFFFF"/>
      <w:spacing w:before="0" w:beforeAutospacing="0" w:after="0" w:afterAutospacing="0" w:line="600" w:lineRule="atLeast"/>
      <w:ind w:left="0" w:right="0"/>
      <w:jc w:val="both"/>
    </w:pPr>
    <w:rPr>
      <w:rFonts w:hint="eastAsia" w:ascii="songti sc" w:hAnsi="songti sc" w:eastAsia="songti sc" w:cs="songti sc"/>
      <w:color w:val="000000"/>
      <w:kern w:val="0"/>
      <w:sz w:val="37"/>
      <w:szCs w:val="37"/>
      <w:lang w:val="en-US" w:eastAsia="zh-CN" w:bidi="ar"/>
    </w:rPr>
  </w:style>
  <w:style w:type="paragraph" w:customStyle="1" w:styleId="16">
    <w:name w:val="p7"/>
    <w:basedOn w:val="1"/>
    <w:uiPriority w:val="0"/>
    <w:pPr>
      <w:shd w:val="clear" w:fill="FFFFFF"/>
      <w:spacing w:before="0" w:beforeAutospacing="0" w:after="100" w:afterAutospacing="0" w:line="700" w:lineRule="atLeast"/>
      <w:ind w:left="0" w:right="0" w:firstLine="840"/>
      <w:jc w:val="left"/>
    </w:pPr>
    <w:rPr>
      <w:rFonts w:hint="eastAsia" w:ascii="songti sc" w:hAnsi="songti sc" w:eastAsia="songti sc" w:cs="songti sc"/>
      <w:color w:val="000000"/>
      <w:kern w:val="0"/>
      <w:sz w:val="37"/>
      <w:szCs w:val="37"/>
      <w:lang w:val="en-US" w:eastAsia="zh-CN" w:bidi="ar"/>
    </w:rPr>
  </w:style>
  <w:style w:type="paragraph" w:customStyle="1" w:styleId="17">
    <w:name w:val="p1"/>
    <w:basedOn w:val="1"/>
    <w:uiPriority w:val="0"/>
    <w:pPr>
      <w:shd w:val="clear" w:fill="FFFFFF"/>
      <w:spacing w:before="0" w:beforeAutospacing="0" w:after="100" w:afterAutospacing="0"/>
      <w:ind w:left="0" w:right="0" w:firstLine="560"/>
      <w:jc w:val="center"/>
    </w:pPr>
    <w:rPr>
      <w:rFonts w:hint="eastAsia" w:ascii="songti sc" w:hAnsi="songti sc" w:eastAsia="songti sc" w:cs="songti sc"/>
      <w:color w:val="000000"/>
      <w:kern w:val="0"/>
      <w:sz w:val="37"/>
      <w:szCs w:val="37"/>
      <w:lang w:val="en-US" w:eastAsia="zh-CN" w:bidi="ar"/>
    </w:rPr>
  </w:style>
  <w:style w:type="paragraph" w:customStyle="1" w:styleId="18">
    <w:name w:val="p5"/>
    <w:basedOn w:val="1"/>
    <w:qFormat/>
    <w:uiPriority w:val="0"/>
    <w:pPr>
      <w:shd w:val="clear" w:fill="FFFFFF"/>
      <w:spacing w:before="0" w:beforeAutospacing="0" w:after="100" w:afterAutospacing="0" w:line="700" w:lineRule="atLeast"/>
      <w:ind w:left="0" w:right="0" w:firstLine="800"/>
      <w:jc w:val="left"/>
    </w:pPr>
    <w:rPr>
      <w:rFonts w:hint="eastAsia" w:ascii="songti sc" w:hAnsi="songti sc" w:eastAsia="songti sc" w:cs="songti sc"/>
      <w:color w:val="000000"/>
      <w:kern w:val="0"/>
      <w:sz w:val="37"/>
      <w:szCs w:val="37"/>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2969</Words>
  <Characters>3061</Characters>
  <Lines>0</Lines>
  <Paragraphs>0</Paragraphs>
  <TotalTime>0</TotalTime>
  <ScaleCrop>false</ScaleCrop>
  <LinksUpToDate>false</LinksUpToDate>
  <CharactersWithSpaces>3077</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2022-12-06T10:09:00Z</dcterms:created>
  <dc:creator>user</dc:creator>
  <cp:lastModifiedBy>小翘翘</cp:lastModifiedBy>
  <dcterms:modified xsi:type="dcterms:W3CDTF">2022-12-30T09:15:39Z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1225CF64FC3C42D29277B578C6E77063</vt:lpwstr>
  </property>
</Properties>
</file>