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widowControl/>
        <w:suppressLineNumbers w:val="0"/>
      </w:pPr>
      <w:bookmarkStart w:id="0" w:name="_GoBack"/>
      <w:bookmarkEnd w:id="0"/>
      <w:r>
        <w:rPr>
          <w:rStyle w:val="6"/>
          <w:b/>
          <w:bCs/>
        </w:rPr>
        <w:t>竞买须知</w:t>
      </w:r>
    </w:p>
    <w:p>
      <w:pPr>
        <w:pStyle w:val="8"/>
        <w:keepNext w:val="0"/>
        <w:keepLines w:val="0"/>
        <w:widowControl/>
        <w:suppressLineNumbers w:val="0"/>
      </w:pPr>
      <w:r>
        <w:rPr>
          <w:rStyle w:val="6"/>
        </w:rPr>
        <w:t>广宁木格嘉诚陶瓷原料有限公司破产管理人将于2023年1月9日15时至2023年1月10日14时59分止（延时的除外）在京东拍卖破产强清平台上对广宁木格嘉诚陶瓷原料有限公司重整投资人资格开展竞价活动（处置单位：广宁木格嘉诚陶瓷原料有限公司管理人；监督单位：肇庆市中级人民法院），现就有关的网上竞价事宜告知如下：</w:t>
      </w:r>
    </w:p>
    <w:p>
      <w:pPr>
        <w:pStyle w:val="13"/>
        <w:keepNext w:val="0"/>
        <w:keepLines w:val="0"/>
        <w:widowControl/>
        <w:suppressLineNumbers w:val="0"/>
      </w:pPr>
      <w:r>
        <w:rPr>
          <w:rStyle w:val="6"/>
        </w:rPr>
        <w:t>一、本次拍卖是根据《中华人民共和国民事诉讼法》等相关法律规定开展，竞买人应认真仔细阅读《竞买须知》，了解本须知的全部内容。</w:t>
      </w:r>
    </w:p>
    <w:p>
      <w:pPr>
        <w:pStyle w:val="13"/>
        <w:keepNext w:val="0"/>
        <w:keepLines w:val="0"/>
        <w:widowControl/>
        <w:suppressLineNumbers w:val="0"/>
      </w:pPr>
      <w:r>
        <w:rPr>
          <w:rStyle w:val="6"/>
        </w:rPr>
        <w:t>二、本次竞价活动遵循“公开、公平、公正、诚实守信”的原则，竞价活动具备法律效力。参加本次竞价活动的当事人和竞买人必须遵守本须知的各项条款，并对自己的行为承担法律责任。</w:t>
      </w:r>
    </w:p>
    <w:p>
      <w:pPr>
        <w:pStyle w:val="13"/>
        <w:keepNext w:val="0"/>
        <w:keepLines w:val="0"/>
        <w:widowControl/>
        <w:suppressLineNumbers w:val="0"/>
      </w:pPr>
      <w:r>
        <w:rPr>
          <w:rStyle w:val="6"/>
        </w:rPr>
        <w:t>三、本次拍卖标的物以其现状为准，管理人不承担资产的瑕疵保证责任。除拍卖文件披露外，竞买人应对拍卖标的实际状况以及瑕疵（含显性、隐性瑕疵）等自行调查核实、承担投资风险（</w:t>
      </w:r>
      <w:r>
        <w:rPr>
          <w:rStyle w:val="6"/>
          <w:b/>
          <w:bCs/>
        </w:rPr>
        <w:t>竞买人自行</w:t>
      </w:r>
      <w:r>
        <w:rPr>
          <w:rStyle w:val="6"/>
          <w:rFonts w:hint="eastAsia"/>
          <w:b/>
          <w:bCs/>
          <w:lang w:val="en-US" w:eastAsia="zh-Hans"/>
        </w:rPr>
        <w:t>尽职调查</w:t>
      </w:r>
      <w:r>
        <w:rPr>
          <w:rStyle w:val="6"/>
          <w:b/>
          <w:bCs/>
        </w:rPr>
        <w:t>后，如</w:t>
      </w:r>
      <w:r>
        <w:rPr>
          <w:rStyle w:val="6"/>
          <w:rFonts w:hint="eastAsia"/>
          <w:b/>
          <w:bCs/>
          <w:lang w:val="en-US" w:eastAsia="zh-Hans"/>
        </w:rPr>
        <w:t>仍</w:t>
      </w:r>
      <w:r>
        <w:rPr>
          <w:rStyle w:val="6"/>
          <w:b/>
          <w:bCs/>
        </w:rPr>
        <w:t>需要管理人协助调查核实</w:t>
      </w:r>
      <w:r>
        <w:rPr>
          <w:rStyle w:val="6"/>
          <w:rFonts w:hint="eastAsia"/>
          <w:b/>
          <w:bCs/>
          <w:lang w:val="en-US" w:eastAsia="zh-Hans"/>
        </w:rPr>
        <w:t>相关情况</w:t>
      </w:r>
      <w:r>
        <w:rPr>
          <w:rStyle w:val="6"/>
          <w:b/>
          <w:bCs/>
        </w:rPr>
        <w:t>，可以书面形式向管理人提出请求，</w:t>
      </w:r>
      <w:r>
        <w:rPr>
          <w:rStyle w:val="6"/>
          <w:rFonts w:hint="eastAsia"/>
          <w:b/>
          <w:bCs/>
          <w:lang w:val="en-US" w:eastAsia="zh-Hans"/>
        </w:rPr>
        <w:t>管理人将依法提供协助</w:t>
      </w:r>
      <w:r>
        <w:rPr>
          <w:rStyle w:val="6"/>
          <w:b/>
          <w:bCs/>
        </w:rPr>
        <w:t>）。</w:t>
      </w:r>
      <w:r>
        <w:rPr>
          <w:rStyle w:val="6"/>
        </w:rPr>
        <w:t>有意者请亲自实地看样，未看样的竞买人视为对标的物及相关实物现状的确认，责任自负。</w:t>
      </w:r>
    </w:p>
    <w:p>
      <w:pPr>
        <w:pStyle w:val="8"/>
        <w:keepNext w:val="0"/>
        <w:keepLines w:val="0"/>
        <w:widowControl/>
        <w:suppressLineNumbers w:val="0"/>
      </w:pPr>
      <w:r>
        <w:rPr>
          <w:rStyle w:val="6"/>
        </w:rPr>
        <w:t>四、参加竞拍的京东账号所有人须为竞买人。</w:t>
      </w:r>
    </w:p>
    <w:p>
      <w:pPr>
        <w:pStyle w:val="8"/>
        <w:keepNext w:val="0"/>
        <w:keepLines w:val="0"/>
        <w:widowControl/>
        <w:suppressLineNumbers w:val="0"/>
      </w:pPr>
      <w:r>
        <w:rPr>
          <w:rStyle w:val="6"/>
          <w:b/>
          <w:bCs/>
        </w:rPr>
        <w:t>五、重要提示</w:t>
      </w:r>
    </w:p>
    <w:p>
      <w:pPr>
        <w:pStyle w:val="8"/>
        <w:keepNext w:val="0"/>
        <w:keepLines w:val="0"/>
        <w:widowControl/>
        <w:suppressLineNumbers w:val="0"/>
      </w:pPr>
      <w:r>
        <w:rPr>
          <w:rStyle w:val="6"/>
          <w:b/>
          <w:bCs/>
        </w:rPr>
        <w:t>（一）竞买人报名并缴纳相关竞价保证金，视为作出如下承诺：</w:t>
      </w:r>
    </w:p>
    <w:p>
      <w:pPr>
        <w:pStyle w:val="10"/>
        <w:keepNext w:val="0"/>
        <w:keepLines w:val="0"/>
        <w:widowControl/>
        <w:suppressLineNumbers w:val="0"/>
      </w:pPr>
      <w:r>
        <w:rPr>
          <w:rStyle w:val="6"/>
        </w:rPr>
        <w:t>1.竞买人资格。竞买人应为未被列为失信被执行人名单、财务状况良好、符合竞买公告要求的自然人、法人。</w:t>
      </w:r>
    </w:p>
    <w:p>
      <w:pPr>
        <w:pStyle w:val="10"/>
        <w:keepNext w:val="0"/>
        <w:keepLines w:val="0"/>
        <w:widowControl/>
        <w:suppressLineNumbers w:val="0"/>
      </w:pPr>
      <w:r>
        <w:rPr>
          <w:rStyle w:val="6"/>
        </w:rPr>
        <w:t>2.交易文件知悉。竞买人仔细阅读并理解管理人发布的《竞买公告》《竞买须知》等文件，并且完全接受上述文件所规定的交易条件，没有任何异议。</w:t>
      </w:r>
    </w:p>
    <w:p>
      <w:pPr>
        <w:pStyle w:val="8"/>
        <w:keepNext w:val="0"/>
        <w:keepLines w:val="0"/>
        <w:widowControl/>
        <w:suppressLineNumbers w:val="0"/>
      </w:pPr>
      <w:r>
        <w:rPr>
          <w:rStyle w:val="6"/>
        </w:rPr>
        <w:t>3.风险和瑕疵知悉。管理人已经对竞价标的瑕疵和风险进行了充分的提示和披露，竞买人已经对竞价标的来源、瑕疵和风险进行了充分尽职调查，完全知悉并接受竞价标的所有瑕疵、风险。管理人不对标的价值、收益等向竞买人作出任何承诺和保证，该标的的瑕疵、风险由竞买人承担。</w:t>
      </w:r>
    </w:p>
    <w:p>
      <w:pPr>
        <w:pStyle w:val="5"/>
        <w:keepNext w:val="0"/>
        <w:keepLines w:val="0"/>
        <w:widowControl/>
        <w:suppressLineNumbers w:val="0"/>
      </w:pPr>
      <w:r>
        <w:rPr>
          <w:rStyle w:val="6"/>
        </w:rPr>
        <w:t>4.</w:t>
      </w:r>
      <w:r>
        <w:rPr>
          <w:rStyle w:val="6"/>
          <w:rFonts w:hint="eastAsia" w:ascii="Songti SC Bold" w:hAnsi="Songti SC Bold" w:eastAsia="Songti SC Bold" w:cs="Songti SC Bold"/>
          <w:b/>
          <w:bCs/>
        </w:rPr>
        <w:t>竞买人知悉并接受广宁木格嘉诚陶瓷原料有限公司存在未申报债权人主张权利的可能。</w:t>
      </w:r>
      <w:r>
        <w:rPr>
          <w:rStyle w:val="6"/>
        </w:rPr>
        <w:t>依照《中华人民共和国企业破产法》第九十二条的规定，在重整计划执行完毕后，广宁木格嘉诚陶瓷原料有限公司及竞得人需承担按照重整计划规定的同类债权的清偿条件进行清偿的风险。</w:t>
      </w:r>
    </w:p>
    <w:p>
      <w:pPr>
        <w:pStyle w:val="10"/>
        <w:keepNext w:val="0"/>
        <w:keepLines w:val="0"/>
        <w:widowControl/>
        <w:suppressLineNumbers w:val="0"/>
      </w:pPr>
      <w:r>
        <w:rPr>
          <w:rStyle w:val="6"/>
        </w:rPr>
        <w:t>5.竞买人知悉并接受管理人以广宁木格嘉诚陶瓷原料有限公司</w:t>
      </w:r>
      <w:r>
        <w:rPr>
          <w:rStyle w:val="6"/>
          <w:rFonts w:hint="eastAsia" w:ascii="Songti SC Bold" w:hAnsi="Songti SC Bold" w:eastAsia="Songti SC Bold" w:cs="Songti SC Bold"/>
          <w:b/>
          <w:bCs/>
        </w:rPr>
        <w:t>现状</w:t>
      </w:r>
      <w:r>
        <w:rPr>
          <w:rStyle w:val="6"/>
        </w:rPr>
        <w:t>交付，相关法律法规以及主管部门对于广宁木格嘉诚陶瓷原料有限公司资质的维持及使用可能存在相应要求，竞买人应自行咨询，并承担相应风险。</w:t>
      </w:r>
    </w:p>
    <w:p>
      <w:pPr>
        <w:pStyle w:val="15"/>
        <w:keepNext w:val="0"/>
        <w:keepLines w:val="0"/>
        <w:widowControl/>
        <w:suppressLineNumbers w:val="0"/>
      </w:pPr>
      <w:r>
        <w:rPr>
          <w:rStyle w:val="6"/>
        </w:rPr>
        <w:t>6.自行承担其他可能存在的隐性风险。</w:t>
      </w:r>
    </w:p>
    <w:p>
      <w:pPr>
        <w:pStyle w:val="8"/>
        <w:keepNext w:val="0"/>
        <w:keepLines w:val="0"/>
        <w:widowControl/>
        <w:suppressLineNumbers w:val="0"/>
      </w:pPr>
      <w:r>
        <w:rPr>
          <w:rStyle w:val="6"/>
        </w:rPr>
        <w:t>（二）竞买人须接受的其他条件</w:t>
      </w:r>
    </w:p>
    <w:p>
      <w:pPr>
        <w:pStyle w:val="8"/>
        <w:keepNext w:val="0"/>
        <w:keepLines w:val="0"/>
        <w:widowControl/>
        <w:suppressLineNumbers w:val="0"/>
      </w:pPr>
      <w:r>
        <w:rPr>
          <w:rStyle w:val="6"/>
        </w:rPr>
        <w:t>1.竞买人竞得本竞价标的，应在竞价成功之日起五日内凭相关身份材料（竞买人为单位的应提交加盖公章的营业执照复印件、法定代表人身份证明及身份证复印件、股东（大）会同意参加遴选重整投资人的决议；竞买人为自然人的应提交本人签字的身份证复印件）及成交确认文件到管理人处，与管理人签订《重整投资协议》。成交金额即为重整投资金额，用于支付破产费用、共益债务及清偿债务等。</w:t>
      </w:r>
    </w:p>
    <w:p>
      <w:pPr>
        <w:pStyle w:val="8"/>
        <w:keepNext w:val="0"/>
        <w:keepLines w:val="0"/>
        <w:widowControl/>
        <w:suppressLineNumbers w:val="0"/>
      </w:pPr>
      <w:r>
        <w:rPr>
          <w:rStyle w:val="6"/>
        </w:rPr>
        <w:t>2.竞得人还需按照管理人要求提交重整投资方案、经营方案。</w:t>
      </w:r>
    </w:p>
    <w:p>
      <w:pPr>
        <w:pStyle w:val="8"/>
        <w:keepNext w:val="0"/>
        <w:keepLines w:val="0"/>
        <w:widowControl/>
        <w:suppressLineNumbers w:val="0"/>
      </w:pPr>
      <w:r>
        <w:rPr>
          <w:rStyle w:val="6"/>
        </w:rPr>
        <w:t>3.竞得人（重整投资人）承诺在广宁木格嘉诚陶瓷原料有限公司重整计划执行期间，因经营过程中产生的一切损失，由竞得人（重整投资人）自行承担和负责处理，因此需投入的资金及产生的相关费用（包括应缴纳的相关税费等）均由竞得人自行承担。</w:t>
      </w:r>
    </w:p>
    <w:p>
      <w:pPr>
        <w:pStyle w:val="8"/>
        <w:keepNext w:val="0"/>
        <w:keepLines w:val="0"/>
        <w:widowControl/>
        <w:suppressLineNumbers w:val="0"/>
      </w:pPr>
      <w:r>
        <w:rPr>
          <w:rStyle w:val="6"/>
        </w:rPr>
        <w:t>4.广宁木格嘉诚陶瓷原料有限公司资产和营业事务的移交、股权交割等手续依据本标的竞得人与管理人签署的《重整投资协议》及其他相关文件执行。</w:t>
      </w:r>
    </w:p>
    <w:p>
      <w:pPr>
        <w:pStyle w:val="8"/>
        <w:keepNext w:val="0"/>
        <w:keepLines w:val="0"/>
        <w:widowControl/>
        <w:suppressLineNumbers w:val="0"/>
      </w:pPr>
      <w:r>
        <w:rPr>
          <w:rStyle w:val="6"/>
        </w:rPr>
        <w:t>5.肇庆</w:t>
      </w:r>
      <w:r>
        <w:rPr>
          <w:rStyle w:val="6"/>
          <w:rFonts w:hint="eastAsia"/>
          <w:lang w:val="en-US" w:eastAsia="zh-Hans"/>
        </w:rPr>
        <w:t>市中级人民法院</w:t>
      </w:r>
      <w:r>
        <w:rPr>
          <w:rStyle w:val="6"/>
        </w:rPr>
        <w:t>裁定批准重整计划草案前广宁木格嘉诚陶瓷原料有限公司应收及实收的生产线租金收入及管理人依法接管广宁木格嘉诚陶瓷原料有限公司的存款不属于广宁木格嘉诚陶瓷原料有限公司重整投资权益，由管理人另行处置。</w:t>
      </w:r>
    </w:p>
    <w:p>
      <w:pPr>
        <w:pStyle w:val="8"/>
        <w:keepNext w:val="0"/>
        <w:keepLines w:val="0"/>
        <w:widowControl/>
        <w:suppressLineNumbers w:val="0"/>
      </w:pPr>
      <w:r>
        <w:rPr>
          <w:rStyle w:val="6"/>
        </w:rPr>
        <w:t>6.如果竞价成功后，竞得人悔拍、逾期且经管理人催告后仍未支付竞价成交价余款或拒不办理后续手续，管理人有权没收竞得人的保证金及已付成交款，且可以重新委托竞价。重新竞价时，该竞得人不得参加竞价。重新竞价的价款若低于原竞价价款，所造成的差价、费用、资产贬值损失以及其他损失等，由原竞得人承担。若其所缴纳的保证金不足以弥补差价等费用损失的，则由原竞得人承担不足部分。</w:t>
      </w:r>
    </w:p>
    <w:p>
      <w:pPr>
        <w:pStyle w:val="10"/>
        <w:keepNext w:val="0"/>
        <w:keepLines w:val="0"/>
        <w:widowControl/>
        <w:suppressLineNumbers w:val="0"/>
      </w:pPr>
      <w:r>
        <w:rPr>
          <w:rStyle w:val="6"/>
        </w:rPr>
        <w:t>7.竞价成功后，本标的的竞得人取得重整投资人资格。广宁木格嘉诚陶瓷原料有限公司《重整计划</w:t>
      </w:r>
      <w:r>
        <w:rPr>
          <w:rStyle w:val="6"/>
          <w:rFonts w:hint="eastAsia"/>
          <w:lang w:val="en-US" w:eastAsia="zh-Hans"/>
        </w:rPr>
        <w:t>草案</w:t>
      </w:r>
      <w:r>
        <w:rPr>
          <w:rStyle w:val="6"/>
        </w:rPr>
        <w:t>》经肇庆市中级人民法院依法裁定批准后，竞得人成为广宁木格嘉诚陶瓷原料有限公司最终重整投资人，行使相关权利；若肇庆市中级人民法院不予裁定批准《重整计划</w:t>
      </w:r>
      <w:r>
        <w:rPr>
          <w:rStyle w:val="6"/>
          <w:rFonts w:hint="eastAsia"/>
          <w:lang w:val="en-US" w:eastAsia="zh-Hans"/>
        </w:rPr>
        <w:t>草案</w:t>
      </w:r>
      <w:r>
        <w:rPr>
          <w:rStyle w:val="6"/>
        </w:rPr>
        <w:t>》的，自相关法律文书送达管理人之日起10个工作日内，</w:t>
      </w:r>
      <w:r>
        <w:rPr>
          <w:rStyle w:val="6"/>
          <w:rFonts w:hint="eastAsia"/>
          <w:lang w:val="en-US" w:eastAsia="zh-Hans"/>
        </w:rPr>
        <w:t>管理人</w:t>
      </w:r>
      <w:r>
        <w:rPr>
          <w:rStyle w:val="6"/>
        </w:rPr>
        <w:t>退还保证金（无息）及已付重整资金（无息）至竞得人账户。</w:t>
      </w:r>
    </w:p>
    <w:p>
      <w:pPr>
        <w:pStyle w:val="8"/>
        <w:keepNext w:val="0"/>
        <w:keepLines w:val="0"/>
        <w:widowControl/>
        <w:suppressLineNumbers w:val="0"/>
      </w:pPr>
      <w:r>
        <w:rPr>
          <w:rStyle w:val="6"/>
        </w:rPr>
        <w:t>8.本次竞价活动计价货币为人民币，竞价时的起拍价、成交价均不含竞价标的交割、过户时所发生的全部税费。</w:t>
      </w:r>
    </w:p>
    <w:p>
      <w:pPr>
        <w:pStyle w:val="8"/>
        <w:keepNext w:val="0"/>
        <w:keepLines w:val="0"/>
        <w:widowControl/>
        <w:suppressLineNumbers w:val="0"/>
      </w:pPr>
      <w:r>
        <w:rPr>
          <w:rStyle w:val="6"/>
        </w:rPr>
        <w:t>因标的交割、过户产生的税费</w:t>
      </w:r>
      <w:r>
        <w:rPr>
          <w:rStyle w:val="6"/>
          <w:rFonts w:hint="eastAsia"/>
          <w:lang w:val="en-US" w:eastAsia="zh-Hans"/>
        </w:rPr>
        <w:t>及</w:t>
      </w:r>
      <w:r>
        <w:rPr>
          <w:rStyle w:val="6"/>
        </w:rPr>
        <w:t>其他未明确的关联费用由竞得人承担。</w:t>
      </w:r>
    </w:p>
    <w:p>
      <w:pPr>
        <w:pStyle w:val="8"/>
        <w:keepNext w:val="0"/>
        <w:keepLines w:val="0"/>
        <w:widowControl/>
        <w:suppressLineNumbers w:val="0"/>
      </w:pPr>
      <w:r>
        <w:rPr>
          <w:rStyle w:val="6"/>
        </w:rPr>
        <w:t>9.竞买人应当遵守竞买须知的规定，不得阻挠其他竞买人竞拍，不得操纵、垄断竞拍价格，严禁竞买人恶意串通，上述行为一经发现，将取消其竞价资格，并追究相关的法律责任。</w:t>
      </w:r>
    </w:p>
    <w:p>
      <w:pPr>
        <w:pStyle w:val="8"/>
        <w:keepNext w:val="0"/>
        <w:keepLines w:val="0"/>
        <w:widowControl/>
        <w:suppressLineNumbers w:val="0"/>
      </w:pPr>
      <w:r>
        <w:rPr>
          <w:rStyle w:val="6"/>
        </w:rPr>
        <w:t>10.根据法律规定，管理人有权在竞价开始前、竞价过程中，中止竞价或撤回竞价；因网络或其他不可抗力因素导致竞价无法正常进行的，管理人待该因素消除后视情况决定重新竞价，并不承担因此造成的损失。</w:t>
      </w:r>
    </w:p>
    <w:p>
      <w:pPr>
        <w:pStyle w:val="8"/>
        <w:keepNext w:val="0"/>
        <w:keepLines w:val="0"/>
        <w:widowControl/>
        <w:suppressLineNumbers w:val="0"/>
      </w:pPr>
      <w:r>
        <w:rPr>
          <w:rStyle w:val="6"/>
        </w:rPr>
        <w:t>11.为便于竞买人及时收到竞价相关的文书，竞买人在竞价前如实向京东拍卖破产强清平台提供确切的送达地址，</w:t>
      </w:r>
      <w:r>
        <w:rPr>
          <w:rStyle w:val="6"/>
          <w:rFonts w:hint="eastAsia"/>
          <w:lang w:val="en-US" w:eastAsia="zh-Hans"/>
        </w:rPr>
        <w:t>该</w:t>
      </w:r>
      <w:r>
        <w:rPr>
          <w:rStyle w:val="6"/>
        </w:rPr>
        <w:t>地址确认为邮寄地址，如需更改，竞买人应在竞价活动结束时与管理人联系确认更改。如果提供的送达地址不确切，或不及时告知变更后的地址，使有关法律文书无法送达或未能及时送达，竞买人自行承担由此可能产生的法律后果。</w:t>
      </w:r>
    </w:p>
    <w:p>
      <w:pPr>
        <w:pStyle w:val="10"/>
        <w:keepNext w:val="0"/>
        <w:keepLines w:val="0"/>
        <w:widowControl/>
        <w:suppressLineNumbers w:val="0"/>
      </w:pPr>
      <w:r>
        <w:rPr>
          <w:rStyle w:val="6"/>
        </w:rPr>
        <w:t>12.本次竞价标的起拍价、保证金、成交价相对较高。竞买人参与竞价，支付保证金可能会碰到当天限额无法支付的情况，请竞买人根据自身情况选择网上充值银行。各大银行充值和支付的限额情况可上网查询，网址：</w:t>
      </w:r>
      <w:r>
        <w:rPr>
          <w:rStyle w:val="6"/>
          <w:highlight w:val="yellow"/>
        </w:rPr>
        <w:t>*****</w:t>
      </w:r>
    </w:p>
    <w:p>
      <w:pPr>
        <w:pStyle w:val="8"/>
        <w:keepNext w:val="0"/>
        <w:keepLines w:val="0"/>
        <w:widowControl/>
        <w:suppressLineNumbers w:val="0"/>
      </w:pPr>
      <w:r>
        <w:rPr>
          <w:rStyle w:val="6"/>
        </w:rPr>
        <w:t>13.竞买人在竞价前请务必再仔细阅读《竞买公告》《竞买须知》，凡发现竞价中有违规行为，可如实举报。</w:t>
      </w:r>
    </w:p>
    <w:p>
      <w:pPr>
        <w:pStyle w:val="8"/>
        <w:keepNext w:val="0"/>
        <w:keepLines w:val="0"/>
        <w:widowControl/>
        <w:suppressLineNumbers w:val="0"/>
      </w:pPr>
      <w:r>
        <w:rPr>
          <w:rStyle w:val="6"/>
        </w:rPr>
        <w:t>竞买人可登录以下网站，查看京东网拍的竞拍流程指引。https://help.jd.com/user/issue/359-1156.html#2。</w:t>
      </w:r>
    </w:p>
    <w:p>
      <w:pPr>
        <w:pStyle w:val="10"/>
        <w:keepNext w:val="0"/>
        <w:keepLines w:val="0"/>
        <w:widowControl/>
        <w:suppressLineNumbers w:val="0"/>
        <w:rPr>
          <w:rFonts w:hint="default"/>
        </w:rPr>
      </w:pPr>
      <w:r>
        <w:rPr>
          <w:rStyle w:val="6"/>
        </w:rPr>
        <w:t>标的详情咨询电话：李先生，135806</w:t>
      </w:r>
      <w:r>
        <w:rPr>
          <w:rStyle w:val="6"/>
          <w:rFonts w:hint="default"/>
        </w:rPr>
        <w:t>03923</w:t>
      </w:r>
    </w:p>
    <w:p>
      <w:pPr>
        <w:pStyle w:val="10"/>
        <w:keepNext w:val="0"/>
        <w:keepLines w:val="0"/>
        <w:widowControl/>
        <w:suppressLineNumbers w:val="0"/>
      </w:pPr>
      <w:r>
        <w:rPr>
          <w:rStyle w:val="6"/>
        </w:rPr>
        <w:t>管理人联系地址：广东省肇庆市端州区天宁北路75号广发银行大厦19楼E01.02（广东网际律师事务所）</w:t>
      </w:r>
    </w:p>
    <w:p>
      <w:pPr>
        <w:pStyle w:val="10"/>
        <w:keepNext w:val="0"/>
        <w:keepLines w:val="0"/>
        <w:widowControl/>
        <w:suppressLineNumbers w:val="0"/>
      </w:pPr>
      <w:r>
        <w:rPr>
          <w:rStyle w:val="6"/>
        </w:rPr>
        <w:t>监督法院：肇庆市中级人民法院</w:t>
      </w:r>
    </w:p>
    <w:p>
      <w:pPr>
        <w:pStyle w:val="11"/>
        <w:keepNext w:val="0"/>
        <w:keepLines w:val="0"/>
        <w:widowControl/>
        <w:suppressLineNumbers w:val="0"/>
      </w:pPr>
      <w:r>
        <w:rPr>
          <w:rStyle w:val="6"/>
        </w:rPr>
        <w:t>京东咨询电话：4006229586  </w:t>
      </w:r>
    </w:p>
    <w:p>
      <w:pPr>
        <w:pStyle w:val="8"/>
        <w:keepNext w:val="0"/>
        <w:keepLines w:val="0"/>
        <w:widowControl/>
        <w:suppressLineNumbers w:val="0"/>
      </w:pPr>
      <w:r>
        <w:rPr>
          <w:rStyle w:val="6"/>
        </w:rPr>
        <w:t> </w:t>
      </w:r>
    </w:p>
    <w:p>
      <w:pPr>
        <w:pStyle w:val="8"/>
        <w:keepNext w:val="0"/>
        <w:keepLines w:val="0"/>
        <w:widowControl/>
        <w:suppressLineNumbers w:val="0"/>
      </w:pPr>
      <w:r>
        <w:rPr>
          <w:rStyle w:val="6"/>
        </w:rPr>
        <w:t>     </w:t>
      </w:r>
    </w:p>
    <w:p>
      <w:pPr>
        <w:pStyle w:val="9"/>
        <w:keepNext w:val="0"/>
        <w:keepLines w:val="0"/>
        <w:widowControl/>
        <w:suppressLineNumbers w:val="0"/>
      </w:pPr>
      <w:r>
        <w:rPr>
          <w:rStyle w:val="6"/>
        </w:rPr>
        <w:t>       广宁木格嘉诚陶瓷原料有限公司管理人</w:t>
      </w:r>
    </w:p>
    <w:p>
      <w:pPr>
        <w:pStyle w:val="14"/>
        <w:keepNext w:val="0"/>
        <w:keepLines w:val="0"/>
        <w:widowControl/>
        <w:suppressLineNumbers w:val="0"/>
      </w:pPr>
      <w:r>
        <w:rPr>
          <w:rStyle w:val="6"/>
        </w:rPr>
        <w:t>            二〇二二年十二月</w:t>
      </w:r>
      <w:r>
        <w:rPr>
          <w:rStyle w:val="6"/>
          <w:rFonts w:hint="eastAsia"/>
          <w:lang w:val="en-US" w:eastAsia="zh-Hans"/>
        </w:rPr>
        <w:t>三十</w:t>
      </w:r>
      <w:r>
        <w:rPr>
          <w:rStyle w:val="6"/>
        </w:rPr>
        <w:t>日</w:t>
      </w:r>
    </w:p>
    <w:p>
      <w:pPr>
        <w:pStyle w:val="4"/>
        <w:keepNext w:val="0"/>
        <w:keepLines w:val="0"/>
        <w:widowControl/>
        <w:suppressLineNumbers w:val="0"/>
      </w:pPr>
      <w:r>
        <w:rPr>
          <w:rStyle w:val="6"/>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ngti sc">
    <w:altName w:val="宋体"/>
    <w:panose1 w:val="02010600040101010101"/>
    <w:charset w:val="86"/>
    <w:family w:val="auto"/>
    <w:pitch w:val="default"/>
    <w:sig w:usb0="00000000" w:usb1="00000000" w:usb2="00000000" w:usb3="00000000" w:csb0="00160000" w:csb1="00000000"/>
  </w:font>
  <w:font w:name="Songti SC Bold">
    <w:altName w:val="宋体"/>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3315"/>
    <w:rsid w:val="0B9C2EC7"/>
    <w:rsid w:val="37FB95B3"/>
    <w:rsid w:val="BFBC72A1"/>
    <w:rsid w:val="FFFF3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11"/>
    <w:basedOn w:val="1"/>
    <w:uiPriority w:val="0"/>
    <w:pPr>
      <w:spacing w:before="0" w:beforeAutospacing="0" w:after="0" w:afterAutospacing="0" w:line="560" w:lineRule="atLeast"/>
      <w:ind w:left="0" w:right="0"/>
      <w:jc w:val="both"/>
    </w:pPr>
    <w:rPr>
      <w:rFonts w:ascii="songti sc" w:hAnsi="songti sc" w:eastAsia="songti sc" w:cs="songti sc"/>
      <w:color w:val="000000"/>
      <w:kern w:val="0"/>
      <w:sz w:val="37"/>
      <w:szCs w:val="37"/>
      <w:lang w:val="en-US" w:eastAsia="zh-CN" w:bidi="ar"/>
    </w:rPr>
  </w:style>
  <w:style w:type="paragraph" w:customStyle="1" w:styleId="5">
    <w:name w:val="p6"/>
    <w:basedOn w:val="1"/>
    <w:qFormat/>
    <w:uiPriority w:val="0"/>
    <w:pPr>
      <w:shd w:val="clear" w:fill="FFFFFF"/>
      <w:spacing w:before="0" w:beforeAutospacing="0" w:after="100" w:afterAutospacing="0" w:line="700" w:lineRule="atLeast"/>
      <w:ind w:left="0" w:right="0" w:firstLine="746"/>
      <w:jc w:val="left"/>
    </w:pPr>
    <w:rPr>
      <w:rFonts w:hint="eastAsia" w:ascii="songti sc" w:hAnsi="songti sc" w:eastAsia="songti sc" w:cs="songti sc"/>
      <w:color w:val="000000"/>
      <w:kern w:val="0"/>
      <w:sz w:val="37"/>
      <w:szCs w:val="37"/>
      <w:lang w:val="en-US" w:eastAsia="zh-CN" w:bidi="ar"/>
    </w:rPr>
  </w:style>
  <w:style w:type="character" w:customStyle="1" w:styleId="6">
    <w:name w:val="s1"/>
    <w:basedOn w:val="3"/>
    <w:uiPriority w:val="0"/>
  </w:style>
  <w:style w:type="paragraph" w:customStyle="1" w:styleId="7">
    <w:name w:val="p4"/>
    <w:basedOn w:val="1"/>
    <w:qFormat/>
    <w:uiPriority w:val="0"/>
    <w:pPr>
      <w:spacing w:before="0" w:beforeAutospacing="0" w:after="0" w:afterAutospacing="0"/>
      <w:ind w:left="0" w:right="0"/>
      <w:jc w:val="left"/>
    </w:pPr>
    <w:rPr>
      <w:rFonts w:hint="eastAsia" w:ascii="songti sc" w:hAnsi="songti sc" w:eastAsia="songti sc" w:cs="songti sc"/>
      <w:color w:val="000000"/>
      <w:kern w:val="0"/>
      <w:sz w:val="37"/>
      <w:szCs w:val="37"/>
      <w:lang w:val="en-US" w:eastAsia="zh-CN" w:bidi="ar"/>
    </w:rPr>
  </w:style>
  <w:style w:type="paragraph" w:customStyle="1" w:styleId="8">
    <w:name w:val="p2"/>
    <w:basedOn w:val="1"/>
    <w:uiPriority w:val="0"/>
    <w:pPr>
      <w:shd w:val="clear" w:fill="FFFFFF"/>
      <w:spacing w:before="0" w:beforeAutospacing="0" w:after="100" w:afterAutospacing="0" w:line="700" w:lineRule="atLeast"/>
      <w:ind w:left="0" w:right="0" w:firstLine="800"/>
      <w:jc w:val="left"/>
    </w:pPr>
    <w:rPr>
      <w:rFonts w:hint="eastAsia" w:ascii="songti sc" w:hAnsi="songti sc" w:eastAsia="songti sc" w:cs="songti sc"/>
      <w:color w:val="000000"/>
      <w:kern w:val="0"/>
      <w:sz w:val="37"/>
      <w:szCs w:val="37"/>
      <w:lang w:val="en-US" w:eastAsia="zh-CN" w:bidi="ar"/>
    </w:rPr>
  </w:style>
  <w:style w:type="paragraph" w:customStyle="1" w:styleId="9">
    <w:name w:val="p9"/>
    <w:basedOn w:val="1"/>
    <w:qFormat/>
    <w:uiPriority w:val="0"/>
    <w:pPr>
      <w:shd w:val="clear" w:fill="FFFFFF"/>
      <w:spacing w:before="0" w:beforeAutospacing="0" w:after="100" w:afterAutospacing="0" w:line="700" w:lineRule="atLeast"/>
      <w:ind w:left="0" w:right="0" w:firstLine="800"/>
      <w:jc w:val="right"/>
    </w:pPr>
    <w:rPr>
      <w:rFonts w:hint="eastAsia" w:ascii="songti sc" w:hAnsi="songti sc" w:eastAsia="songti sc" w:cs="songti sc"/>
      <w:color w:val="000000"/>
      <w:kern w:val="0"/>
      <w:sz w:val="37"/>
      <w:szCs w:val="37"/>
      <w:lang w:val="en-US" w:eastAsia="zh-CN" w:bidi="ar"/>
    </w:rPr>
  </w:style>
  <w:style w:type="paragraph" w:customStyle="1" w:styleId="10">
    <w:name w:val="p5"/>
    <w:basedOn w:val="1"/>
    <w:qFormat/>
    <w:uiPriority w:val="0"/>
    <w:pPr>
      <w:shd w:val="clear" w:fill="FFFFFF"/>
      <w:spacing w:before="0" w:beforeAutospacing="0" w:after="100" w:afterAutospacing="0" w:line="700" w:lineRule="atLeast"/>
      <w:ind w:left="0" w:right="0" w:firstLine="800"/>
      <w:jc w:val="both"/>
    </w:pPr>
    <w:rPr>
      <w:rFonts w:hint="eastAsia" w:ascii="songti sc" w:hAnsi="songti sc" w:eastAsia="songti sc" w:cs="songti sc"/>
      <w:color w:val="000000"/>
      <w:kern w:val="0"/>
      <w:sz w:val="37"/>
      <w:szCs w:val="37"/>
      <w:lang w:val="en-US" w:eastAsia="zh-CN" w:bidi="ar"/>
    </w:rPr>
  </w:style>
  <w:style w:type="paragraph" w:customStyle="1" w:styleId="11">
    <w:name w:val="p8"/>
    <w:basedOn w:val="1"/>
    <w:uiPriority w:val="0"/>
    <w:pPr>
      <w:shd w:val="clear" w:fill="FFFFFF"/>
      <w:spacing w:before="0" w:beforeAutospacing="0" w:after="100" w:afterAutospacing="0" w:line="700" w:lineRule="atLeast"/>
      <w:ind w:left="0" w:right="0" w:firstLine="840"/>
      <w:jc w:val="left"/>
    </w:pPr>
    <w:rPr>
      <w:rFonts w:hint="eastAsia" w:ascii="songti sc" w:hAnsi="songti sc" w:eastAsia="songti sc" w:cs="songti sc"/>
      <w:color w:val="000000"/>
      <w:kern w:val="0"/>
      <w:sz w:val="37"/>
      <w:szCs w:val="37"/>
      <w:lang w:val="en-US" w:eastAsia="zh-CN" w:bidi="ar"/>
    </w:rPr>
  </w:style>
  <w:style w:type="paragraph" w:customStyle="1" w:styleId="12">
    <w:name w:val="p1"/>
    <w:basedOn w:val="1"/>
    <w:qFormat/>
    <w:uiPriority w:val="0"/>
    <w:pPr>
      <w:shd w:val="clear" w:fill="FFFFFF"/>
      <w:spacing w:before="0" w:beforeAutospacing="0" w:after="100" w:afterAutospacing="0" w:line="700" w:lineRule="atLeast"/>
      <w:ind w:left="0" w:right="0" w:firstLine="800"/>
      <w:jc w:val="center"/>
    </w:pPr>
    <w:rPr>
      <w:rFonts w:hint="eastAsia" w:ascii="songti sc" w:hAnsi="songti sc" w:eastAsia="songti sc" w:cs="songti sc"/>
      <w:color w:val="000000"/>
      <w:kern w:val="0"/>
      <w:sz w:val="37"/>
      <w:szCs w:val="37"/>
      <w:lang w:val="en-US" w:eastAsia="zh-CN" w:bidi="ar"/>
    </w:rPr>
  </w:style>
  <w:style w:type="paragraph" w:customStyle="1" w:styleId="13">
    <w:name w:val="p3"/>
    <w:basedOn w:val="1"/>
    <w:qFormat/>
    <w:uiPriority w:val="0"/>
    <w:pPr>
      <w:shd w:val="clear" w:fill="FFFFFF"/>
      <w:spacing w:before="0" w:beforeAutospacing="0" w:after="100" w:afterAutospacing="0" w:line="700" w:lineRule="atLeast"/>
      <w:ind w:left="40" w:right="0" w:firstLine="800"/>
      <w:jc w:val="left"/>
    </w:pPr>
    <w:rPr>
      <w:rFonts w:hint="eastAsia" w:ascii="songti sc" w:hAnsi="songti sc" w:eastAsia="songti sc" w:cs="songti sc"/>
      <w:color w:val="000000"/>
      <w:kern w:val="0"/>
      <w:sz w:val="37"/>
      <w:szCs w:val="37"/>
      <w:lang w:val="en-US" w:eastAsia="zh-CN" w:bidi="ar"/>
    </w:rPr>
  </w:style>
  <w:style w:type="paragraph" w:customStyle="1" w:styleId="14">
    <w:name w:val="p10"/>
    <w:basedOn w:val="1"/>
    <w:qFormat/>
    <w:uiPriority w:val="0"/>
    <w:pPr>
      <w:shd w:val="clear" w:fill="FFFFFF"/>
      <w:spacing w:before="0" w:beforeAutospacing="0" w:after="100" w:afterAutospacing="0" w:line="700" w:lineRule="atLeast"/>
      <w:ind w:left="0" w:right="0" w:firstLine="2400"/>
      <w:jc w:val="right"/>
    </w:pPr>
    <w:rPr>
      <w:rFonts w:hint="eastAsia" w:ascii="songti sc" w:hAnsi="songti sc" w:eastAsia="songti sc" w:cs="songti sc"/>
      <w:color w:val="000000"/>
      <w:kern w:val="0"/>
      <w:sz w:val="37"/>
      <w:szCs w:val="37"/>
      <w:lang w:val="en-US" w:eastAsia="zh-CN" w:bidi="ar"/>
    </w:rPr>
  </w:style>
  <w:style w:type="paragraph" w:customStyle="1" w:styleId="15">
    <w:name w:val="p7"/>
    <w:basedOn w:val="1"/>
    <w:uiPriority w:val="0"/>
    <w:pPr>
      <w:shd w:val="clear" w:fill="FFFFFF"/>
      <w:spacing w:before="0" w:beforeAutospacing="0" w:after="100" w:afterAutospacing="0" w:line="700" w:lineRule="atLeast"/>
      <w:ind w:left="0" w:right="0" w:firstLine="746"/>
      <w:jc w:val="both"/>
    </w:pPr>
    <w:rPr>
      <w:rFonts w:hint="eastAsia" w:ascii="songti sc" w:hAnsi="songti sc" w:eastAsia="songti sc" w:cs="songti sc"/>
      <w:color w:val="000000"/>
      <w:kern w:val="0"/>
      <w:sz w:val="37"/>
      <w:szCs w:val="37"/>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2022-12-30T21:49:00Z</dcterms:created>
  <dc:creator>李汉能</dc:creator>
  <cp:lastModifiedBy>小翘翘</cp:lastModifiedBy>
  <dcterms:modified xsi:type="dcterms:W3CDTF">2022-12-30T11:20:49Z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EE043ED8ECDD4825B6B1DB52CFE6227E</vt:lpwstr>
  </property>
</Properties>
</file>