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center"/>
        <w:rPr>
          <w:rFonts w:ascii="方正小标宋简体" w:hAnsi="宋体" w:eastAsia="方正小标宋简体" w:cs="宋体"/>
          <w:bCs/>
          <w:color w:val="auto"/>
          <w:sz w:val="44"/>
          <w:szCs w:val="44"/>
          <w:highlight w:val="none"/>
        </w:rPr>
      </w:pPr>
      <w:r>
        <w:rPr>
          <w:rFonts w:hint="eastAsia" w:ascii="方正小标宋简体" w:hAnsi="宋体" w:eastAsia="方正小标宋简体" w:cs="宋体"/>
          <w:bCs/>
          <w:color w:val="auto"/>
          <w:sz w:val="44"/>
          <w:szCs w:val="44"/>
          <w:highlight w:val="none"/>
        </w:rPr>
        <w:t>宣城市金芙蓉药业有限公司破产清算案</w:t>
      </w:r>
    </w:p>
    <w:p>
      <w:pPr>
        <w:spacing w:line="760" w:lineRule="exact"/>
        <w:jc w:val="center"/>
        <w:rPr>
          <w:rFonts w:ascii="方正小标宋简体" w:hAnsi="宋体" w:eastAsia="方正小标宋简体" w:cs="宋体"/>
          <w:bCs/>
          <w:color w:val="auto"/>
          <w:sz w:val="44"/>
          <w:szCs w:val="44"/>
          <w:highlight w:val="none"/>
        </w:rPr>
      </w:pPr>
      <w:r>
        <w:rPr>
          <w:rFonts w:hint="eastAsia" w:ascii="方正小标宋简体" w:hAnsi="宋体" w:eastAsia="方正小标宋简体" w:cs="宋体"/>
          <w:bCs/>
          <w:color w:val="auto"/>
          <w:sz w:val="44"/>
          <w:szCs w:val="44"/>
          <w:highlight w:val="none"/>
        </w:rPr>
        <w:t>意向投资人招募公告</w:t>
      </w:r>
    </w:p>
    <w:p>
      <w:pPr>
        <w:spacing w:before="312" w:beforeLines="100" w:after="312" w:afterLines="100" w:line="560" w:lineRule="exact"/>
        <w:ind w:firstLine="640" w:firstLineChars="200"/>
        <w:jc w:val="righ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（2022）金芙蓉破管字第5号</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2022年10月13日，宁国市人民法院裁定受理宣城市金芙蓉药业有限公司（以下简称“金芙蓉药业”）破产清算一案，并于同日指定安徽宁芯破产清算事务所有限公司担任管理人（以下简称“管理人”）。鉴于金芙蓉药业公司属于宁国市内稀缺的医药生产企业，为顺利盘活破产企业资产，实现债权人利益最大化，管理人现面向社会公开招募意向投资人，欢迎有资金有实力的意向投资人与管理人洽谈协商投资事宜。现就相关事项公告如下：</w:t>
      </w:r>
    </w:p>
    <w:p>
      <w:pPr>
        <w:numPr>
          <w:ilvl w:val="0"/>
          <w:numId w:val="1"/>
        </w:numPr>
        <w:spacing w:line="560" w:lineRule="exact"/>
        <w:rPr>
          <w:rFonts w:ascii="黑体" w:hAnsi="黑体" w:eastAsia="黑体" w:cs="宋体"/>
          <w:bCs/>
          <w:color w:val="auto"/>
          <w:sz w:val="32"/>
          <w:szCs w:val="32"/>
          <w:highlight w:val="none"/>
        </w:rPr>
      </w:pPr>
      <w:r>
        <w:rPr>
          <w:rFonts w:hint="eastAsia" w:ascii="黑体" w:hAnsi="黑体" w:eastAsia="黑体" w:cs="宋体"/>
          <w:bCs/>
          <w:color w:val="auto"/>
          <w:sz w:val="32"/>
          <w:szCs w:val="32"/>
          <w:highlight w:val="none"/>
        </w:rPr>
        <w:t>金芙蓉药业公司基本情况</w:t>
      </w:r>
    </w:p>
    <w:p>
      <w:pPr>
        <w:numPr>
          <w:ilvl w:val="0"/>
          <w:numId w:val="2"/>
        </w:numPr>
        <w:spacing w:line="560" w:lineRule="exact"/>
        <w:rPr>
          <w:rFonts w:ascii="仿宋_GB2312" w:hAnsi="宋体" w:eastAsia="仿宋_GB2312" w:cs="宋体"/>
          <w:b/>
          <w:color w:val="auto"/>
          <w:sz w:val="32"/>
          <w:szCs w:val="32"/>
          <w:highlight w:val="none"/>
        </w:rPr>
      </w:pPr>
      <w:r>
        <w:rPr>
          <w:rFonts w:hint="eastAsia" w:ascii="仿宋_GB2312" w:hAnsi="宋体" w:eastAsia="仿宋_GB2312" w:cs="宋体"/>
          <w:b/>
          <w:color w:val="auto"/>
          <w:sz w:val="32"/>
          <w:szCs w:val="32"/>
          <w:highlight w:val="none"/>
        </w:rPr>
        <w:t>金芙蓉药业公司概况</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宣城市金芙蓉药业有限公司成立于2009年4月14日，法定代表人齐海鑫，注册资本500万元，实收资本500万元。其中宣城市常盛医药科技有限公司持股比例为94%，上海中翰投资集团有限公司持股5%，江苏泰诺医药有限公司持股1%。公司住所地宁国经济技术开发区竹峰路58号，营业期限为长期，经营范围：硬胶囊剂、颗粒剂（均含头孢菌素类、青霉素类）、片剂（含青霉素类）、糖浆剂、酊剂（外用）、溶液剂（外用）、口服溶液剂、精神药品生产、销售，中药材收购及销售。（依法须经批准的项目，经相关部门批准后方可开展经营活动），其统一社会信用代码为91341881686893746G。</w:t>
      </w:r>
    </w:p>
    <w:p>
      <w:pPr>
        <w:numPr>
          <w:ilvl w:val="0"/>
          <w:numId w:val="2"/>
        </w:numPr>
        <w:spacing w:line="560" w:lineRule="exact"/>
        <w:rPr>
          <w:rFonts w:ascii="仿宋_GB2312" w:hAnsi="宋体" w:eastAsia="仿宋_GB2312" w:cs="宋体"/>
          <w:b/>
          <w:color w:val="auto"/>
          <w:sz w:val="32"/>
          <w:szCs w:val="32"/>
          <w:highlight w:val="none"/>
        </w:rPr>
      </w:pPr>
      <w:r>
        <w:rPr>
          <w:rFonts w:hint="eastAsia" w:ascii="仿宋_GB2312" w:hAnsi="宋体" w:eastAsia="仿宋_GB2312" w:cs="宋体"/>
          <w:b/>
          <w:color w:val="auto"/>
          <w:sz w:val="32"/>
          <w:szCs w:val="32"/>
          <w:highlight w:val="none"/>
        </w:rPr>
        <w:t>金芙蓉药业主要资产情况</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截止2022年12月9日,经管理人初步核查,金芙蓉药业公司主要资产如下:</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国有出让工业用地使用权，不动产权证书号为：宁国用第2012第1012号，位于宁国经济技术开发区竹峰路58号，用地面积23989.1</w:t>
      </w:r>
      <w:r>
        <w:rPr>
          <w:rFonts w:hint="eastAsia" w:ascii="仿宋_GB2312" w:hAnsi="宋体" w:cs="宋体"/>
          <w:color w:val="auto"/>
          <w:sz w:val="32"/>
          <w:szCs w:val="32"/>
          <w:highlight w:val="none"/>
        </w:rPr>
        <w:t>㎡</w:t>
      </w:r>
      <w:r>
        <w:rPr>
          <w:rFonts w:hint="eastAsia" w:ascii="仿宋_GB2312" w:hAnsi="宋体" w:eastAsia="仿宋_GB2312" w:cs="宋体"/>
          <w:color w:val="auto"/>
          <w:sz w:val="32"/>
          <w:szCs w:val="32"/>
          <w:highlight w:val="none"/>
        </w:rPr>
        <w:t>，使用年限50年，自2010年6月3日起至2060年6月2日止。国有出让工业用地使用权，不动产权证书号为：宁国用第2012第1013号，位于宁国经济技术开发区竹峰路58号，用地面积6224.9</w:t>
      </w:r>
      <w:r>
        <w:rPr>
          <w:rFonts w:hint="eastAsia" w:ascii="仿宋_GB2312" w:hAnsi="宋体" w:cs="宋体"/>
          <w:color w:val="auto"/>
          <w:sz w:val="32"/>
          <w:szCs w:val="32"/>
          <w:highlight w:val="none"/>
        </w:rPr>
        <w:t>㎡</w:t>
      </w:r>
      <w:r>
        <w:rPr>
          <w:rFonts w:hint="eastAsia" w:ascii="仿宋_GB2312" w:hAnsi="宋体" w:eastAsia="仿宋_GB2312" w:cs="宋体"/>
          <w:color w:val="auto"/>
          <w:sz w:val="32"/>
          <w:szCs w:val="32"/>
          <w:highlight w:val="none"/>
        </w:rPr>
        <w:t>，使用年限50年，自2010年6月3日起至2060年6月2日止。工业自建厂房，不动产权证书号为：皖（2017）宁国市不动产权第0003705号，位于宁国经济技术开发区竹峰路58号（上述第一项宁国用第2012第1012号宗地上），房屋建筑面积13498.28</w:t>
      </w:r>
      <w:r>
        <w:rPr>
          <w:rFonts w:hint="eastAsia" w:ascii="仿宋_GB2312" w:hAnsi="宋体" w:cs="宋体"/>
          <w:color w:val="auto"/>
          <w:sz w:val="32"/>
          <w:szCs w:val="32"/>
          <w:highlight w:val="none"/>
        </w:rPr>
        <w:t>㎡</w:t>
      </w:r>
      <w:r>
        <w:rPr>
          <w:rFonts w:hint="eastAsia" w:ascii="仿宋_GB2312" w:hAnsi="宋体" w:eastAsia="仿宋_GB2312" w:cs="宋体"/>
          <w:color w:val="auto"/>
          <w:sz w:val="32"/>
          <w:szCs w:val="32"/>
          <w:highlight w:val="none"/>
        </w:rPr>
        <w:t>，使用年限50年，自2010年6月3日起至2060年6月2日止。固定资产，如厂房附属房屋建筑、生产仪器设备等。库存原材料，主要为阿莫西林（重）、阿莫西林（轻）、青红霉素等；库存药品，主要为阿莫西林胶囊及颗粒等；及其他包装物及低值易耗品，主要为防潮袋、复合膜等。以上存货数量若干，其中关于存货的使用价值或变现价值，以意向投资人实际调查认可为准。</w:t>
      </w:r>
    </w:p>
    <w:p>
      <w:pPr>
        <w:numPr>
          <w:ilvl w:val="0"/>
          <w:numId w:val="2"/>
        </w:numPr>
        <w:spacing w:line="560" w:lineRule="exact"/>
        <w:rPr>
          <w:rFonts w:ascii="仿宋_GB2312" w:hAnsi="宋体" w:eastAsia="仿宋_GB2312" w:cs="宋体"/>
          <w:b/>
          <w:color w:val="auto"/>
          <w:sz w:val="32"/>
          <w:szCs w:val="32"/>
          <w:highlight w:val="none"/>
        </w:rPr>
      </w:pPr>
      <w:r>
        <w:rPr>
          <w:rFonts w:hint="eastAsia" w:ascii="仿宋_GB2312" w:hAnsi="宋体" w:eastAsia="仿宋_GB2312" w:cs="宋体"/>
          <w:b/>
          <w:color w:val="auto"/>
          <w:sz w:val="32"/>
          <w:szCs w:val="32"/>
          <w:highlight w:val="none"/>
        </w:rPr>
        <w:t>负债情况</w:t>
      </w:r>
    </w:p>
    <w:p>
      <w:pPr>
        <w:numPr>
          <w:ilvl w:val="255"/>
          <w:numId w:val="0"/>
        </w:numPr>
        <w:spacing w:line="560" w:lineRule="exact"/>
        <w:ind w:firstLine="640" w:firstLineChars="200"/>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截止2022年11月30日，管理人共计收到76名债权人申报债权，债权申报金额共计138,238,352.12元。经审查确认69位债权人，共计债权70笔，确认总债权金额为99,834,444.42元（含职工债权），其中：认定有财产担保债权1笔，债权金额为2,264,634.94元；认定工程款优先债权4笔，债权金额为382,125.67元；认定职工债权2笔，债权金额为2,643,153.14元；认定普通债权63笔，债权金额共计94,544,530.67元；暂定临时债权2笔，债权金额共计3,368,980.38元；不予确认债权5笔，债权金额共计10,842,797.6元。</w:t>
      </w:r>
    </w:p>
    <w:p>
      <w:pPr>
        <w:numPr>
          <w:ilvl w:val="255"/>
          <w:numId w:val="0"/>
        </w:numPr>
        <w:spacing w:line="560" w:lineRule="exact"/>
        <w:ind w:firstLine="640" w:firstLineChars="200"/>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上述负债所列相关数据仅为管理人阶段性调查结果，并非最终数据，可能存在未依法申报的债权。</w:t>
      </w:r>
    </w:p>
    <w:p>
      <w:pPr>
        <w:numPr>
          <w:ilvl w:val="0"/>
          <w:numId w:val="1"/>
        </w:numPr>
        <w:spacing w:line="560" w:lineRule="exact"/>
        <w:rPr>
          <w:rFonts w:ascii="黑体" w:hAnsi="黑体" w:eastAsia="黑体" w:cs="宋体"/>
          <w:bCs/>
          <w:color w:val="auto"/>
          <w:sz w:val="32"/>
          <w:szCs w:val="32"/>
          <w:highlight w:val="none"/>
        </w:rPr>
      </w:pPr>
      <w:r>
        <w:rPr>
          <w:rFonts w:hint="eastAsia" w:ascii="黑体" w:hAnsi="黑体" w:eastAsia="黑体" w:cs="宋体"/>
          <w:bCs/>
          <w:color w:val="auto"/>
          <w:sz w:val="32"/>
          <w:szCs w:val="32"/>
          <w:highlight w:val="none"/>
        </w:rPr>
        <w:t>意向投资人的基本条件</w:t>
      </w:r>
    </w:p>
    <w:p>
      <w:pPr>
        <w:numPr>
          <w:ilvl w:val="0"/>
          <w:numId w:val="3"/>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征信良好，有资金实力和管理团队的企业法人或自然人；</w:t>
      </w:r>
    </w:p>
    <w:p>
      <w:pPr>
        <w:numPr>
          <w:ilvl w:val="0"/>
          <w:numId w:val="3"/>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投资人需依据金芙蓉公司在安徽省宁国市经济技术开发区的入园备案项目约定条件进行投资，投资总额较大者优先；</w:t>
      </w:r>
    </w:p>
    <w:p>
      <w:pPr>
        <w:numPr>
          <w:ilvl w:val="0"/>
          <w:numId w:val="3"/>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考虑破产企业的长久稳定发展和所在地经济发展总体规划投资人需具备外商投资企业背景且成立时间不短于3年，实缴注册资本金不低于2000万元人民币；</w:t>
      </w:r>
    </w:p>
    <w:p>
      <w:pPr>
        <w:numPr>
          <w:ilvl w:val="0"/>
          <w:numId w:val="3"/>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为确保破产投资顺利进行，报名需先缴纳500万保证金。(报名人未被选为投资人的，报名保证金无息退回；报名人最终确定为投资人的，报名保证金自动转为重整保证金；报名人未按期提交书面投资意向书或提交的投资意向书不符合法律规定和本公告要求的，报名保证金不予退回。涉嫌串标、围标等严重影响投标的，报名保证金不予退回。)</w:t>
      </w:r>
    </w:p>
    <w:p>
      <w:pPr>
        <w:numPr>
          <w:ilvl w:val="0"/>
          <w:numId w:val="3"/>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bCs/>
          <w:color w:val="auto"/>
          <w:sz w:val="32"/>
          <w:szCs w:val="32"/>
          <w:highlight w:val="none"/>
        </w:rPr>
        <w:t>项目所在地政府</w:t>
      </w:r>
      <w:r>
        <w:rPr>
          <w:rFonts w:hint="eastAsia" w:ascii="仿宋_GB2312" w:hAnsi="宋体" w:eastAsia="仿宋_GB2312" w:cs="宋体"/>
          <w:color w:val="auto"/>
          <w:sz w:val="32"/>
          <w:szCs w:val="32"/>
          <w:highlight w:val="none"/>
        </w:rPr>
        <w:t>及管理人</w:t>
      </w:r>
      <w:r>
        <w:rPr>
          <w:rFonts w:hint="eastAsia" w:ascii="仿宋_GB2312" w:hAnsi="宋体" w:eastAsia="仿宋_GB2312" w:cs="宋体"/>
          <w:color w:val="auto"/>
          <w:sz w:val="32"/>
          <w:szCs w:val="32"/>
          <w:highlight w:val="none"/>
        </w:rPr>
        <w:t>认为意向投资人应当符合的其他条件</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同时</w:t>
      </w:r>
      <w:r>
        <w:rPr>
          <w:rFonts w:hint="eastAsia" w:ascii="仿宋_GB2312" w:hAnsi="宋体" w:eastAsia="仿宋_GB2312" w:cs="宋体"/>
          <w:color w:val="auto"/>
          <w:sz w:val="32"/>
          <w:szCs w:val="32"/>
          <w:highlight w:val="none"/>
        </w:rPr>
        <w:t>有权根据本项目的实际情况在报名的意向投资人中</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以</w:t>
      </w:r>
      <w:r>
        <w:rPr>
          <w:rFonts w:hint="eastAsia" w:ascii="仿宋_GB2312" w:hAnsi="宋体" w:eastAsia="仿宋_GB2312" w:cs="宋体"/>
          <w:color w:val="auto"/>
          <w:sz w:val="32"/>
          <w:szCs w:val="32"/>
          <w:highlight w:val="none"/>
        </w:rPr>
        <w:t>同等条件下择优确定投资方</w:t>
      </w:r>
      <w:r>
        <w:rPr>
          <w:rFonts w:hint="eastAsia" w:ascii="仿宋_GB2312" w:hAnsi="宋体" w:eastAsia="仿宋_GB2312" w:cs="宋体"/>
          <w:color w:val="auto"/>
          <w:sz w:val="32"/>
          <w:szCs w:val="32"/>
          <w:highlight w:val="none"/>
          <w:lang w:eastAsia="zh-CN"/>
        </w:rPr>
        <w:t>。</w:t>
      </w:r>
    </w:p>
    <w:p>
      <w:pPr>
        <w:numPr>
          <w:ilvl w:val="0"/>
          <w:numId w:val="3"/>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投资人资产总额及连续两年营业收入较高者优先；投资人拥有青霉素、青霉素钾工业盐、阿莫</w:t>
      </w:r>
      <w:bookmarkStart w:id="0" w:name="_GoBack"/>
      <w:bookmarkEnd w:id="0"/>
      <w:r>
        <w:rPr>
          <w:rFonts w:hint="eastAsia" w:ascii="仿宋_GB2312" w:hAnsi="宋体" w:eastAsia="仿宋_GB2312" w:cs="宋体"/>
          <w:color w:val="auto"/>
          <w:sz w:val="32"/>
          <w:szCs w:val="32"/>
          <w:highlight w:val="none"/>
        </w:rPr>
        <w:t>西林轻粉等产品经营许可及相关资质证书及全国市场销售网络的优先；</w:t>
      </w:r>
    </w:p>
    <w:p>
      <w:pPr>
        <w:numPr>
          <w:ilvl w:val="0"/>
          <w:numId w:val="3"/>
        </w:numPr>
        <w:spacing w:line="560" w:lineRule="exact"/>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如只有一个意向投资人参与招募，即为本项目投资人。</w:t>
      </w:r>
    </w:p>
    <w:p>
      <w:pPr>
        <w:numPr>
          <w:ilvl w:val="0"/>
          <w:numId w:val="1"/>
        </w:numPr>
        <w:spacing w:line="560" w:lineRule="exact"/>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报名事项</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联系人：汤律师，联系电话：15345718682</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开户名：宣城市金芙蓉药业有限公司管理人</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开户行：安徽宁国农村商业银行股份有限公司城北分理处</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账  号：2001 0320 6028 6660 0000 016</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报名期限:公告发布之日至2022年12月24日</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报名地点：安徽省宁国市诚信大厦3楼</w:t>
      </w:r>
    </w:p>
    <w:p>
      <w:pPr>
        <w:spacing w:line="560" w:lineRule="exact"/>
        <w:ind w:firstLine="640"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报名需要提供的材料：</w:t>
      </w:r>
    </w:p>
    <w:p>
      <w:pPr>
        <w:numPr>
          <w:ilvl w:val="0"/>
          <w:numId w:val="4"/>
        </w:numPr>
        <w:spacing w:line="560" w:lineRule="exact"/>
        <w:ind w:firstLine="640" w:firstLineChars="200"/>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营业执照、法定代表人身份证明书、授权委托书等；</w:t>
      </w:r>
    </w:p>
    <w:p>
      <w:pPr>
        <w:numPr>
          <w:ilvl w:val="0"/>
          <w:numId w:val="4"/>
        </w:numPr>
        <w:spacing w:line="560" w:lineRule="exact"/>
        <w:ind w:firstLine="640" w:firstLineChars="200"/>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投资者企业基本情况介绍，含主体资格、股权结构、主营业务、历史沿革、组织机构、资产负债等信息</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另</w:t>
      </w:r>
      <w:r>
        <w:rPr>
          <w:rFonts w:ascii="仿宋_GB2312" w:hAnsi="宋体" w:eastAsia="仿宋_GB2312" w:cs="宋体"/>
          <w:color w:val="auto"/>
          <w:sz w:val="32"/>
          <w:szCs w:val="32"/>
          <w:highlight w:val="none"/>
        </w:rPr>
        <w:t>本项目不接受联合体投资，投资人应当是独立承担投资责任</w:t>
      </w:r>
      <w:r>
        <w:rPr>
          <w:rFonts w:hint="eastAsia" w:ascii="仿宋_GB2312" w:hAnsi="宋体" w:eastAsia="仿宋_GB2312" w:cs="宋体"/>
          <w:color w:val="auto"/>
          <w:sz w:val="32"/>
          <w:szCs w:val="32"/>
          <w:highlight w:val="none"/>
          <w:lang w:val="en-US" w:eastAsia="zh-CN"/>
        </w:rPr>
        <w:t>的个体单位</w:t>
      </w:r>
      <w:r>
        <w:rPr>
          <w:rFonts w:ascii="仿宋_GB2312" w:hAnsi="宋体" w:eastAsia="仿宋_GB2312" w:cs="宋体"/>
          <w:color w:val="auto"/>
          <w:sz w:val="32"/>
          <w:szCs w:val="32"/>
          <w:highlight w:val="none"/>
        </w:rPr>
        <w:t>。</w:t>
      </w:r>
    </w:p>
    <w:p>
      <w:pPr>
        <w:numPr>
          <w:ilvl w:val="0"/>
          <w:numId w:val="4"/>
        </w:numPr>
        <w:spacing w:line="560" w:lineRule="exact"/>
        <w:ind w:firstLine="640" w:firstLineChars="200"/>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资金实力证明、拟投入的偿债资金、偿债方式和期限、初步</w:t>
      </w:r>
      <w:r>
        <w:rPr>
          <w:rFonts w:hint="eastAsia" w:ascii="仿宋_GB2312" w:hAnsi="宋体" w:eastAsia="仿宋_GB2312" w:cs="宋体"/>
          <w:color w:val="auto"/>
          <w:sz w:val="32"/>
          <w:szCs w:val="32"/>
          <w:highlight w:val="none"/>
        </w:rPr>
        <w:t>清偿</w:t>
      </w:r>
      <w:r>
        <w:rPr>
          <w:rFonts w:ascii="仿宋_GB2312" w:hAnsi="宋体" w:eastAsia="仿宋_GB2312" w:cs="宋体"/>
          <w:color w:val="auto"/>
          <w:sz w:val="32"/>
          <w:szCs w:val="32"/>
          <w:highlight w:val="none"/>
        </w:rPr>
        <w:t>方案；</w:t>
      </w:r>
    </w:p>
    <w:p>
      <w:pPr>
        <w:numPr>
          <w:ilvl w:val="0"/>
          <w:numId w:val="4"/>
        </w:numPr>
        <w:spacing w:line="560" w:lineRule="exact"/>
        <w:ind w:firstLine="640" w:firstLineChars="200"/>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意向投资人无数额较大到期未清偿债务、最近三年无重大违法行为、未被列入失信行为人的书面承诺以及同意对知悉的债务人情况予以保密并愿意签署《保密承诺》的声明等</w:t>
      </w:r>
    </w:p>
    <w:p>
      <w:pPr>
        <w:spacing w:line="560" w:lineRule="exact"/>
        <w:ind w:firstLine="640" w:firstLineChars="200"/>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上述报名材料应装订成册，一式三份邮寄或直接提交给管理人。若因意向投资人未按本公告要求提交完整报名材料的，管理人有权不予接收。</w:t>
      </w:r>
    </w:p>
    <w:p>
      <w:pPr>
        <w:spacing w:line="560" w:lineRule="exact"/>
        <w:ind w:firstLine="640" w:firstLineChars="200"/>
        <w:rPr>
          <w:rFonts w:ascii="黑体" w:hAnsi="黑体" w:eastAsia="黑体" w:cs="宋体"/>
          <w:color w:val="auto"/>
          <w:sz w:val="32"/>
          <w:szCs w:val="32"/>
          <w:highlight w:val="none"/>
        </w:rPr>
      </w:pPr>
    </w:p>
    <w:p>
      <w:pPr>
        <w:numPr>
          <w:ilvl w:val="0"/>
          <w:numId w:val="1"/>
        </w:numPr>
        <w:spacing w:line="560" w:lineRule="exac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特别说明</w:t>
      </w:r>
    </w:p>
    <w:p>
      <w:pPr>
        <w:numPr>
          <w:ilvl w:val="0"/>
          <w:numId w:val="5"/>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本招募公告的最终解释权归管理人。</w:t>
      </w:r>
    </w:p>
    <w:p>
      <w:pPr>
        <w:numPr>
          <w:ilvl w:val="0"/>
          <w:numId w:val="5"/>
        </w:numPr>
        <w:spacing w:line="560" w:lineRule="exac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本招募公告并非要约文件，不构成管理人的任何保证，不具有重整投资协议的约束力效力，只作为参考资料使用。投资人在考虑参与投资时，除参考本公告外，自行决定是否聘请专业投资顾问、财务顾问或法律顾问进行尽职调查，自行承担对债务人现状进行投资的商业风险。</w:t>
      </w:r>
    </w:p>
    <w:p>
      <w:pPr>
        <w:spacing w:line="560" w:lineRule="exact"/>
        <w:ind w:firstLine="640" w:firstLineChars="200"/>
        <w:rPr>
          <w:rFonts w:ascii="仿宋_GB2312" w:hAnsi="宋体" w:eastAsia="仿宋_GB2312" w:cs="宋体"/>
          <w:color w:val="auto"/>
          <w:sz w:val="32"/>
          <w:szCs w:val="32"/>
          <w:highlight w:val="none"/>
        </w:rPr>
      </w:pPr>
    </w:p>
    <w:p>
      <w:pPr>
        <w:spacing w:line="560" w:lineRule="exact"/>
        <w:ind w:firstLine="640" w:firstLineChars="200"/>
        <w:jc w:val="righ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宣城市金芙蓉药业有限公司管理人</w:t>
      </w:r>
    </w:p>
    <w:p>
      <w:pPr>
        <w:spacing w:line="560" w:lineRule="exact"/>
        <w:ind w:firstLine="640" w:firstLineChars="200"/>
        <w:jc w:val="righ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二</w:t>
      </w:r>
      <w:r>
        <w:rPr>
          <w:rFonts w:hint="eastAsia" w:ascii="仿宋_GB2312" w:hAnsi="宋体" w:cs="宋体"/>
          <w:color w:val="auto"/>
          <w:sz w:val="32"/>
          <w:szCs w:val="32"/>
          <w:highlight w:val="none"/>
        </w:rPr>
        <w:t>〇</w:t>
      </w:r>
      <w:r>
        <w:rPr>
          <w:rFonts w:hint="eastAsia" w:ascii="仿宋_GB2312" w:hAnsi="宋体" w:eastAsia="仿宋_GB2312" w:cs="宋体"/>
          <w:color w:val="auto"/>
          <w:sz w:val="32"/>
          <w:szCs w:val="32"/>
          <w:highlight w:val="none"/>
        </w:rPr>
        <w:t>二二年十二月九日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085958"/>
    <w:multiLevelType w:val="singleLevel"/>
    <w:tmpl w:val="94085958"/>
    <w:lvl w:ilvl="0" w:tentative="0">
      <w:start w:val="1"/>
      <w:numFmt w:val="chineseCounting"/>
      <w:suff w:val="nothing"/>
      <w:lvlText w:val="%1、"/>
      <w:lvlJc w:val="left"/>
      <w:pPr>
        <w:ind w:left="0" w:firstLine="420"/>
      </w:pPr>
      <w:rPr>
        <w:rFonts w:hint="eastAsia"/>
      </w:rPr>
    </w:lvl>
  </w:abstractNum>
  <w:abstractNum w:abstractNumId="1">
    <w:nsid w:val="C33125BB"/>
    <w:multiLevelType w:val="singleLevel"/>
    <w:tmpl w:val="C33125BB"/>
    <w:lvl w:ilvl="0" w:tentative="0">
      <w:start w:val="1"/>
      <w:numFmt w:val="chineseCounting"/>
      <w:suff w:val="nothing"/>
      <w:lvlText w:val="（%1）"/>
      <w:lvlJc w:val="left"/>
      <w:pPr>
        <w:ind w:left="0" w:firstLine="420"/>
      </w:pPr>
      <w:rPr>
        <w:rFonts w:hint="eastAsia"/>
      </w:rPr>
    </w:lvl>
  </w:abstractNum>
  <w:abstractNum w:abstractNumId="2">
    <w:nsid w:val="12441147"/>
    <w:multiLevelType w:val="singleLevel"/>
    <w:tmpl w:val="12441147"/>
    <w:lvl w:ilvl="0" w:tentative="0">
      <w:start w:val="1"/>
      <w:numFmt w:val="chineseCounting"/>
      <w:suff w:val="nothing"/>
      <w:lvlText w:val="（%1）"/>
      <w:lvlJc w:val="left"/>
      <w:pPr>
        <w:ind w:left="0" w:firstLine="420"/>
      </w:pPr>
      <w:rPr>
        <w:rFonts w:hint="eastAsia"/>
      </w:rPr>
    </w:lvl>
  </w:abstractNum>
  <w:abstractNum w:abstractNumId="3">
    <w:nsid w:val="24533DC1"/>
    <w:multiLevelType w:val="singleLevel"/>
    <w:tmpl w:val="24533DC1"/>
    <w:lvl w:ilvl="0" w:tentative="0">
      <w:start w:val="1"/>
      <w:numFmt w:val="chineseCounting"/>
      <w:suff w:val="nothing"/>
      <w:lvlText w:val="（%1）"/>
      <w:lvlJc w:val="left"/>
      <w:pPr>
        <w:ind w:left="0" w:firstLine="420"/>
      </w:pPr>
      <w:rPr>
        <w:rFonts w:hint="eastAsia"/>
      </w:rPr>
    </w:lvl>
  </w:abstractNum>
  <w:abstractNum w:abstractNumId="4">
    <w:nsid w:val="2A6D2743"/>
    <w:multiLevelType w:val="singleLevel"/>
    <w:tmpl w:val="2A6D2743"/>
    <w:lvl w:ilvl="0" w:tentative="0">
      <w:start w:val="1"/>
      <w:numFmt w:val="decimal"/>
      <w:suff w:val="nothing"/>
      <w:lvlText w:val="%1．"/>
      <w:lvlJc w:val="left"/>
      <w:pPr>
        <w:ind w:left="0" w:firstLine="400"/>
      </w:pPr>
      <w:rPr>
        <w:rFont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00350C8D"/>
    <w:rsid w:val="00106D1D"/>
    <w:rsid w:val="0012081C"/>
    <w:rsid w:val="00126E3B"/>
    <w:rsid w:val="00234B7D"/>
    <w:rsid w:val="00242F18"/>
    <w:rsid w:val="002B6C8E"/>
    <w:rsid w:val="00311682"/>
    <w:rsid w:val="00332BEE"/>
    <w:rsid w:val="00345DE3"/>
    <w:rsid w:val="00350C8D"/>
    <w:rsid w:val="003602D2"/>
    <w:rsid w:val="003E311C"/>
    <w:rsid w:val="00494EB2"/>
    <w:rsid w:val="00513C41"/>
    <w:rsid w:val="00575A44"/>
    <w:rsid w:val="00751951"/>
    <w:rsid w:val="007B4D5E"/>
    <w:rsid w:val="007F1F97"/>
    <w:rsid w:val="00845C53"/>
    <w:rsid w:val="00862EEE"/>
    <w:rsid w:val="00874BDA"/>
    <w:rsid w:val="00956BE1"/>
    <w:rsid w:val="00A51170"/>
    <w:rsid w:val="00AA263A"/>
    <w:rsid w:val="00AB6FB5"/>
    <w:rsid w:val="00B100E4"/>
    <w:rsid w:val="00B14918"/>
    <w:rsid w:val="00B73038"/>
    <w:rsid w:val="00CB7FC6"/>
    <w:rsid w:val="00CC68AE"/>
    <w:rsid w:val="00D11088"/>
    <w:rsid w:val="00D46318"/>
    <w:rsid w:val="00E030E5"/>
    <w:rsid w:val="00E8736F"/>
    <w:rsid w:val="00F43CF2"/>
    <w:rsid w:val="00FD0B38"/>
    <w:rsid w:val="0E006170"/>
    <w:rsid w:val="0E4E690B"/>
    <w:rsid w:val="11444719"/>
    <w:rsid w:val="148D76D8"/>
    <w:rsid w:val="24B22CAE"/>
    <w:rsid w:val="38D45F8F"/>
    <w:rsid w:val="3E131DFE"/>
    <w:rsid w:val="47585FA1"/>
    <w:rsid w:val="4F4E5A6B"/>
    <w:rsid w:val="529C40E3"/>
    <w:rsid w:val="60E03AC3"/>
    <w:rsid w:val="67543FC4"/>
    <w:rsid w:val="694D4951"/>
    <w:rsid w:val="75795E43"/>
    <w:rsid w:val="79A30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kern w:val="2"/>
      <w:sz w:val="18"/>
      <w:szCs w:val="18"/>
    </w:rPr>
  </w:style>
  <w:style w:type="character" w:customStyle="1" w:styleId="11">
    <w:name w:val="批注文字 Char"/>
    <w:basedOn w:val="8"/>
    <w:link w:val="2"/>
    <w:qFormat/>
    <w:uiPriority w:val="0"/>
    <w:rPr>
      <w:kern w:val="2"/>
      <w:sz w:val="21"/>
      <w:szCs w:val="24"/>
    </w:rPr>
  </w:style>
  <w:style w:type="character" w:customStyle="1" w:styleId="12">
    <w:name w:val="批注主题 Char"/>
    <w:basedOn w:val="11"/>
    <w:link w:val="6"/>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399</Words>
  <Characters>2275</Characters>
  <Lines>18</Lines>
  <Paragraphs>5</Paragraphs>
  <TotalTime>10</TotalTime>
  <ScaleCrop>false</ScaleCrop>
  <LinksUpToDate>false</LinksUpToDate>
  <CharactersWithSpaces>2669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2022-12-07T01:25:00Z</dcterms:created>
  <dc:creator>dell</dc:creator>
  <cp:lastModifiedBy>白马探花Ohyes！</cp:lastModifiedBy>
  <cp:lastPrinted>2022-12-01T05:06:00Z</cp:lastPrinted>
  <dcterms:modified xsi:type="dcterms:W3CDTF">2022-12-07T03:40:09Z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8FFDD539EF9344A8A078808088B7CFC7</vt:lpwstr>
  </property>
</Properties>
</file>