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framePr w:wrap="auto" w:vAnchor="margin" w:hAnchor="text" w:yAlign="inline"/>
        <w:jc w:val="center"/>
        <w:rPr>
          <w:rFonts w:ascii="宋体" w:hAnsi="宋体" w:eastAsia="宋体" w:cs="仿宋_GB2312"/>
          <w:b/>
          <w:bCs/>
          <w:sz w:val="36"/>
          <w:szCs w:val="36"/>
          <w:lang w:val="zh-TW"/>
        </w:rPr>
      </w:pPr>
      <w:r>
        <w:rPr>
          <w:rFonts w:hint="eastAsia" w:ascii="宋体" w:hAnsi="宋体" w:eastAsia="宋体" w:cs="仿宋_GB2312"/>
          <w:b/>
          <w:bCs/>
          <w:sz w:val="36"/>
          <w:szCs w:val="36"/>
          <w:lang w:val="zh-TW" w:eastAsia="zh-CN"/>
        </w:rPr>
        <w:t>宝迪五家公司预重整临时</w:t>
      </w:r>
      <w:r>
        <w:rPr>
          <w:rFonts w:ascii="宋体" w:hAnsi="宋体" w:eastAsia="宋体" w:cs="仿宋_GB2312"/>
          <w:b/>
          <w:bCs/>
          <w:sz w:val="36"/>
          <w:szCs w:val="36"/>
          <w:lang w:val="zh-TW"/>
        </w:rPr>
        <w:t>管理人</w:t>
      </w:r>
    </w:p>
    <w:p>
      <w:pPr>
        <w:pStyle w:val="13"/>
        <w:framePr w:wrap="auto" w:vAnchor="margin" w:hAnchor="text" w:yAlign="inline"/>
        <w:jc w:val="center"/>
        <w:rPr>
          <w:rFonts w:hint="default" w:ascii="宋体" w:hAnsi="宋体" w:eastAsia="宋体" w:cs="仿宋_GB2312"/>
          <w:b/>
          <w:bCs/>
          <w:sz w:val="36"/>
          <w:szCs w:val="36"/>
          <w:lang w:val="zh-TW"/>
        </w:rPr>
      </w:pPr>
      <w:r>
        <w:rPr>
          <w:rFonts w:ascii="宋体" w:hAnsi="宋体" w:eastAsia="宋体" w:cs="仿宋_GB2312"/>
          <w:b/>
          <w:bCs/>
          <w:sz w:val="36"/>
          <w:szCs w:val="36"/>
          <w:lang w:val="zh-TW" w:eastAsia="zh-TW"/>
        </w:rPr>
        <w:t>文件审批单</w:t>
      </w:r>
    </w:p>
    <w:p>
      <w:pPr>
        <w:pStyle w:val="13"/>
        <w:framePr w:wrap="auto" w:vAnchor="margin" w:hAnchor="text" w:yAlign="inline"/>
        <w:ind w:left="5320" w:hanging="5320"/>
        <w:jc w:val="right"/>
        <w:rPr>
          <w:rFonts w:hint="default" w:ascii="宋体" w:hAnsi="宋体" w:eastAsia="宋体"/>
          <w:sz w:val="28"/>
          <w:szCs w:val="28"/>
        </w:rPr>
      </w:pPr>
      <w:r>
        <w:rPr>
          <w:rFonts w:ascii="宋体" w:hAnsi="宋体" w:eastAsia="宋体" w:cs="楷体_GB2312"/>
          <w:sz w:val="28"/>
          <w:szCs w:val="28"/>
        </w:rPr>
        <w:t xml:space="preserve">     </w:t>
      </w:r>
      <w:r>
        <w:rPr>
          <w:rFonts w:ascii="宋体" w:hAnsi="宋体" w:eastAsia="宋体" w:cs="宋体"/>
          <w:sz w:val="28"/>
          <w:szCs w:val="28"/>
        </w:rPr>
        <w:t xml:space="preserve">                                                       </w:t>
      </w:r>
      <w:r>
        <w:rPr>
          <w:rFonts w:ascii="宋体" w:hAnsi="宋体" w:eastAsia="宋体"/>
          <w:sz w:val="28"/>
          <w:szCs w:val="28"/>
        </w:rPr>
        <w:t xml:space="preserve">      </w:t>
      </w:r>
      <w:r>
        <w:rPr>
          <w:rFonts w:ascii="宋体" w:hAnsi="宋体" w:eastAsia="宋体"/>
          <w:sz w:val="24"/>
          <w:szCs w:val="24"/>
        </w:rPr>
        <w:t xml:space="preserve">      </w:t>
      </w:r>
      <w:r>
        <w:rPr>
          <w:rFonts w:ascii="宋体" w:hAnsi="宋体" w:eastAsia="宋体"/>
          <w:sz w:val="28"/>
          <w:szCs w:val="28"/>
        </w:rPr>
        <w:t>20</w:t>
      </w:r>
      <w:r>
        <w:rPr>
          <w:rFonts w:hint="eastAsia" w:ascii="宋体" w:hAnsi="宋体" w:eastAsia="宋体"/>
          <w:sz w:val="28"/>
          <w:szCs w:val="28"/>
          <w:lang w:val="en-US" w:eastAsia="zh-CN"/>
        </w:rPr>
        <w:t>22</w:t>
      </w:r>
      <w:r>
        <w:rPr>
          <w:rFonts w:ascii="宋体" w:hAnsi="宋体" w:eastAsia="宋体" w:cs="仿宋_GB2312"/>
          <w:sz w:val="28"/>
          <w:szCs w:val="28"/>
          <w:lang w:val="zh-TW" w:eastAsia="zh-TW"/>
        </w:rPr>
        <w:t>年</w:t>
      </w:r>
      <w:r>
        <w:rPr>
          <w:rFonts w:hint="eastAsia" w:ascii="宋体" w:hAnsi="宋体" w:eastAsia="宋体" w:cs="仿宋_GB2312"/>
          <w:sz w:val="28"/>
          <w:szCs w:val="28"/>
          <w:lang w:val="en-US" w:eastAsia="zh-CN"/>
        </w:rPr>
        <w:t>12</w:t>
      </w:r>
      <w:r>
        <w:rPr>
          <w:rFonts w:ascii="宋体" w:hAnsi="宋体" w:eastAsia="宋体" w:cs="仿宋_GB2312"/>
          <w:sz w:val="28"/>
          <w:szCs w:val="28"/>
          <w:lang w:val="zh-TW" w:eastAsia="zh-TW"/>
        </w:rPr>
        <w:t>月</w:t>
      </w:r>
      <w:r>
        <w:rPr>
          <w:rFonts w:hint="eastAsia" w:ascii="宋体" w:hAnsi="宋体" w:eastAsia="宋体" w:cs="仿宋_GB2312"/>
          <w:sz w:val="28"/>
          <w:szCs w:val="28"/>
          <w:lang w:val="en-US" w:eastAsia="zh-CN"/>
        </w:rPr>
        <w:t>1</w:t>
      </w:r>
      <w:r>
        <w:rPr>
          <w:rFonts w:hint="default" w:ascii="宋体" w:hAnsi="宋体" w:eastAsia="宋体" w:cs="仿宋_GB2312"/>
          <w:sz w:val="28"/>
          <w:szCs w:val="28"/>
          <w:lang w:eastAsia="zh-CN"/>
        </w:rPr>
        <w:t>2</w:t>
      </w:r>
      <w:r>
        <w:rPr>
          <w:rFonts w:ascii="宋体" w:hAnsi="宋体" w:eastAsia="宋体" w:cs="仿宋_GB2312"/>
          <w:sz w:val="28"/>
          <w:szCs w:val="28"/>
          <w:lang w:val="zh-TW" w:eastAsia="zh-TW"/>
        </w:rPr>
        <w:t>日</w:t>
      </w:r>
    </w:p>
    <w:tbl>
      <w:tblPr>
        <w:tblStyle w:val="5"/>
        <w:tblW w:w="8415" w:type="dxa"/>
        <w:jc w:val="right"/>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Layout w:type="fixed"/>
        <w:tblCellMar>
          <w:top w:w="0" w:type="dxa"/>
          <w:left w:w="108" w:type="dxa"/>
          <w:bottom w:w="0" w:type="dxa"/>
          <w:right w:w="108" w:type="dxa"/>
        </w:tblCellMar>
      </w:tblPr>
      <w:tblGrid>
        <w:gridCol w:w="1320"/>
        <w:gridCol w:w="2695"/>
        <w:gridCol w:w="1559"/>
        <w:gridCol w:w="2841"/>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CellMar>
            <w:top w:w="0" w:type="dxa"/>
            <w:left w:w="108" w:type="dxa"/>
            <w:bottom w:w="0" w:type="dxa"/>
            <w:right w:w="108" w:type="dxa"/>
          </w:tblCellMar>
        </w:tblPrEx>
        <w:trPr>
          <w:trHeight w:val="975" w:hRule="atLeast"/>
          <w:jc w:val="right"/>
        </w:trPr>
        <w:tc>
          <w:tcPr>
            <w:tcW w:w="13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3"/>
              <w:framePr w:wrap="auto" w:vAnchor="margin" w:hAnchor="text" w:yAlign="inline"/>
              <w:widowControl/>
              <w:jc w:val="center"/>
              <w:rPr>
                <w:rFonts w:hint="default" w:ascii="宋体" w:hAnsi="宋体" w:eastAsia="宋体"/>
              </w:rPr>
            </w:pPr>
            <w:r>
              <w:rPr>
                <w:rFonts w:ascii="宋体" w:hAnsi="宋体" w:eastAsia="宋体" w:cs="仿宋_GB2312"/>
                <w:sz w:val="28"/>
                <w:szCs w:val="28"/>
                <w:lang w:val="zh-TW" w:eastAsia="zh-TW"/>
              </w:rPr>
              <w:t>申请人</w:t>
            </w:r>
          </w:p>
        </w:tc>
        <w:tc>
          <w:tcPr>
            <w:tcW w:w="269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3"/>
              <w:framePr w:wrap="auto" w:vAnchor="margin" w:hAnchor="text" w:yAlign="inline"/>
              <w:widowControl/>
              <w:jc w:val="center"/>
              <w:rPr>
                <w:rFonts w:hint="default" w:ascii="宋体" w:hAnsi="宋体" w:eastAsia="PMingLiU"/>
              </w:rPr>
            </w:pPr>
            <w:r>
              <w:rPr>
                <w:rFonts w:hint="eastAsia" w:ascii="宋体" w:hAnsi="宋体" w:eastAsia="宋体" w:cs="仿宋_GB2312"/>
                <w:b w:val="0"/>
                <w:bCs/>
                <w:color w:val="000000"/>
                <w:kern w:val="0"/>
                <w:sz w:val="28"/>
                <w:szCs w:val="28"/>
                <w:u w:color="000000"/>
                <w:lang w:val="en-US" w:eastAsia="zh-CN" w:bidi="ar-SA"/>
              </w:rPr>
              <w:t>临时</w:t>
            </w:r>
            <w:r>
              <w:rPr>
                <w:rFonts w:hint="eastAsia" w:ascii="宋体" w:hAnsi="宋体" w:eastAsia="宋体" w:cs="仿宋_GB2312"/>
                <w:b w:val="0"/>
                <w:bCs/>
                <w:color w:val="000000"/>
                <w:kern w:val="0"/>
                <w:sz w:val="28"/>
                <w:szCs w:val="28"/>
                <w:u w:color="000000"/>
                <w:lang w:val="en-US" w:eastAsia="zh-TW" w:bidi="ar-SA"/>
              </w:rPr>
              <w:t>管理人</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3"/>
              <w:framePr w:wrap="auto" w:vAnchor="margin" w:hAnchor="text" w:yAlign="inline"/>
              <w:widowControl/>
              <w:jc w:val="center"/>
              <w:rPr>
                <w:rFonts w:hint="default" w:ascii="宋体" w:hAnsi="宋体" w:eastAsia="宋体"/>
                <w:sz w:val="28"/>
                <w:szCs w:val="28"/>
              </w:rPr>
            </w:pPr>
            <w:r>
              <w:rPr>
                <w:rFonts w:ascii="宋体" w:hAnsi="宋体" w:eastAsia="宋体" w:cs="仿宋_GB2312"/>
                <w:sz w:val="28"/>
                <w:szCs w:val="28"/>
                <w:lang w:val="zh-TW" w:eastAsia="zh-TW"/>
              </w:rPr>
              <w:t>报送人</w:t>
            </w:r>
          </w:p>
          <w:p>
            <w:pPr>
              <w:pStyle w:val="13"/>
              <w:framePr w:wrap="auto" w:vAnchor="margin" w:hAnchor="text" w:yAlign="inline"/>
              <w:widowControl/>
              <w:jc w:val="center"/>
              <w:rPr>
                <w:rFonts w:hint="default" w:ascii="宋体" w:hAnsi="宋体" w:eastAsia="宋体"/>
              </w:rPr>
            </w:pPr>
            <w:r>
              <w:rPr>
                <w:rFonts w:ascii="宋体" w:hAnsi="宋体" w:eastAsia="宋体" w:cs="仿宋_GB2312"/>
                <w:sz w:val="28"/>
                <w:szCs w:val="28"/>
                <w:lang w:val="zh-TW" w:eastAsia="zh-TW"/>
              </w:rPr>
              <w:t>签字</w:t>
            </w:r>
          </w:p>
        </w:tc>
        <w:tc>
          <w:tcPr>
            <w:tcW w:w="284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3"/>
              <w:framePr w:wrap="auto" w:vAnchor="margin" w:hAnchor="text" w:yAlign="inline"/>
              <w:widowControl/>
              <w:jc w:val="center"/>
              <w:rPr>
                <w:rFonts w:hint="default" w:ascii="宋体" w:hAnsi="宋体" w:eastAsia="宋体"/>
                <w:lang w:val="en-US" w:eastAsia="zh-CN"/>
              </w:rPr>
            </w:pPr>
            <w:r>
              <w:rPr>
                <w:rFonts w:hint="eastAsia" w:ascii="宋体" w:hAnsi="宋体" w:eastAsia="宋体" w:cs="仿宋_GB2312"/>
                <w:b w:val="0"/>
                <w:color w:val="auto"/>
                <w:kern w:val="0"/>
                <w:sz w:val="28"/>
                <w:szCs w:val="28"/>
                <w:lang w:val="en-US" w:eastAsia="zh-CN" w:bidi="zh-CN"/>
              </w:rPr>
              <w:t>姚佳伟</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CellMar>
            <w:top w:w="0" w:type="dxa"/>
            <w:left w:w="108" w:type="dxa"/>
            <w:bottom w:w="0" w:type="dxa"/>
            <w:right w:w="108" w:type="dxa"/>
          </w:tblCellMar>
        </w:tblPrEx>
        <w:trPr>
          <w:trHeight w:val="1339" w:hRule="atLeast"/>
          <w:jc w:val="right"/>
        </w:trPr>
        <w:tc>
          <w:tcPr>
            <w:tcW w:w="13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3"/>
              <w:framePr w:wrap="auto" w:vAnchor="margin" w:hAnchor="text" w:yAlign="inline"/>
              <w:widowControl/>
              <w:jc w:val="center"/>
              <w:rPr>
                <w:rFonts w:hint="default" w:ascii="宋体" w:hAnsi="宋体" w:eastAsia="宋体"/>
              </w:rPr>
            </w:pPr>
            <w:r>
              <w:rPr>
                <w:rFonts w:ascii="宋体" w:hAnsi="宋体" w:eastAsia="宋体" w:cs="仿宋_GB2312"/>
                <w:sz w:val="28"/>
                <w:szCs w:val="28"/>
                <w:lang w:val="zh-TW" w:eastAsia="zh-TW"/>
              </w:rPr>
              <w:t>文件名称</w:t>
            </w:r>
          </w:p>
        </w:tc>
        <w:tc>
          <w:tcPr>
            <w:tcW w:w="7095"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left"/>
              <w:rPr>
                <w:sz w:val="30"/>
                <w:szCs w:val="30"/>
              </w:rPr>
            </w:pPr>
            <w:r>
              <w:rPr>
                <w:rFonts w:hint="eastAsia" w:ascii="宋体" w:hAnsi="宋体" w:cs="仿宋_GB2312"/>
                <w:b w:val="0"/>
                <w:sz w:val="28"/>
                <w:szCs w:val="28"/>
                <w:lang w:val="zh-TW" w:eastAsia="zh-TW"/>
              </w:rPr>
              <w:t>（20</w:t>
            </w:r>
            <w:r>
              <w:rPr>
                <w:rFonts w:hint="eastAsia" w:ascii="宋体" w:hAnsi="宋体" w:cs="仿宋_GB2312"/>
                <w:b w:val="0"/>
                <w:sz w:val="28"/>
                <w:szCs w:val="28"/>
                <w:lang w:val="en-US" w:eastAsia="zh-CN"/>
              </w:rPr>
              <w:t>22</w:t>
            </w:r>
            <w:r>
              <w:rPr>
                <w:rFonts w:hint="eastAsia" w:ascii="宋体" w:hAnsi="宋体" w:cs="仿宋_GB2312"/>
                <w:b w:val="0"/>
                <w:sz w:val="28"/>
                <w:szCs w:val="28"/>
                <w:lang w:val="zh-TW" w:eastAsia="zh-TW"/>
              </w:rPr>
              <w:t>）</w:t>
            </w:r>
            <w:r>
              <w:rPr>
                <w:rFonts w:hint="eastAsia" w:cs="仿宋_GB2312"/>
                <w:b w:val="0"/>
                <w:sz w:val="28"/>
                <w:szCs w:val="28"/>
                <w:lang w:val="en-US" w:eastAsia="zh-Hans"/>
              </w:rPr>
              <w:t>宝迪</w:t>
            </w:r>
            <w:r>
              <w:rPr>
                <w:rFonts w:hint="eastAsia" w:ascii="宋体" w:hAnsi="宋体" w:cs="仿宋_GB2312"/>
                <w:b w:val="0"/>
                <w:sz w:val="28"/>
                <w:szCs w:val="28"/>
                <w:lang w:val="zh-TW" w:eastAsia="zh-CN"/>
              </w:rPr>
              <w:t>预管</w:t>
            </w:r>
            <w:r>
              <w:rPr>
                <w:rFonts w:hint="eastAsia" w:ascii="宋体" w:hAnsi="宋体" w:cs="仿宋_GB2312"/>
                <w:b w:val="0"/>
                <w:sz w:val="28"/>
                <w:szCs w:val="28"/>
                <w:lang w:val="zh-TW" w:eastAsia="zh-TW"/>
              </w:rPr>
              <w:t>发字第0</w:t>
            </w:r>
            <w:r>
              <w:rPr>
                <w:rFonts w:hint="eastAsia" w:cs="仿宋_GB2312"/>
                <w:b w:val="0"/>
                <w:sz w:val="28"/>
                <w:szCs w:val="28"/>
                <w:lang w:val="en-US" w:eastAsia="zh-CN"/>
              </w:rPr>
              <w:t>13</w:t>
            </w:r>
            <w:r>
              <w:rPr>
                <w:rFonts w:hint="eastAsia" w:ascii="宋体" w:hAnsi="宋体" w:cs="仿宋_GB2312"/>
                <w:b w:val="0"/>
                <w:sz w:val="28"/>
                <w:szCs w:val="28"/>
                <w:lang w:val="zh-TW" w:eastAsia="zh-TW"/>
              </w:rPr>
              <w:t>号</w:t>
            </w:r>
            <w:r>
              <w:rPr>
                <w:rFonts w:ascii="宋体" w:hAnsi="宋体" w:cs="仿宋_GB2312"/>
                <w:b w:val="0"/>
                <w:sz w:val="28"/>
                <w:szCs w:val="28"/>
                <w:lang w:val="zh-TW" w:eastAsia="zh-TW"/>
              </w:rPr>
              <w:t>《</w:t>
            </w:r>
            <w:r>
              <w:rPr>
                <w:rFonts w:hint="eastAsia" w:ascii="宋体" w:hAnsi="宋体" w:cs="仿宋_GB2312"/>
                <w:b w:val="0"/>
                <w:sz w:val="28"/>
                <w:szCs w:val="28"/>
                <w:lang w:val="zh-TW" w:eastAsia="zh-TW"/>
              </w:rPr>
              <w:t>关于</w:t>
            </w:r>
            <w:r>
              <w:rPr>
                <w:rFonts w:hint="eastAsia" w:cs="仿宋_GB2312"/>
                <w:b w:val="0"/>
                <w:sz w:val="28"/>
                <w:szCs w:val="28"/>
                <w:lang w:val="zh-TW" w:eastAsia="zh-CN"/>
              </w:rPr>
              <w:t>陕西宝迪名品商业管理有限公司等五家公司合并预重整一案债权申报通知书</w:t>
            </w:r>
            <w:r>
              <w:rPr>
                <w:rFonts w:ascii="宋体" w:hAnsi="宋体" w:cs="仿宋_GB2312"/>
                <w:b w:val="0"/>
                <w:sz w:val="28"/>
                <w:szCs w:val="28"/>
                <w:lang w:val="zh-TW" w:eastAsia="zh-TW"/>
              </w:rPr>
              <w:t>》</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2401" w:hRule="atLeast"/>
          <w:jc w:val="right"/>
        </w:trPr>
        <w:tc>
          <w:tcPr>
            <w:tcW w:w="13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3"/>
              <w:framePr w:wrap="auto" w:vAnchor="margin" w:hAnchor="text" w:yAlign="inline"/>
              <w:widowControl/>
              <w:jc w:val="center"/>
              <w:rPr>
                <w:rFonts w:hint="default" w:ascii="宋体" w:hAnsi="宋体" w:eastAsia="宋体"/>
              </w:rPr>
            </w:pPr>
            <w:r>
              <w:rPr>
                <w:rFonts w:ascii="宋体" w:hAnsi="宋体" w:eastAsia="宋体" w:cs="仿宋_GB2312"/>
                <w:sz w:val="28"/>
                <w:szCs w:val="28"/>
                <w:lang w:val="zh-TW" w:eastAsia="zh-TW"/>
              </w:rPr>
              <w:t>报批事项</w:t>
            </w:r>
          </w:p>
        </w:tc>
        <w:tc>
          <w:tcPr>
            <w:tcW w:w="7095"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3"/>
              <w:framePr w:wrap="auto" w:vAnchor="margin" w:hAnchor="text" w:yAlign="inline"/>
              <w:widowControl/>
              <w:jc w:val="left"/>
              <w:rPr>
                <w:rFonts w:hint="default" w:ascii="宋体" w:hAnsi="宋体" w:eastAsia="宋体"/>
                <w:sz w:val="28"/>
                <w:szCs w:val="28"/>
                <w:lang w:val="zh-TW"/>
              </w:rPr>
            </w:pPr>
            <w:r>
              <w:rPr>
                <w:rFonts w:ascii="宋体" w:hAnsi="宋体" w:eastAsia="宋体"/>
                <w:sz w:val="28"/>
                <w:szCs w:val="28"/>
                <w:lang w:val="zh-TW" w:eastAsia="zh-TW"/>
              </w:rPr>
              <w:t>提交负责人审阅后</w:t>
            </w:r>
            <w:r>
              <w:rPr>
                <w:rFonts w:ascii="宋体" w:hAnsi="宋体" w:eastAsia="宋体"/>
                <w:sz w:val="28"/>
                <w:szCs w:val="28"/>
                <w:lang w:val="zh-TW"/>
              </w:rPr>
              <w:t>，</w:t>
            </w:r>
            <w:r>
              <w:rPr>
                <w:rFonts w:ascii="宋体" w:hAnsi="宋体" w:eastAsia="宋体"/>
                <w:sz w:val="28"/>
                <w:szCs w:val="28"/>
                <w:lang w:val="zh-TW" w:eastAsia="zh-TW"/>
              </w:rPr>
              <w:t>用</w:t>
            </w:r>
            <w:r>
              <w:rPr>
                <w:rFonts w:hint="eastAsia" w:ascii="宋体" w:hAnsi="宋体" w:eastAsia="宋体"/>
                <w:sz w:val="28"/>
                <w:szCs w:val="28"/>
                <w:lang w:val="zh-TW" w:eastAsia="zh-CN"/>
              </w:rPr>
              <w:t>临时</w:t>
            </w:r>
            <w:r>
              <w:rPr>
                <w:rFonts w:ascii="宋体" w:hAnsi="宋体" w:eastAsia="宋体"/>
                <w:sz w:val="28"/>
                <w:szCs w:val="28"/>
                <w:lang w:val="zh-TW" w:eastAsia="zh-TW"/>
              </w:rPr>
              <w:t>管理人印</w:t>
            </w:r>
            <w:r>
              <w:rPr>
                <w:rFonts w:ascii="宋体" w:hAnsi="宋体" w:eastAsia="宋体"/>
                <w:sz w:val="28"/>
                <w:szCs w:val="28"/>
                <w:lang w:val="zh-TW"/>
              </w:rPr>
              <w:t>，</w:t>
            </w:r>
            <w:r>
              <w:rPr>
                <w:rFonts w:ascii="宋体" w:hAnsi="宋体" w:eastAsia="宋体"/>
                <w:sz w:val="28"/>
                <w:szCs w:val="28"/>
                <w:lang w:val="zh-TW" w:eastAsia="zh-TW"/>
              </w:rPr>
              <w:t>并交</w:t>
            </w:r>
            <w:r>
              <w:rPr>
                <w:rFonts w:hint="eastAsia" w:ascii="宋体" w:hAnsi="宋体" w:eastAsia="宋体"/>
                <w:sz w:val="28"/>
                <w:szCs w:val="28"/>
                <w:lang w:val="en-US" w:eastAsia="zh-Hans"/>
              </w:rPr>
              <w:t>西安市中级</w:t>
            </w:r>
            <w:r>
              <w:rPr>
                <w:rFonts w:ascii="宋体" w:hAnsi="宋体" w:eastAsia="宋体"/>
                <w:sz w:val="28"/>
                <w:szCs w:val="28"/>
                <w:lang w:val="zh-TW"/>
              </w:rPr>
              <w:t>人民法院</w:t>
            </w:r>
            <w:r>
              <w:rPr>
                <w:rFonts w:ascii="宋体" w:hAnsi="宋体" w:eastAsia="宋体"/>
                <w:sz w:val="28"/>
                <w:szCs w:val="28"/>
                <w:lang w:val="zh-TW" w:eastAsia="zh-TW"/>
              </w:rPr>
              <w:t>。</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CellMar>
            <w:top w:w="0" w:type="dxa"/>
            <w:left w:w="108" w:type="dxa"/>
            <w:bottom w:w="0" w:type="dxa"/>
            <w:right w:w="108" w:type="dxa"/>
          </w:tblCellMar>
        </w:tblPrEx>
        <w:trPr>
          <w:trHeight w:val="2401" w:hRule="atLeast"/>
          <w:jc w:val="right"/>
        </w:trPr>
        <w:tc>
          <w:tcPr>
            <w:tcW w:w="13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3"/>
              <w:framePr w:wrap="auto" w:vAnchor="margin" w:hAnchor="text" w:yAlign="inline"/>
              <w:widowControl/>
              <w:jc w:val="center"/>
              <w:rPr>
                <w:rFonts w:hint="default" w:ascii="宋体" w:hAnsi="宋体" w:eastAsia="宋体" w:cs="仿宋_GB2312"/>
                <w:sz w:val="28"/>
                <w:szCs w:val="28"/>
                <w:lang w:val="zh-TW" w:eastAsia="zh-TW"/>
              </w:rPr>
            </w:pPr>
            <w:r>
              <w:rPr>
                <w:rFonts w:ascii="宋体" w:hAnsi="宋体" w:eastAsia="宋体" w:cs="仿宋_GB2312"/>
                <w:sz w:val="28"/>
                <w:szCs w:val="28"/>
                <w:lang w:val="zh-TW" w:eastAsia="zh-TW"/>
              </w:rPr>
              <w:t>负责人</w:t>
            </w:r>
          </w:p>
          <w:p>
            <w:pPr>
              <w:pStyle w:val="13"/>
              <w:framePr w:wrap="auto" w:vAnchor="margin" w:hAnchor="text" w:yAlign="inline"/>
              <w:widowControl/>
              <w:jc w:val="center"/>
              <w:rPr>
                <w:rFonts w:hint="default" w:ascii="宋体" w:hAnsi="宋体" w:eastAsia="宋体"/>
              </w:rPr>
            </w:pPr>
            <w:r>
              <w:rPr>
                <w:rFonts w:ascii="宋体" w:hAnsi="宋体" w:eastAsia="宋体" w:cs="仿宋_GB2312"/>
                <w:sz w:val="28"/>
                <w:szCs w:val="28"/>
                <w:lang w:val="zh-TW" w:eastAsia="zh-TW"/>
              </w:rPr>
              <w:t>签字</w:t>
            </w:r>
          </w:p>
        </w:tc>
        <w:tc>
          <w:tcPr>
            <w:tcW w:w="7095"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宋体" w:hAnsi="宋体"/>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2401" w:hRule="atLeast"/>
          <w:jc w:val="right"/>
        </w:trPr>
        <w:tc>
          <w:tcPr>
            <w:tcW w:w="13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pStyle w:val="13"/>
              <w:framePr w:wrap="auto" w:vAnchor="margin" w:hAnchor="text" w:yAlign="inline"/>
              <w:widowControl/>
              <w:jc w:val="center"/>
              <w:rPr>
                <w:rFonts w:hint="default" w:ascii="宋体" w:hAnsi="宋体" w:eastAsia="宋体"/>
              </w:rPr>
            </w:pPr>
            <w:r>
              <w:rPr>
                <w:rFonts w:ascii="宋体" w:hAnsi="宋体" w:eastAsia="宋体" w:cs="仿宋_GB2312"/>
                <w:sz w:val="28"/>
                <w:szCs w:val="28"/>
                <w:lang w:val="zh-TW" w:eastAsia="zh-TW"/>
              </w:rPr>
              <w:t>备注</w:t>
            </w:r>
          </w:p>
        </w:tc>
        <w:tc>
          <w:tcPr>
            <w:tcW w:w="7095" w:type="dxa"/>
            <w:gridSpan w:val="3"/>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tc>
      </w:tr>
    </w:tbl>
    <w:p>
      <w:pPr>
        <w:pStyle w:val="13"/>
        <w:framePr w:wrap="auto" w:vAnchor="margin" w:hAnchor="text" w:yAlign="inline"/>
        <w:jc w:val="center"/>
        <w:rPr>
          <w:rFonts w:hint="eastAsia" w:ascii="宋体" w:hAnsi="宋体" w:eastAsia="宋体" w:cs="宋体"/>
          <w:b/>
          <w:bCs/>
          <w:color w:val="FF0000"/>
          <w:sz w:val="48"/>
          <w:szCs w:val="48"/>
          <w:u w:color="FF0000"/>
          <w:lang w:val="zh-TW" w:eastAsia="zh-CN"/>
        </w:rPr>
      </w:pPr>
    </w:p>
    <w:p>
      <w:pPr>
        <w:keepNext w:val="0"/>
        <w:keepLines w:val="0"/>
        <w:pageBreakBefore w:val="0"/>
        <w:widowControl w:val="0"/>
        <w:tabs>
          <w:tab w:val="left" w:pos="662"/>
          <w:tab w:val="left" w:pos="1325"/>
          <w:tab w:val="left" w:pos="1987"/>
          <w:tab w:val="left" w:pos="2650"/>
          <w:tab w:val="left" w:pos="3312"/>
          <w:tab w:val="left" w:pos="3975"/>
          <w:tab w:val="left" w:pos="4637"/>
          <w:tab w:val="left" w:pos="5300"/>
          <w:tab w:val="left" w:pos="5962"/>
        </w:tabs>
        <w:kinsoku/>
        <w:wordWrap/>
        <w:overflowPunct/>
        <w:topLinePunct w:val="0"/>
        <w:autoSpaceDE w:val="0"/>
        <w:autoSpaceDN w:val="0"/>
        <w:bidi w:val="0"/>
        <w:adjustRightInd/>
        <w:snapToGrid/>
        <w:spacing w:before="0" w:beforeLines="100" w:after="0" w:afterLines="50" w:line="360" w:lineRule="auto"/>
        <w:ind w:right="159"/>
        <w:jc w:val="center"/>
        <w:textAlignment w:val="auto"/>
        <w:rPr>
          <w:rFonts w:hint="eastAsia" w:ascii="黑体" w:hAnsi="黑体" w:eastAsia="黑体" w:cs="黑体"/>
          <w:b/>
          <w:bCs/>
          <w:sz w:val="36"/>
          <w:szCs w:val="36"/>
          <w:lang w:eastAsia="zh-CN"/>
        </w:rPr>
      </w:pPr>
    </w:p>
    <w:p>
      <w:pPr>
        <w:pStyle w:val="13"/>
        <w:framePr w:wrap="auto" w:vAnchor="margin" w:hAnchor="text" w:yAlign="inline"/>
        <w:jc w:val="center"/>
        <w:rPr>
          <w:rFonts w:hint="eastAsia" w:ascii="宋体" w:hAnsi="宋体" w:eastAsia="宋体" w:cs="宋体"/>
          <w:b/>
          <w:bCs/>
          <w:color w:val="FF0000"/>
          <w:sz w:val="48"/>
          <w:szCs w:val="48"/>
          <w:u w:color="FF0000"/>
          <w:lang w:val="zh-TW" w:eastAsia="zh-CN"/>
        </w:rPr>
        <w:sectPr>
          <w:footerReference r:id="rId3" w:type="default"/>
          <w:pgSz w:w="11910" w:h="16840"/>
          <w:pgMar w:top="1843" w:right="1803" w:bottom="1440" w:left="1803" w:header="720" w:footer="720" w:gutter="0"/>
          <w:pgBorders>
            <w:top w:val="none" w:sz="0" w:space="0"/>
            <w:left w:val="none" w:sz="0" w:space="0"/>
            <w:bottom w:val="none" w:sz="0" w:space="0"/>
            <w:right w:val="none" w:sz="0" w:space="0"/>
          </w:pgBorders>
          <w:pgNumType w:fmt="numberInDash"/>
          <w:cols w:space="720" w:num="1"/>
        </w:sectPr>
      </w:pPr>
    </w:p>
    <w:p>
      <w:pPr>
        <w:pStyle w:val="13"/>
        <w:framePr w:wrap="auto" w:vAnchor="margin" w:hAnchor="text" w:yAlign="inline"/>
        <w:jc w:val="center"/>
        <w:rPr>
          <w:rFonts w:hint="eastAsia" w:ascii="宋体" w:hAnsi="宋体" w:eastAsia="宋体" w:cs="宋体"/>
          <w:b/>
          <w:bCs/>
          <w:color w:val="FF0000"/>
          <w:sz w:val="48"/>
          <w:szCs w:val="48"/>
          <w:u w:color="FF0000"/>
          <w:lang w:val="zh-TW" w:eastAsia="zh-CN"/>
        </w:rPr>
      </w:pPr>
      <w:r>
        <w:rPr>
          <w:rFonts w:hint="eastAsia" w:ascii="宋体" w:hAnsi="宋体" w:eastAsia="宋体" w:cs="宋体"/>
          <w:b/>
          <w:bCs/>
          <w:color w:val="FF0000"/>
          <w:sz w:val="48"/>
          <w:szCs w:val="48"/>
          <w:u w:color="FF0000"/>
          <w:lang w:val="zh-TW" w:eastAsia="zh-CN"/>
        </w:rPr>
        <w:t>陕西宝迪名品商业管理有限公司</w:t>
      </w:r>
    </w:p>
    <w:p>
      <w:pPr>
        <w:pStyle w:val="13"/>
        <w:framePr w:wrap="auto" w:vAnchor="margin" w:hAnchor="text" w:yAlign="inline"/>
        <w:jc w:val="center"/>
        <w:rPr>
          <w:rFonts w:hint="eastAsia" w:ascii="宋体" w:hAnsi="宋体" w:eastAsia="宋体" w:cs="宋体"/>
          <w:b/>
          <w:bCs/>
          <w:color w:val="FF0000"/>
          <w:sz w:val="48"/>
          <w:szCs w:val="48"/>
          <w:u w:color="FF0000"/>
          <w:lang w:val="zh-TW" w:eastAsia="zh-CN"/>
        </w:rPr>
      </w:pPr>
      <w:r>
        <w:rPr>
          <w:rFonts w:hint="eastAsia" w:ascii="宋体" w:hAnsi="宋体" w:eastAsia="宋体" w:cs="宋体"/>
          <w:b/>
          <w:bCs/>
          <w:color w:val="FF0000"/>
          <w:sz w:val="48"/>
          <w:szCs w:val="48"/>
          <w:u w:color="FF0000"/>
          <w:lang w:val="en-US" w:eastAsia="zh-CN"/>
        </w:rPr>
        <w:t>等五家公司</w:t>
      </w:r>
      <w:r>
        <w:rPr>
          <w:rFonts w:hint="eastAsia" w:ascii="宋体" w:hAnsi="宋体" w:eastAsia="宋体" w:cs="宋体"/>
          <w:b/>
          <w:bCs/>
          <w:color w:val="FF0000"/>
          <w:sz w:val="48"/>
          <w:szCs w:val="48"/>
          <w:u w:color="FF0000"/>
          <w:lang w:val="zh-TW" w:eastAsia="zh-CN"/>
        </w:rPr>
        <w:t>预重整</w:t>
      </w:r>
    </w:p>
    <w:p>
      <w:pPr>
        <w:pStyle w:val="13"/>
        <w:framePr w:wrap="auto" w:vAnchor="margin" w:hAnchor="text" w:yAlign="inline"/>
        <w:jc w:val="center"/>
        <w:rPr>
          <w:rFonts w:hint="eastAsia" w:ascii="宋体" w:hAnsi="宋体" w:eastAsia="宋体" w:cs="宋体"/>
          <w:b/>
          <w:bCs/>
          <w:color w:val="FF0000"/>
          <w:sz w:val="48"/>
          <w:szCs w:val="48"/>
          <w:u w:color="FF0000"/>
          <w:lang w:val="zh-TW"/>
        </w:rPr>
      </w:pPr>
      <w:r>
        <w:rPr>
          <w:rFonts w:hint="eastAsia" w:ascii="宋体" w:hAnsi="宋体" w:eastAsia="宋体" w:cs="宋体"/>
          <w:b/>
          <w:bCs/>
          <w:color w:val="FF0000"/>
          <w:sz w:val="48"/>
          <w:szCs w:val="48"/>
          <w:u w:color="FF0000"/>
          <w:lang w:val="zh-TW" w:eastAsia="zh-CN"/>
        </w:rPr>
        <w:t>临时</w:t>
      </w:r>
      <w:r>
        <w:rPr>
          <w:rFonts w:hint="eastAsia" w:ascii="宋体" w:hAnsi="宋体" w:eastAsia="宋体" w:cs="宋体"/>
          <w:b/>
          <w:bCs/>
          <w:color w:val="FF0000"/>
          <w:sz w:val="48"/>
          <w:szCs w:val="48"/>
          <w:u w:color="FF0000"/>
          <w:lang w:val="zh-TW"/>
        </w:rPr>
        <w:t>管理人</w:t>
      </w:r>
      <w:r>
        <w:rPr>
          <w:rFonts w:hint="eastAsia" w:ascii="宋体" w:hAnsi="宋体" w:eastAsia="宋体" w:cs="宋体"/>
          <w:b/>
          <w:bCs/>
          <w:color w:val="FF0000"/>
          <w:sz w:val="48"/>
          <w:szCs w:val="48"/>
          <w:u w:color="FF0000"/>
          <w:lang w:val="zh-TW" w:eastAsia="zh-TW"/>
        </w:rPr>
        <w:t>文件</w:t>
      </w:r>
    </w:p>
    <w:p>
      <w:pPr>
        <w:pStyle w:val="13"/>
        <w:keepNext w:val="0"/>
        <w:keepLines w:val="0"/>
        <w:pageBreakBefore w:val="0"/>
        <w:framePr w:wrap="auto" w:vAnchor="margin" w:hAnchor="text" w:yAlign="inline"/>
        <w:widowControl w:val="0"/>
        <w:kinsoku/>
        <w:wordWrap/>
        <w:overflowPunct/>
        <w:topLinePunct w:val="0"/>
        <w:autoSpaceDE/>
        <w:autoSpaceDN/>
        <w:bidi w:val="0"/>
        <w:adjustRightInd/>
        <w:snapToGrid/>
        <w:spacing w:before="10" w:line="520" w:lineRule="exact"/>
        <w:jc w:val="center"/>
        <w:textAlignment w:val="auto"/>
        <w:rPr>
          <w:rFonts w:hint="eastAsia" w:ascii="仿宋" w:hAnsi="仿宋" w:eastAsia="仿宋" w:cs="仿宋"/>
          <w:sz w:val="28"/>
          <w:szCs w:val="28"/>
        </w:rPr>
      </w:pPr>
      <w:r>
        <w:rPr>
          <w:rFonts w:hint="eastAsia" w:ascii="仿宋" w:hAnsi="仿宋" w:eastAsia="仿宋" w:cs="仿宋"/>
          <w:sz w:val="28"/>
          <w:szCs w:val="28"/>
          <w:lang w:val="zh-TW"/>
        </w:rPr>
        <w:t>（20</w:t>
      </w:r>
      <w:r>
        <w:rPr>
          <w:rFonts w:hint="eastAsia" w:ascii="仿宋" w:hAnsi="仿宋" w:eastAsia="仿宋" w:cs="仿宋"/>
          <w:sz w:val="28"/>
          <w:szCs w:val="28"/>
          <w:lang w:val="en-US" w:eastAsia="zh-CN"/>
        </w:rPr>
        <w:t>22</w:t>
      </w:r>
      <w:r>
        <w:rPr>
          <w:rFonts w:hint="eastAsia" w:ascii="仿宋" w:hAnsi="仿宋" w:eastAsia="仿宋" w:cs="仿宋"/>
          <w:sz w:val="28"/>
          <w:szCs w:val="28"/>
          <w:lang w:val="zh-TW"/>
        </w:rPr>
        <w:t>）</w:t>
      </w:r>
      <w:r>
        <w:rPr>
          <w:rFonts w:hint="eastAsia" w:ascii="仿宋" w:hAnsi="仿宋" w:eastAsia="仿宋" w:cs="仿宋"/>
          <w:sz w:val="28"/>
          <w:szCs w:val="28"/>
          <w:lang w:val="en-US" w:eastAsia="zh-Hans"/>
        </w:rPr>
        <w:t>宝迪</w:t>
      </w:r>
      <w:r>
        <w:rPr>
          <w:rFonts w:hint="eastAsia" w:ascii="仿宋" w:hAnsi="仿宋" w:eastAsia="仿宋" w:cs="仿宋"/>
          <w:sz w:val="28"/>
          <w:szCs w:val="28"/>
          <w:lang w:val="zh-TW" w:eastAsia="zh-CN"/>
        </w:rPr>
        <w:t>预</w:t>
      </w:r>
      <w:r>
        <w:rPr>
          <w:rFonts w:hint="eastAsia" w:ascii="仿宋" w:hAnsi="仿宋" w:eastAsia="仿宋" w:cs="仿宋"/>
          <w:sz w:val="28"/>
          <w:szCs w:val="28"/>
          <w:lang w:val="zh-TW"/>
        </w:rPr>
        <w:t>管</w:t>
      </w:r>
      <w:r>
        <w:rPr>
          <w:rFonts w:hint="eastAsia" w:ascii="仿宋" w:hAnsi="仿宋" w:eastAsia="仿宋" w:cs="仿宋"/>
          <w:sz w:val="28"/>
          <w:szCs w:val="28"/>
          <w:lang w:val="zh-TW" w:eastAsia="zh-TW"/>
        </w:rPr>
        <w:t>发字第</w:t>
      </w:r>
      <w:r>
        <w:rPr>
          <w:rFonts w:hint="eastAsia" w:ascii="仿宋" w:hAnsi="仿宋" w:eastAsia="仿宋" w:cs="仿宋"/>
          <w:sz w:val="28"/>
          <w:szCs w:val="28"/>
        </w:rPr>
        <w:t>0</w:t>
      </w:r>
      <w:r>
        <w:rPr>
          <w:rFonts w:hint="eastAsia" w:ascii="仿宋" w:hAnsi="仿宋" w:eastAsia="仿宋" w:cs="仿宋"/>
          <w:sz w:val="28"/>
          <w:szCs w:val="28"/>
          <w:lang w:val="en-US" w:eastAsia="zh-CN"/>
        </w:rPr>
        <w:t>13</w:t>
      </w:r>
      <w:r>
        <w:rPr>
          <w:rFonts w:hint="eastAsia" w:ascii="仿宋" w:hAnsi="仿宋" w:eastAsia="仿宋" w:cs="仿宋"/>
          <w:sz w:val="28"/>
          <w:szCs w:val="28"/>
          <w:lang w:val="zh-TW" w:eastAsia="zh-TW"/>
        </w:rPr>
        <w:t>号</w:t>
      </w:r>
    </w:p>
    <w:p>
      <w:pPr>
        <w:pStyle w:val="13"/>
        <w:framePr w:wrap="auto" w:vAnchor="margin" w:hAnchor="text" w:yAlign="inline"/>
        <w:spacing w:line="360" w:lineRule="exact"/>
        <w:rPr>
          <w:rFonts w:ascii="仿宋" w:hAnsi="仿宋" w:eastAsia="仿宋"/>
          <w:sz w:val="32"/>
          <w:szCs w:val="32"/>
        </w:rPr>
      </w:pPr>
      <w:r>
        <mc:AlternateContent>
          <mc:Choice Requires="wps">
            <w:drawing>
              <wp:anchor distT="0" distB="0" distL="0" distR="0" simplePos="0" relativeHeight="251661312" behindDoc="0" locked="0" layoutInCell="1" allowOverlap="1">
                <wp:simplePos x="0" y="0"/>
                <wp:positionH relativeFrom="column">
                  <wp:posOffset>-93980</wp:posOffset>
                </wp:positionH>
                <wp:positionV relativeFrom="line">
                  <wp:posOffset>50800</wp:posOffset>
                </wp:positionV>
                <wp:extent cx="5492750" cy="1270"/>
                <wp:effectExtent l="0" t="13970" r="12700" b="22860"/>
                <wp:wrapNone/>
                <wp:docPr id="3" name="officeArt object"/>
                <wp:cNvGraphicFramePr/>
                <a:graphic xmlns:a="http://schemas.openxmlformats.org/drawingml/2006/main">
                  <a:graphicData uri="http://schemas.microsoft.com/office/word/2010/wordprocessingShape">
                    <wps:wsp>
                      <wps:cNvCnPr/>
                      <wps:spPr bwMode="auto">
                        <a:xfrm>
                          <a:off x="0" y="0"/>
                          <a:ext cx="5492750" cy="1270"/>
                        </a:xfrm>
                        <a:prstGeom prst="line">
                          <a:avLst/>
                        </a:prstGeom>
                        <a:noFill/>
                        <a:ln w="28575">
                          <a:solidFill>
                            <a:srgbClr val="FF0000"/>
                          </a:solidFill>
                          <a:miter lim="800000"/>
                        </a:ln>
                      </wps:spPr>
                      <wps:bodyPr/>
                    </wps:wsp>
                  </a:graphicData>
                </a:graphic>
              </wp:anchor>
            </w:drawing>
          </mc:Choice>
          <mc:Fallback>
            <w:pict>
              <v:line id="officeArt object" o:spid="_x0000_s1026" o:spt="20" style="position:absolute;left:0pt;margin-left:-7.4pt;margin-top:4pt;height:0.1pt;width:432.5pt;mso-position-vertical-relative:line;z-index:251661312;mso-width-relative:page;mso-height-relative:page;" filled="f" stroked="t" coordsize="21600,21600" o:gfxdata="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JOVkB2AAAAAcBAAAPAAAAAAAAAAEAIAAAACIAAABkcnMvZG93bnJl&#10;di54bWxQSwECFAAUAAAACACHTuJAjbWRt8QBAACIAwAADgAAAAAAAAABACAAAAAnAQAAZHJzL2Uy&#10;b0RvYy54bWxQSwUGAAAAAAYABgBZAQAAXQUAAAAA&#10;">
                <v:fill on="f" focussize="0,0"/>
                <v:stroke weight="2.25pt" color="#FF0000" miterlimit="8" joinstyle="miter"/>
                <v:imagedata o:title=""/>
                <o:lock v:ext="edit" aspectratio="f"/>
              </v:line>
            </w:pict>
          </mc:Fallback>
        </mc:AlternateContent>
      </w:r>
    </w:p>
    <w:p>
      <w:pPr>
        <w:keepNext w:val="0"/>
        <w:keepLines w:val="0"/>
        <w:pageBreakBefore w:val="0"/>
        <w:widowControl w:val="0"/>
        <w:tabs>
          <w:tab w:val="left" w:pos="662"/>
          <w:tab w:val="left" w:pos="1325"/>
          <w:tab w:val="left" w:pos="1987"/>
          <w:tab w:val="left" w:pos="2650"/>
          <w:tab w:val="left" w:pos="3312"/>
          <w:tab w:val="left" w:pos="3975"/>
          <w:tab w:val="left" w:pos="4637"/>
          <w:tab w:val="left" w:pos="5300"/>
          <w:tab w:val="left" w:pos="5962"/>
        </w:tabs>
        <w:kinsoku/>
        <w:wordWrap/>
        <w:overflowPunct/>
        <w:topLinePunct w:val="0"/>
        <w:autoSpaceDE w:val="0"/>
        <w:autoSpaceDN w:val="0"/>
        <w:bidi w:val="0"/>
        <w:adjustRightInd/>
        <w:snapToGrid/>
        <w:spacing w:before="0" w:beforeLines="100" w:after="0" w:afterLines="100" w:line="400" w:lineRule="exact"/>
        <w:ind w:right="159"/>
        <w:jc w:val="center"/>
        <w:textAlignment w:val="auto"/>
        <w:rPr>
          <w:rFonts w:hint="eastAsia" w:ascii="黑体" w:hAnsi="黑体" w:eastAsia="黑体" w:cs="黑体"/>
          <w:b/>
          <w:bCs/>
          <w:sz w:val="36"/>
          <w:szCs w:val="36"/>
          <w:lang w:eastAsia="zh-CN"/>
        </w:rPr>
      </w:pPr>
      <w:bookmarkStart w:id="0" w:name="_GoBack"/>
      <w:r>
        <w:rPr>
          <w:rFonts w:hint="eastAsia" w:ascii="黑体" w:hAnsi="黑体" w:eastAsia="黑体" w:cs="黑体"/>
          <w:b/>
          <w:bCs/>
          <w:sz w:val="36"/>
          <w:szCs w:val="36"/>
          <w:lang w:eastAsia="zh-CN"/>
        </w:rPr>
        <w:t>陕西宝迪名品商业管理有限公司等五家公司</w:t>
      </w:r>
    </w:p>
    <w:p>
      <w:pPr>
        <w:keepNext w:val="0"/>
        <w:keepLines w:val="0"/>
        <w:pageBreakBefore w:val="0"/>
        <w:widowControl w:val="0"/>
        <w:tabs>
          <w:tab w:val="left" w:pos="662"/>
          <w:tab w:val="left" w:pos="1325"/>
          <w:tab w:val="left" w:pos="1987"/>
          <w:tab w:val="left" w:pos="2650"/>
          <w:tab w:val="left" w:pos="3312"/>
          <w:tab w:val="left" w:pos="3975"/>
          <w:tab w:val="left" w:pos="4637"/>
          <w:tab w:val="left" w:pos="5300"/>
          <w:tab w:val="left" w:pos="5962"/>
        </w:tabs>
        <w:kinsoku/>
        <w:wordWrap/>
        <w:overflowPunct/>
        <w:topLinePunct w:val="0"/>
        <w:autoSpaceDE w:val="0"/>
        <w:autoSpaceDN w:val="0"/>
        <w:bidi w:val="0"/>
        <w:adjustRightInd/>
        <w:snapToGrid/>
        <w:spacing w:before="0" w:beforeLines="100" w:after="0" w:afterLines="100" w:line="400" w:lineRule="exact"/>
        <w:ind w:right="159"/>
        <w:jc w:val="center"/>
        <w:textAlignment w:val="auto"/>
        <w:rPr>
          <w:rFonts w:hint="eastAsia" w:ascii="黑体" w:hAnsi="黑体" w:eastAsia="黑体" w:cs="黑体"/>
          <w:b/>
          <w:sz w:val="36"/>
          <w:szCs w:val="36"/>
          <w:lang w:val="en-US" w:eastAsia="zh-CN"/>
        </w:rPr>
      </w:pPr>
      <w:r>
        <w:rPr>
          <w:rFonts w:hint="eastAsia" w:ascii="黑体" w:hAnsi="黑体" w:eastAsia="黑体" w:cs="黑体"/>
          <w:b/>
          <w:bCs/>
          <w:sz w:val="36"/>
          <w:szCs w:val="36"/>
          <w:lang w:val="en-US" w:eastAsia="zh-CN"/>
        </w:rPr>
        <w:t>合并</w:t>
      </w:r>
      <w:r>
        <w:rPr>
          <w:rFonts w:hint="eastAsia" w:ascii="黑体" w:hAnsi="黑体" w:eastAsia="黑体" w:cs="黑体"/>
          <w:b/>
          <w:bCs/>
          <w:sz w:val="36"/>
          <w:szCs w:val="36"/>
        </w:rPr>
        <w:t>预重整</w:t>
      </w:r>
      <w:r>
        <w:rPr>
          <w:rFonts w:hint="eastAsia" w:ascii="黑体" w:hAnsi="黑体" w:eastAsia="黑体" w:cs="黑体"/>
          <w:b/>
          <w:bCs/>
          <w:sz w:val="36"/>
          <w:szCs w:val="36"/>
          <w:lang w:val="en-US" w:eastAsia="zh-CN"/>
        </w:rPr>
        <w:t>一案</w:t>
      </w:r>
    </w:p>
    <w:p>
      <w:pPr>
        <w:keepNext w:val="0"/>
        <w:keepLines w:val="0"/>
        <w:pageBreakBefore w:val="0"/>
        <w:widowControl w:val="0"/>
        <w:tabs>
          <w:tab w:val="left" w:pos="662"/>
          <w:tab w:val="left" w:pos="1325"/>
          <w:tab w:val="left" w:pos="1987"/>
          <w:tab w:val="left" w:pos="2650"/>
          <w:tab w:val="left" w:pos="3312"/>
          <w:tab w:val="left" w:pos="3975"/>
          <w:tab w:val="left" w:pos="4637"/>
          <w:tab w:val="left" w:pos="5300"/>
          <w:tab w:val="left" w:pos="5962"/>
        </w:tabs>
        <w:kinsoku/>
        <w:wordWrap/>
        <w:overflowPunct/>
        <w:topLinePunct w:val="0"/>
        <w:autoSpaceDE w:val="0"/>
        <w:autoSpaceDN w:val="0"/>
        <w:bidi w:val="0"/>
        <w:adjustRightInd/>
        <w:snapToGrid/>
        <w:spacing w:before="0" w:beforeLines="100" w:after="0" w:afterLines="50" w:line="360" w:lineRule="auto"/>
        <w:ind w:right="159"/>
        <w:jc w:val="center"/>
        <w:textAlignment w:val="auto"/>
        <w:rPr>
          <w:rFonts w:hint="eastAsia" w:ascii="黑体" w:hAnsi="黑体" w:eastAsia="黑体" w:cs="黑体"/>
          <w:b/>
          <w:sz w:val="36"/>
          <w:szCs w:val="36"/>
        </w:rPr>
      </w:pPr>
      <w:r>
        <w:rPr>
          <w:rFonts w:hint="eastAsia" w:ascii="黑体" w:hAnsi="黑体" w:eastAsia="黑体" w:cs="黑体"/>
          <w:b/>
          <w:sz w:val="36"/>
          <w:szCs w:val="36"/>
        </w:rPr>
        <w:t>债权申报通知书</w:t>
      </w:r>
    </w:p>
    <w:p>
      <w:pPr>
        <w:pStyle w:val="2"/>
        <w:keepNext w:val="0"/>
        <w:keepLines w:val="0"/>
        <w:pageBreakBefore w:val="0"/>
        <w:widowControl w:val="0"/>
        <w:numPr>
          <w:ilvl w:val="0"/>
          <w:numId w:val="0"/>
        </w:numPr>
        <w:kinsoku/>
        <w:wordWrap w:val="0"/>
        <w:overflowPunct/>
        <w:topLinePunct w:val="0"/>
        <w:autoSpaceDE w:val="0"/>
        <w:autoSpaceDN w:val="0"/>
        <w:bidi w:val="0"/>
        <w:adjustRightInd/>
        <w:snapToGrid/>
        <w:spacing w:before="20" w:after="0" w:afterLines="50" w:line="360" w:lineRule="auto"/>
        <w:ind w:right="0" w:rightChars="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zh-TW" w:eastAsia="zh-CN"/>
        </w:rPr>
        <w:t>陕西宝迪名品商业管理有限公司</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lang w:val="zh-TW" w:eastAsia="zh-CN"/>
        </w:rPr>
        <w:t>西安宝迪工贸有限责任公司</w:t>
      </w:r>
    </w:p>
    <w:p>
      <w:pPr>
        <w:pStyle w:val="2"/>
        <w:keepNext w:val="0"/>
        <w:keepLines w:val="0"/>
        <w:pageBreakBefore w:val="0"/>
        <w:widowControl w:val="0"/>
        <w:numPr>
          <w:ilvl w:val="0"/>
          <w:numId w:val="0"/>
        </w:numPr>
        <w:kinsoku/>
        <w:wordWrap w:val="0"/>
        <w:overflowPunct/>
        <w:topLinePunct w:val="0"/>
        <w:autoSpaceDE w:val="0"/>
        <w:autoSpaceDN w:val="0"/>
        <w:bidi w:val="0"/>
        <w:adjustRightInd/>
        <w:snapToGrid/>
        <w:spacing w:before="20" w:after="0" w:afterLines="50" w:line="360" w:lineRule="auto"/>
        <w:ind w:right="0" w:rightChars="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zh-TW" w:eastAsia="zh-CN"/>
        </w:rPr>
        <w:t>陕西宝迪国际贸易发展有限公司</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lang w:val="zh-TW" w:eastAsia="zh-CN"/>
        </w:rPr>
        <w:t>西安缇雅服饰有限公司</w:t>
      </w:r>
    </w:p>
    <w:p>
      <w:pPr>
        <w:pStyle w:val="2"/>
        <w:keepNext w:val="0"/>
        <w:keepLines w:val="0"/>
        <w:pageBreakBefore w:val="0"/>
        <w:widowControl w:val="0"/>
        <w:numPr>
          <w:ilvl w:val="0"/>
          <w:numId w:val="0"/>
        </w:numPr>
        <w:kinsoku/>
        <w:wordWrap w:val="0"/>
        <w:overflowPunct/>
        <w:topLinePunct w:val="0"/>
        <w:autoSpaceDE w:val="0"/>
        <w:autoSpaceDN w:val="0"/>
        <w:bidi w:val="0"/>
        <w:adjustRightInd/>
        <w:snapToGrid/>
        <w:spacing w:before="20" w:after="0" w:afterLines="50" w:line="360" w:lineRule="auto"/>
        <w:ind w:right="0" w:rightChars="0"/>
        <w:jc w:val="both"/>
        <w:textAlignment w:val="auto"/>
        <w:rPr>
          <w:rFonts w:hint="eastAsia" w:ascii="仿宋" w:hAnsi="仿宋" w:eastAsia="仿宋" w:cs="仿宋"/>
          <w:b/>
          <w:bCs/>
          <w:sz w:val="28"/>
          <w:szCs w:val="28"/>
        </w:rPr>
      </w:pPr>
      <w:r>
        <w:rPr>
          <w:rFonts w:hint="eastAsia" w:ascii="仿宋" w:hAnsi="仿宋" w:eastAsia="仿宋" w:cs="仿宋"/>
          <w:b/>
          <w:bCs/>
          <w:sz w:val="28"/>
          <w:szCs w:val="28"/>
          <w:lang w:val="zh-TW" w:eastAsia="zh-CN"/>
        </w:rPr>
        <w:t>陕西泰乐健康文化科技有限公司</w:t>
      </w:r>
      <w:r>
        <w:rPr>
          <w:rFonts w:hint="eastAsia" w:ascii="仿宋" w:hAnsi="仿宋" w:eastAsia="仿宋" w:cs="仿宋"/>
          <w:b/>
          <w:bCs/>
          <w:sz w:val="28"/>
          <w:szCs w:val="28"/>
        </w:rPr>
        <w:t>债权人</w:t>
      </w:r>
      <w:r>
        <w:rPr>
          <w:rFonts w:hint="eastAsia" w:ascii="仿宋" w:hAnsi="仿宋" w:eastAsia="仿宋" w:cs="仿宋"/>
          <w:b/>
          <w:bCs/>
          <w:sz w:val="28"/>
          <w:szCs w:val="28"/>
          <w:lang w:val="en-US" w:eastAsia="zh-CN"/>
        </w:rPr>
        <w:t>及利害关系人</w:t>
      </w:r>
      <w:r>
        <w:rPr>
          <w:rFonts w:hint="eastAsia" w:ascii="仿宋" w:hAnsi="仿宋" w:eastAsia="仿宋" w:cs="仿宋"/>
          <w:b/>
          <w:bCs/>
          <w:sz w:val="28"/>
          <w:szCs w:val="28"/>
        </w:rPr>
        <w:t>：</w:t>
      </w:r>
    </w:p>
    <w:p>
      <w:pPr>
        <w:pStyle w:val="2"/>
        <w:keepNext w:val="0"/>
        <w:keepLines w:val="0"/>
        <w:pageBreakBefore w:val="0"/>
        <w:widowControl w:val="0"/>
        <w:kinsoku/>
        <w:overflowPunct/>
        <w:topLinePunct w:val="0"/>
        <w:autoSpaceDE w:val="0"/>
        <w:autoSpaceDN w:val="0"/>
        <w:bidi w:val="0"/>
        <w:adjustRightInd/>
        <w:snapToGrid/>
        <w:spacing w:after="10" w:line="360" w:lineRule="auto"/>
        <w:ind w:left="141" w:leftChars="64" w:right="319" w:rightChars="145"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2</w:t>
      </w:r>
      <w:r>
        <w:rPr>
          <w:rFonts w:hint="eastAsia" w:ascii="仿宋" w:hAnsi="仿宋" w:eastAsia="仿宋" w:cs="仿宋"/>
          <w:sz w:val="28"/>
          <w:szCs w:val="28"/>
        </w:rPr>
        <w:t>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5</w:t>
      </w:r>
      <w:r>
        <w:rPr>
          <w:rFonts w:hint="eastAsia" w:ascii="仿宋" w:hAnsi="仿宋" w:eastAsia="仿宋" w:cs="仿宋"/>
          <w:sz w:val="28"/>
          <w:szCs w:val="28"/>
        </w:rPr>
        <w:t>日，</w:t>
      </w:r>
      <w:r>
        <w:rPr>
          <w:rFonts w:hint="eastAsia" w:ascii="仿宋" w:hAnsi="仿宋" w:eastAsia="仿宋" w:cs="仿宋"/>
          <w:sz w:val="28"/>
          <w:szCs w:val="28"/>
          <w:lang w:val="en-US" w:eastAsia="zh-Hans"/>
        </w:rPr>
        <w:t>西安市中级</w:t>
      </w:r>
      <w:r>
        <w:rPr>
          <w:rFonts w:hint="eastAsia" w:ascii="仿宋" w:hAnsi="仿宋" w:eastAsia="仿宋" w:cs="仿宋"/>
          <w:sz w:val="28"/>
          <w:szCs w:val="28"/>
        </w:rPr>
        <w:t>人民法院决定对</w:t>
      </w:r>
      <w:r>
        <w:rPr>
          <w:rFonts w:hint="eastAsia" w:ascii="仿宋" w:hAnsi="仿宋" w:eastAsia="仿宋" w:cs="仿宋"/>
          <w:sz w:val="28"/>
          <w:szCs w:val="28"/>
          <w:lang w:val="zh-TW" w:eastAsia="zh-CN"/>
        </w:rPr>
        <w:t>陕西宝迪名品商业管理有限公司、西安宝迪工贸有限责任公司、陕西宝迪国际贸易发展有限公司、西安缇雅服饰有限公司、陕西泰乐健康文化科技有限公司</w:t>
      </w:r>
      <w:r>
        <w:rPr>
          <w:rFonts w:hint="eastAsia" w:ascii="仿宋" w:hAnsi="仿宋" w:eastAsia="仿宋" w:cs="仿宋"/>
          <w:sz w:val="28"/>
          <w:szCs w:val="28"/>
          <w:lang w:val="en-US" w:eastAsia="zh-CN"/>
        </w:rPr>
        <w:t>共</w:t>
      </w:r>
      <w:r>
        <w:rPr>
          <w:rFonts w:hint="eastAsia" w:ascii="仿宋" w:hAnsi="仿宋" w:eastAsia="仿宋" w:cs="仿宋"/>
          <w:sz w:val="28"/>
          <w:szCs w:val="28"/>
          <w:lang w:eastAsia="zh-CN"/>
        </w:rPr>
        <w:t>五家公司（</w:t>
      </w:r>
      <w:r>
        <w:rPr>
          <w:rFonts w:hint="eastAsia" w:ascii="仿宋" w:hAnsi="仿宋" w:eastAsia="仿宋" w:cs="仿宋"/>
          <w:sz w:val="28"/>
          <w:szCs w:val="28"/>
          <w:lang w:val="en-US" w:eastAsia="zh-CN"/>
        </w:rPr>
        <w:t>以下整体简称“宝迪公司”</w:t>
      </w:r>
      <w:r>
        <w:rPr>
          <w:rFonts w:hint="eastAsia" w:ascii="仿宋" w:hAnsi="仿宋" w:eastAsia="仿宋" w:cs="仿宋"/>
          <w:sz w:val="28"/>
          <w:szCs w:val="28"/>
          <w:lang w:eastAsia="zh-CN"/>
        </w:rPr>
        <w:t>）</w:t>
      </w:r>
      <w:r>
        <w:rPr>
          <w:rFonts w:hint="eastAsia" w:ascii="仿宋" w:hAnsi="仿宋" w:eastAsia="仿宋" w:cs="仿宋"/>
          <w:sz w:val="28"/>
          <w:szCs w:val="28"/>
        </w:rPr>
        <w:t>进行</w:t>
      </w:r>
      <w:r>
        <w:rPr>
          <w:rFonts w:hint="eastAsia" w:ascii="仿宋" w:hAnsi="仿宋" w:eastAsia="仿宋" w:cs="仿宋"/>
          <w:sz w:val="28"/>
          <w:szCs w:val="28"/>
          <w:lang w:val="en-US" w:eastAsia="zh-CN"/>
        </w:rPr>
        <w:t>合并</w:t>
      </w:r>
      <w:r>
        <w:rPr>
          <w:rFonts w:hint="eastAsia" w:ascii="仿宋" w:hAnsi="仿宋" w:eastAsia="仿宋" w:cs="仿宋"/>
          <w:sz w:val="28"/>
          <w:szCs w:val="28"/>
        </w:rPr>
        <w:t>预重整</w:t>
      </w:r>
      <w:r>
        <w:rPr>
          <w:rFonts w:hint="eastAsia" w:ascii="仿宋" w:hAnsi="仿宋" w:eastAsia="仿宋" w:cs="仿宋"/>
          <w:sz w:val="28"/>
          <w:szCs w:val="28"/>
          <w:lang w:eastAsia="zh-CN"/>
        </w:rPr>
        <w:t>，</w:t>
      </w:r>
      <w:r>
        <w:rPr>
          <w:rFonts w:hint="eastAsia" w:ascii="仿宋" w:hAnsi="仿宋" w:eastAsia="仿宋" w:cs="仿宋"/>
          <w:sz w:val="28"/>
          <w:szCs w:val="28"/>
        </w:rPr>
        <w:t>并指定</w:t>
      </w:r>
      <w:r>
        <w:rPr>
          <w:rFonts w:hint="eastAsia" w:ascii="仿宋" w:hAnsi="仿宋" w:eastAsia="仿宋" w:cs="仿宋"/>
          <w:sz w:val="28"/>
          <w:szCs w:val="28"/>
          <w:lang w:eastAsia="zh-CN"/>
        </w:rPr>
        <w:t>陕西同泰律师事务所担任预重整</w:t>
      </w:r>
      <w:r>
        <w:rPr>
          <w:rFonts w:hint="eastAsia" w:ascii="仿宋" w:hAnsi="仿宋" w:eastAsia="仿宋" w:cs="仿宋"/>
          <w:sz w:val="28"/>
          <w:szCs w:val="28"/>
        </w:rPr>
        <w:t>临时管理人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以下简称“临时管理人”</w:t>
      </w:r>
      <w:r>
        <w:rPr>
          <w:rFonts w:hint="eastAsia" w:ascii="仿宋" w:hAnsi="仿宋" w:eastAsia="仿宋" w:cs="仿宋"/>
          <w:sz w:val="28"/>
          <w:szCs w:val="28"/>
          <w:lang w:eastAsia="zh-CN"/>
        </w:rPr>
        <w:t>）</w:t>
      </w:r>
      <w:r>
        <w:rPr>
          <w:rFonts w:hint="eastAsia" w:ascii="仿宋" w:hAnsi="仿宋" w:eastAsia="仿宋" w:cs="仿宋"/>
          <w:sz w:val="28"/>
          <w:szCs w:val="28"/>
        </w:rPr>
        <w:t>。现临时管理人就债权申报有关事项通知如下：</w:t>
      </w:r>
    </w:p>
    <w:p>
      <w:pPr>
        <w:pStyle w:val="2"/>
        <w:keepNext w:val="0"/>
        <w:keepLines w:val="0"/>
        <w:pageBreakBefore w:val="0"/>
        <w:widowControl w:val="0"/>
        <w:kinsoku/>
        <w:overflowPunct/>
        <w:topLinePunct w:val="0"/>
        <w:autoSpaceDE w:val="0"/>
        <w:autoSpaceDN w:val="0"/>
        <w:bidi w:val="0"/>
        <w:adjustRightInd/>
        <w:snapToGrid/>
        <w:spacing w:after="10" w:line="360" w:lineRule="auto"/>
        <w:ind w:left="141" w:leftChars="64" w:right="319" w:rightChars="145"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宝迪公司</w:t>
      </w:r>
      <w:r>
        <w:rPr>
          <w:rFonts w:hint="eastAsia" w:ascii="仿宋" w:hAnsi="仿宋" w:eastAsia="仿宋" w:cs="仿宋"/>
          <w:sz w:val="28"/>
          <w:szCs w:val="28"/>
        </w:rPr>
        <w:t>的债权人应</w:t>
      </w:r>
      <w:r>
        <w:rPr>
          <w:rFonts w:hint="eastAsia" w:ascii="仿宋" w:hAnsi="仿宋" w:eastAsia="仿宋" w:cs="仿宋"/>
          <w:sz w:val="28"/>
          <w:szCs w:val="28"/>
          <w:highlight w:val="none"/>
        </w:rPr>
        <w:t>于202</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日</w:t>
      </w:r>
      <w:r>
        <w:rPr>
          <w:rFonts w:hint="eastAsia" w:ascii="仿宋" w:hAnsi="仿宋" w:eastAsia="仿宋" w:cs="仿宋"/>
          <w:sz w:val="28"/>
          <w:szCs w:val="28"/>
        </w:rPr>
        <w:t>前向</w:t>
      </w:r>
      <w:r>
        <w:rPr>
          <w:rFonts w:hint="eastAsia" w:ascii="仿宋" w:hAnsi="仿宋" w:eastAsia="仿宋" w:cs="仿宋"/>
          <w:sz w:val="28"/>
          <w:szCs w:val="28"/>
          <w:lang w:val="en-US" w:eastAsia="zh-CN"/>
        </w:rPr>
        <w:t>宝迪公司</w:t>
      </w:r>
      <w:r>
        <w:rPr>
          <w:rFonts w:hint="eastAsia" w:ascii="仿宋" w:hAnsi="仿宋" w:eastAsia="仿宋" w:cs="仿宋"/>
          <w:sz w:val="28"/>
          <w:szCs w:val="28"/>
        </w:rPr>
        <w:t>临时管理人</w:t>
      </w:r>
      <w:r>
        <w:rPr>
          <w:rFonts w:hint="eastAsia" w:ascii="仿宋" w:hAnsi="仿宋" w:eastAsia="仿宋" w:cs="仿宋"/>
          <w:sz w:val="28"/>
          <w:szCs w:val="28"/>
          <w:lang w:eastAsia="zh-CN"/>
        </w:rPr>
        <w:t>进行线上或线下</w:t>
      </w:r>
      <w:r>
        <w:rPr>
          <w:rFonts w:hint="eastAsia" w:ascii="仿宋" w:hAnsi="仿宋" w:eastAsia="仿宋" w:cs="仿宋"/>
          <w:sz w:val="28"/>
          <w:szCs w:val="28"/>
        </w:rPr>
        <w:t>申报债权</w:t>
      </w:r>
      <w:r>
        <w:rPr>
          <w:rFonts w:hint="eastAsia" w:ascii="仿宋" w:hAnsi="仿宋" w:eastAsia="仿宋" w:cs="仿宋"/>
          <w:sz w:val="28"/>
          <w:szCs w:val="28"/>
          <w:lang w:val="en-US" w:eastAsia="zh-CN"/>
        </w:rPr>
        <w:t>:</w:t>
      </w:r>
    </w:p>
    <w:p>
      <w:pPr>
        <w:pStyle w:val="2"/>
        <w:keepNext w:val="0"/>
        <w:keepLines w:val="0"/>
        <w:pageBreakBefore w:val="0"/>
        <w:widowControl w:val="0"/>
        <w:kinsoku/>
        <w:overflowPunct/>
        <w:topLinePunct w:val="0"/>
        <w:autoSpaceDE w:val="0"/>
        <w:autoSpaceDN w:val="0"/>
        <w:bidi w:val="0"/>
        <w:adjustRightInd/>
        <w:snapToGrid/>
        <w:spacing w:after="10" w:line="360" w:lineRule="auto"/>
        <w:ind w:left="141" w:leftChars="64" w:right="319" w:rightChars="145" w:firstLine="560" w:firstLineChars="200"/>
        <w:jc w:val="both"/>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rPr>
        <w:t>线上债权申报方式：（1）</w:t>
      </w:r>
      <w:r>
        <w:rPr>
          <w:rFonts w:hint="eastAsia" w:ascii="仿宋" w:hAnsi="仿宋" w:eastAsia="仿宋" w:cs="仿宋"/>
          <w:b w:val="0"/>
          <w:bCs w:val="0"/>
          <w:color w:val="auto"/>
          <w:sz w:val="28"/>
          <w:szCs w:val="28"/>
          <w:lang w:val="en-US" w:eastAsia="zh-CN"/>
        </w:rPr>
        <w:t>手机微信</w:t>
      </w:r>
      <w:r>
        <w:rPr>
          <w:rFonts w:hint="eastAsia" w:ascii="仿宋" w:hAnsi="仿宋" w:eastAsia="仿宋" w:cs="仿宋"/>
          <w:b w:val="0"/>
          <w:bCs w:val="0"/>
          <w:color w:val="auto"/>
          <w:sz w:val="28"/>
          <w:szCs w:val="28"/>
        </w:rPr>
        <w:t>扫描本公告后附的自主申报二维码，债权人根据提示完成登录、债权申报，本案件识别码</w:t>
      </w:r>
      <w:r>
        <w:rPr>
          <w:rFonts w:hint="eastAsia" w:ascii="仿宋" w:hAnsi="仿宋" w:eastAsia="仿宋" w:cs="仿宋"/>
          <w:b w:val="0"/>
          <w:bCs w:val="0"/>
          <w:color w:val="auto"/>
          <w:sz w:val="28"/>
          <w:szCs w:val="28"/>
          <w:lang w:val="en-US" w:eastAsia="zh-CN"/>
        </w:rPr>
        <w:t>112597</w:t>
      </w:r>
      <w:r>
        <w:rPr>
          <w:rFonts w:hint="eastAsia" w:ascii="仿宋" w:hAnsi="仿宋" w:eastAsia="仿宋" w:cs="仿宋"/>
          <w:b w:val="0"/>
          <w:bCs w:val="0"/>
          <w:color w:val="auto"/>
          <w:sz w:val="28"/>
          <w:szCs w:val="28"/>
        </w:rPr>
        <w:t>；（2）或电脑登录破易通破产办案工作平台https://www.poyitong.com/</w:t>
      </w:r>
      <w:r>
        <w:rPr>
          <w:rFonts w:hint="eastAsia"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lang w:val="en-US" w:eastAsia="zh-CN"/>
        </w:rPr>
        <w:t>选择“我是债权人”申报债权</w:t>
      </w:r>
      <w:r>
        <w:rPr>
          <w:rFonts w:hint="eastAsia" w:ascii="仿宋" w:hAnsi="仿宋" w:eastAsia="仿宋" w:cs="仿宋"/>
          <w:b w:val="0"/>
          <w:bCs w:val="0"/>
          <w:color w:val="auto"/>
          <w:sz w:val="28"/>
          <w:szCs w:val="28"/>
        </w:rPr>
        <w:t>，本案件识别码</w:t>
      </w:r>
      <w:r>
        <w:rPr>
          <w:rFonts w:hint="eastAsia" w:ascii="仿宋" w:hAnsi="仿宋" w:eastAsia="仿宋" w:cs="仿宋"/>
          <w:b w:val="0"/>
          <w:bCs w:val="0"/>
          <w:color w:val="auto"/>
          <w:sz w:val="28"/>
          <w:szCs w:val="28"/>
          <w:lang w:val="en-US" w:eastAsia="zh-CN"/>
        </w:rPr>
        <w:t>112597。线上申报如遇到操作问题，可联系“破易通”客服</w:t>
      </w:r>
      <w:r>
        <w:rPr>
          <w:rFonts w:hint="default"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lang w:val="en-US" w:eastAsia="zh-CN"/>
        </w:rPr>
        <w:t>（服务电话：4009993390，工作时间9:00-12:00,14:00-18:00，请在工作时间内致电咨询）</w:t>
      </w:r>
    </w:p>
    <w:p>
      <w:pPr>
        <w:pStyle w:val="2"/>
        <w:keepNext w:val="0"/>
        <w:keepLines w:val="0"/>
        <w:pageBreakBefore w:val="0"/>
        <w:widowControl w:val="0"/>
        <w:kinsoku/>
        <w:overflowPunct/>
        <w:topLinePunct w:val="0"/>
        <w:autoSpaceDE w:val="0"/>
        <w:autoSpaceDN w:val="0"/>
        <w:bidi w:val="0"/>
        <w:adjustRightInd/>
        <w:snapToGrid/>
        <w:spacing w:after="10" w:line="360" w:lineRule="auto"/>
        <w:ind w:left="141" w:leftChars="64" w:right="319" w:rightChars="145" w:firstLine="560" w:firstLineChars="200"/>
        <w:jc w:val="both"/>
        <w:textAlignment w:val="auto"/>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线下债权申报方式：</w:t>
      </w:r>
      <w:r>
        <w:rPr>
          <w:rFonts w:hint="eastAsia" w:ascii="仿宋" w:hAnsi="仿宋" w:eastAsia="仿宋" w:cs="仿宋"/>
          <w:b/>
          <w:bCs/>
          <w:color w:val="auto"/>
          <w:sz w:val="28"/>
          <w:szCs w:val="28"/>
          <w:lang w:val="en-US" w:eastAsia="zh-CN"/>
        </w:rPr>
        <w:t>考虑到疫情防控，为保障债权人身体健康，线下申报</w:t>
      </w:r>
      <w:r>
        <w:rPr>
          <w:rFonts w:hint="eastAsia" w:ascii="仿宋" w:hAnsi="仿宋" w:eastAsia="仿宋" w:cs="仿宋"/>
          <w:b/>
          <w:bCs/>
          <w:color w:val="auto"/>
          <w:sz w:val="28"/>
          <w:szCs w:val="28"/>
          <w:lang w:val="en-US" w:eastAsia="zh-Hans"/>
        </w:rPr>
        <w:t>以邮寄申报为主</w:t>
      </w:r>
      <w:r>
        <w:rPr>
          <w:rFonts w:hint="eastAsia" w:ascii="仿宋" w:hAnsi="仿宋" w:eastAsia="仿宋" w:cs="仿宋"/>
          <w:b w:val="0"/>
          <w:bCs w:val="0"/>
          <w:color w:val="auto"/>
          <w:sz w:val="28"/>
          <w:szCs w:val="28"/>
          <w:lang w:eastAsia="zh-Hans"/>
        </w:rPr>
        <w:t>，</w:t>
      </w:r>
      <w:r>
        <w:rPr>
          <w:rFonts w:hint="eastAsia" w:ascii="仿宋" w:hAnsi="仿宋" w:eastAsia="仿宋" w:cs="仿宋"/>
          <w:b w:val="0"/>
          <w:bCs w:val="0"/>
          <w:color w:val="auto"/>
          <w:sz w:val="28"/>
          <w:szCs w:val="28"/>
          <w:lang w:val="en-US" w:eastAsia="zh-CN"/>
        </w:rPr>
        <w:t>接收快递邮寄</w:t>
      </w:r>
      <w:r>
        <w:rPr>
          <w:rFonts w:hint="eastAsia" w:ascii="仿宋" w:hAnsi="仿宋" w:eastAsia="仿宋" w:cs="仿宋"/>
          <w:b w:val="0"/>
          <w:bCs w:val="0"/>
          <w:color w:val="auto"/>
          <w:sz w:val="28"/>
          <w:szCs w:val="28"/>
          <w:lang w:val="en-US" w:eastAsia="zh-Hans"/>
        </w:rPr>
        <w:t>申报</w:t>
      </w:r>
      <w:r>
        <w:rPr>
          <w:rFonts w:hint="eastAsia" w:ascii="仿宋" w:hAnsi="仿宋" w:eastAsia="仿宋" w:cs="仿宋"/>
          <w:b w:val="0"/>
          <w:bCs w:val="0"/>
          <w:color w:val="auto"/>
          <w:sz w:val="28"/>
          <w:szCs w:val="28"/>
          <w:lang w:val="en-US" w:eastAsia="zh-CN"/>
        </w:rPr>
        <w:t>材料，邮寄地址：陕西省西安市高新区唐延路南段CLASS国际公馆B座604室，联系人：</w:t>
      </w:r>
      <w:r>
        <w:rPr>
          <w:rFonts w:hint="eastAsia" w:ascii="仿宋" w:hAnsi="仿宋" w:eastAsia="仿宋" w:cs="仿宋"/>
          <w:b w:val="0"/>
          <w:bCs w:val="0"/>
          <w:color w:val="auto"/>
          <w:sz w:val="28"/>
          <w:szCs w:val="28"/>
          <w:lang w:val="en-US" w:eastAsia="zh-Hans"/>
        </w:rPr>
        <w:t>王</w:t>
      </w:r>
      <w:r>
        <w:rPr>
          <w:rFonts w:hint="eastAsia" w:ascii="仿宋" w:hAnsi="仿宋" w:eastAsia="仿宋" w:cs="仿宋"/>
          <w:b w:val="0"/>
          <w:bCs w:val="0"/>
          <w:color w:val="auto"/>
          <w:sz w:val="28"/>
          <w:szCs w:val="28"/>
          <w:lang w:eastAsia="zh-CN"/>
        </w:rPr>
        <w:t>律师、</w:t>
      </w:r>
      <w:r>
        <w:rPr>
          <w:rFonts w:hint="eastAsia" w:ascii="仿宋" w:hAnsi="仿宋" w:eastAsia="仿宋" w:cs="仿宋"/>
          <w:b w:val="0"/>
          <w:bCs w:val="0"/>
          <w:color w:val="auto"/>
          <w:sz w:val="28"/>
          <w:szCs w:val="28"/>
          <w:lang w:val="en-US" w:eastAsia="zh-Hans"/>
        </w:rPr>
        <w:t>姚</w:t>
      </w:r>
      <w:r>
        <w:rPr>
          <w:rFonts w:hint="eastAsia" w:ascii="仿宋" w:hAnsi="仿宋" w:eastAsia="仿宋" w:cs="仿宋"/>
          <w:b w:val="0"/>
          <w:bCs w:val="0"/>
          <w:color w:val="auto"/>
          <w:sz w:val="28"/>
          <w:szCs w:val="28"/>
          <w:lang w:eastAsia="zh-CN"/>
        </w:rPr>
        <w:t>律师，</w:t>
      </w:r>
      <w:r>
        <w:rPr>
          <w:rFonts w:hint="eastAsia" w:ascii="仿宋" w:hAnsi="仿宋" w:eastAsia="仿宋" w:cs="仿宋"/>
          <w:b w:val="0"/>
          <w:bCs w:val="0"/>
          <w:color w:val="auto"/>
          <w:sz w:val="28"/>
          <w:szCs w:val="28"/>
          <w:lang w:val="en-US" w:eastAsia="zh-CN"/>
        </w:rPr>
        <w:t>联系电话：18629310701</w:t>
      </w:r>
      <w:r>
        <w:rPr>
          <w:rFonts w:hint="default"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lang w:val="en-US" w:eastAsia="zh-CN"/>
        </w:rPr>
        <w:t>邮编: 710065。</w:t>
      </w:r>
    </w:p>
    <w:p>
      <w:pPr>
        <w:pStyle w:val="2"/>
        <w:keepNext w:val="0"/>
        <w:keepLines w:val="0"/>
        <w:pageBreakBefore w:val="0"/>
        <w:widowControl w:val="0"/>
        <w:kinsoku/>
        <w:overflowPunct/>
        <w:topLinePunct w:val="0"/>
        <w:autoSpaceDE w:val="0"/>
        <w:autoSpaceDN w:val="0"/>
        <w:bidi w:val="0"/>
        <w:adjustRightInd/>
        <w:snapToGrid/>
        <w:spacing w:after="10" w:line="360" w:lineRule="auto"/>
        <w:ind w:left="141" w:leftChars="64" w:right="319" w:rightChars="145"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rPr>
        <w:t>申报债权应书面说明债权数额、有无财产担保及是否属于连带债权，并提供相关证据材料（详见附件</w:t>
      </w:r>
      <w:r>
        <w:rPr>
          <w:rFonts w:hint="eastAsia" w:ascii="仿宋" w:hAnsi="仿宋" w:eastAsia="仿宋" w:cs="仿宋"/>
          <w:sz w:val="28"/>
          <w:szCs w:val="28"/>
          <w:lang w:eastAsia="zh-CN"/>
        </w:rPr>
        <w:t>债权申报操作指引、债权申报须知</w:t>
      </w:r>
      <w:r>
        <w:rPr>
          <w:rFonts w:hint="eastAsia" w:ascii="仿宋" w:hAnsi="仿宋" w:eastAsia="仿宋" w:cs="仿宋"/>
          <w:sz w:val="28"/>
          <w:szCs w:val="28"/>
        </w:rPr>
        <w:t>）。</w:t>
      </w:r>
    </w:p>
    <w:p>
      <w:pPr>
        <w:pStyle w:val="2"/>
        <w:keepNext w:val="0"/>
        <w:keepLines w:val="0"/>
        <w:pageBreakBefore w:val="0"/>
        <w:widowControl w:val="0"/>
        <w:kinsoku/>
        <w:overflowPunct/>
        <w:topLinePunct w:val="0"/>
        <w:autoSpaceDE w:val="0"/>
        <w:autoSpaceDN w:val="0"/>
        <w:bidi w:val="0"/>
        <w:adjustRightInd/>
        <w:snapToGrid/>
        <w:spacing w:after="10" w:line="360" w:lineRule="auto"/>
        <w:ind w:left="141" w:leftChars="64" w:right="319" w:rightChars="145"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rPr>
        <w:t>在</w:t>
      </w:r>
      <w:r>
        <w:rPr>
          <w:rFonts w:hint="eastAsia" w:ascii="仿宋" w:hAnsi="仿宋" w:eastAsia="仿宋" w:cs="仿宋"/>
          <w:sz w:val="28"/>
          <w:szCs w:val="28"/>
          <w:lang w:eastAsia="zh-CN"/>
        </w:rPr>
        <w:t>上述</w:t>
      </w:r>
      <w:r>
        <w:rPr>
          <w:rFonts w:hint="eastAsia" w:ascii="仿宋" w:hAnsi="仿宋" w:eastAsia="仿宋" w:cs="仿宋"/>
          <w:sz w:val="28"/>
          <w:szCs w:val="28"/>
        </w:rPr>
        <w:t>期限内已申报的，</w:t>
      </w:r>
      <w:r>
        <w:rPr>
          <w:rFonts w:hint="eastAsia" w:ascii="仿宋" w:hAnsi="仿宋" w:eastAsia="仿宋" w:cs="仿宋"/>
          <w:sz w:val="28"/>
          <w:szCs w:val="28"/>
          <w:lang w:eastAsia="zh-CN"/>
        </w:rPr>
        <w:t>由临时</w:t>
      </w:r>
      <w:r>
        <w:rPr>
          <w:rFonts w:hint="eastAsia" w:ascii="仿宋" w:hAnsi="仿宋" w:eastAsia="仿宋" w:cs="仿宋"/>
          <w:sz w:val="28"/>
          <w:szCs w:val="28"/>
        </w:rPr>
        <w:t>管理人进行</w:t>
      </w:r>
      <w:r>
        <w:rPr>
          <w:rFonts w:hint="eastAsia" w:ascii="仿宋" w:hAnsi="仿宋" w:eastAsia="仿宋" w:cs="仿宋"/>
          <w:sz w:val="28"/>
          <w:szCs w:val="28"/>
          <w:lang w:eastAsia="zh-CN"/>
        </w:rPr>
        <w:t>债权核查</w:t>
      </w:r>
      <w:r>
        <w:rPr>
          <w:rFonts w:hint="eastAsia" w:ascii="仿宋" w:hAnsi="仿宋" w:eastAsia="仿宋" w:cs="仿宋"/>
          <w:sz w:val="28"/>
          <w:szCs w:val="28"/>
        </w:rPr>
        <w:t>。未在上述期限内申报债权的，可以在破产财产最后分配前补充申报，</w:t>
      </w:r>
      <w:r>
        <w:rPr>
          <w:rFonts w:hint="eastAsia" w:ascii="仿宋" w:hAnsi="仿宋" w:eastAsia="仿宋" w:cs="仿宋"/>
          <w:sz w:val="28"/>
          <w:szCs w:val="28"/>
          <w:lang w:val="en-US" w:eastAsia="zh-CN"/>
        </w:rPr>
        <w:t>此前已进行的分配不再补充分配，同时仍需</w:t>
      </w:r>
      <w:r>
        <w:rPr>
          <w:rFonts w:hint="eastAsia" w:ascii="仿宋" w:hAnsi="仿宋" w:eastAsia="仿宋" w:cs="仿宋"/>
          <w:sz w:val="28"/>
          <w:szCs w:val="28"/>
        </w:rPr>
        <w:t>承担为审查和确认补充申报债权所产生的费用。未依法申报债权的，不得依照《中华人民共和国企业破产法》规定的程序行使权利。如后续</w:t>
      </w:r>
      <w:r>
        <w:rPr>
          <w:rFonts w:hint="eastAsia" w:ascii="仿宋" w:hAnsi="仿宋" w:eastAsia="仿宋" w:cs="仿宋"/>
          <w:sz w:val="28"/>
          <w:szCs w:val="28"/>
          <w:lang w:val="en-US" w:eastAsia="zh-Hans"/>
        </w:rPr>
        <w:t>西安市中级</w:t>
      </w:r>
      <w:r>
        <w:rPr>
          <w:rFonts w:hint="eastAsia" w:ascii="仿宋" w:hAnsi="仿宋" w:eastAsia="仿宋" w:cs="仿宋"/>
          <w:sz w:val="28"/>
          <w:szCs w:val="28"/>
        </w:rPr>
        <w:t>人民法院裁定受理</w:t>
      </w:r>
      <w:r>
        <w:rPr>
          <w:rFonts w:hint="eastAsia" w:ascii="仿宋" w:hAnsi="仿宋" w:eastAsia="仿宋" w:cs="仿宋"/>
          <w:sz w:val="28"/>
          <w:szCs w:val="28"/>
          <w:lang w:val="en-US" w:eastAsia="zh-CN"/>
        </w:rPr>
        <w:t>陕西宝迪名品商业管理有限公司等五家公司</w:t>
      </w:r>
      <w:r>
        <w:rPr>
          <w:rFonts w:hint="eastAsia" w:ascii="仿宋" w:hAnsi="仿宋" w:eastAsia="仿宋" w:cs="仿宋"/>
          <w:sz w:val="28"/>
          <w:szCs w:val="28"/>
          <w:lang w:eastAsia="zh-CN"/>
        </w:rPr>
        <w:t>的</w:t>
      </w:r>
      <w:r>
        <w:rPr>
          <w:rFonts w:hint="eastAsia" w:ascii="仿宋" w:hAnsi="仿宋" w:eastAsia="仿宋" w:cs="仿宋"/>
          <w:sz w:val="28"/>
          <w:szCs w:val="28"/>
        </w:rPr>
        <w:t>重整，债权人无需再另行申报债权</w:t>
      </w:r>
      <w:r>
        <w:rPr>
          <w:rFonts w:hint="eastAsia" w:ascii="仿宋" w:hAnsi="仿宋" w:eastAsia="仿宋" w:cs="仿宋"/>
          <w:sz w:val="28"/>
          <w:szCs w:val="28"/>
          <w:lang w:eastAsia="zh-CN"/>
        </w:rPr>
        <w:t>。</w:t>
      </w:r>
    </w:p>
    <w:p>
      <w:pPr>
        <w:pStyle w:val="2"/>
        <w:keepNext w:val="0"/>
        <w:keepLines w:val="0"/>
        <w:pageBreakBefore w:val="0"/>
        <w:widowControl w:val="0"/>
        <w:kinsoku/>
        <w:overflowPunct/>
        <w:topLinePunct w:val="0"/>
        <w:autoSpaceDE w:val="0"/>
        <w:autoSpaceDN w:val="0"/>
        <w:bidi w:val="0"/>
        <w:adjustRightInd/>
        <w:snapToGrid/>
        <w:spacing w:after="10" w:line="360" w:lineRule="auto"/>
        <w:ind w:left="141" w:leftChars="64" w:right="319" w:rightChars="145"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对于申报债权所涉利息，暂计算至预重整申请受理之日（2022年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5</w:t>
      </w:r>
      <w:r>
        <w:rPr>
          <w:rFonts w:hint="eastAsia" w:ascii="仿宋" w:hAnsi="仿宋" w:eastAsia="仿宋" w:cs="仿宋"/>
          <w:sz w:val="28"/>
          <w:szCs w:val="28"/>
        </w:rPr>
        <w:t>日），预重整受理之日至重整受理之日的利息待重整受理之日确定后另行计算</w:t>
      </w:r>
      <w:r>
        <w:rPr>
          <w:rFonts w:hint="eastAsia" w:ascii="仿宋" w:hAnsi="仿宋" w:eastAsia="仿宋" w:cs="仿宋"/>
          <w:sz w:val="28"/>
          <w:szCs w:val="28"/>
          <w:lang w:eastAsia="zh-CN"/>
        </w:rPr>
        <w:t>，</w:t>
      </w:r>
      <w:r>
        <w:rPr>
          <w:rFonts w:hint="eastAsia" w:ascii="仿宋" w:hAnsi="仿宋" w:eastAsia="仿宋" w:cs="仿宋"/>
          <w:sz w:val="28"/>
          <w:szCs w:val="28"/>
          <w:highlight w:val="none"/>
          <w:lang w:val="en-US" w:eastAsia="zh-CN"/>
        </w:rPr>
        <w:t>已申报对宝迪名品商业管理有限公司享有债权的不再另行申报</w:t>
      </w:r>
      <w:r>
        <w:rPr>
          <w:rFonts w:hint="eastAsia" w:ascii="仿宋" w:hAnsi="仿宋" w:eastAsia="仿宋" w:cs="仿宋"/>
          <w:sz w:val="28"/>
          <w:szCs w:val="28"/>
          <w:highlight w:val="none"/>
        </w:rPr>
        <w:t>。</w:t>
      </w:r>
      <w:r>
        <w:rPr>
          <w:rFonts w:hint="eastAsia" w:ascii="仿宋" w:hAnsi="仿宋" w:eastAsia="仿宋" w:cs="仿宋"/>
          <w:sz w:val="28"/>
          <w:szCs w:val="28"/>
        </w:rPr>
        <w:t>债权人对</w:t>
      </w:r>
      <w:r>
        <w:rPr>
          <w:rFonts w:hint="eastAsia" w:ascii="仿宋" w:hAnsi="仿宋" w:eastAsia="仿宋" w:cs="仿宋"/>
          <w:sz w:val="28"/>
          <w:szCs w:val="28"/>
          <w:lang w:eastAsia="zh-CN"/>
        </w:rPr>
        <w:t>陕西宝迪名品商业管理有限公司等五家公司</w:t>
      </w:r>
      <w:r>
        <w:rPr>
          <w:rFonts w:hint="eastAsia" w:ascii="仿宋" w:hAnsi="仿宋" w:eastAsia="仿宋" w:cs="仿宋"/>
          <w:sz w:val="28"/>
          <w:szCs w:val="28"/>
        </w:rPr>
        <w:t>享有的债权金额和债权性质最终以</w:t>
      </w:r>
      <w:r>
        <w:rPr>
          <w:rFonts w:hint="eastAsia" w:ascii="仿宋" w:hAnsi="仿宋" w:eastAsia="仿宋" w:cs="仿宋"/>
          <w:sz w:val="28"/>
          <w:szCs w:val="28"/>
          <w:lang w:val="en-US" w:eastAsia="zh-Hans"/>
        </w:rPr>
        <w:t>西安市中级</w:t>
      </w:r>
      <w:r>
        <w:rPr>
          <w:rFonts w:hint="eastAsia" w:ascii="仿宋" w:hAnsi="仿宋" w:eastAsia="仿宋" w:cs="仿宋"/>
          <w:sz w:val="28"/>
          <w:szCs w:val="28"/>
        </w:rPr>
        <w:t>人民法院的裁定结果为准。</w:t>
      </w:r>
    </w:p>
    <w:p>
      <w:pPr>
        <w:pStyle w:val="2"/>
        <w:keepNext w:val="0"/>
        <w:keepLines w:val="0"/>
        <w:pageBreakBefore w:val="0"/>
        <w:widowControl w:val="0"/>
        <w:kinsoku/>
        <w:overflowPunct/>
        <w:topLinePunct w:val="0"/>
        <w:autoSpaceDE w:val="0"/>
        <w:autoSpaceDN w:val="0"/>
        <w:bidi w:val="0"/>
        <w:adjustRightInd/>
        <w:snapToGrid/>
        <w:spacing w:after="10" w:line="360" w:lineRule="auto"/>
        <w:ind w:left="141" w:leftChars="64" w:right="319" w:rightChars="145"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highlight w:val="none"/>
          <w:lang w:val="en-US" w:eastAsia="zh-CN"/>
        </w:rPr>
        <w:t>若法院受理重整申请，则受理后除债权人另有证据支持外，不得对合并预重整期间经债权人确认无异议的债权提出异议。</w:t>
      </w:r>
      <w:r>
        <w:rPr>
          <w:rFonts w:hint="eastAsia" w:ascii="仿宋" w:hAnsi="仿宋" w:eastAsia="仿宋" w:cs="仿宋"/>
          <w:sz w:val="28"/>
          <w:szCs w:val="28"/>
        </w:rPr>
        <w:t>重整计划草案的内容与预重整方案内容一致或有关权利人的权益更趋优化的，有关出资人、债权人对预重整方案的同意视为对该重整计划草案表决的同意，但下列情形除外：</w:t>
      </w:r>
    </w:p>
    <w:p>
      <w:pPr>
        <w:pStyle w:val="2"/>
        <w:keepNext w:val="0"/>
        <w:keepLines w:val="0"/>
        <w:pageBreakBefore w:val="0"/>
        <w:widowControl w:val="0"/>
        <w:kinsoku/>
        <w:overflowPunct/>
        <w:topLinePunct w:val="0"/>
        <w:autoSpaceDE w:val="0"/>
        <w:autoSpaceDN w:val="0"/>
        <w:bidi w:val="0"/>
        <w:adjustRightInd/>
        <w:snapToGrid/>
        <w:spacing w:after="10" w:line="360" w:lineRule="auto"/>
        <w:ind w:left="141" w:leftChars="64" w:right="319" w:rightChars="145"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（一）重整计划草案对预重整方案内容进行了修改并对有关权利人有不利影响，或者与有关权利人重大利益相关的，受到影响的权利人有权按照企业破产法的规定对重整计划草案重新进行表决；</w:t>
      </w:r>
    </w:p>
    <w:p>
      <w:pPr>
        <w:pStyle w:val="2"/>
        <w:keepNext w:val="0"/>
        <w:keepLines w:val="0"/>
        <w:pageBreakBefore w:val="0"/>
        <w:widowControl w:val="0"/>
        <w:kinsoku/>
        <w:overflowPunct/>
        <w:topLinePunct w:val="0"/>
        <w:autoSpaceDE w:val="0"/>
        <w:autoSpaceDN w:val="0"/>
        <w:bidi w:val="0"/>
        <w:adjustRightInd/>
        <w:snapToGrid/>
        <w:spacing w:after="10" w:line="360" w:lineRule="auto"/>
        <w:ind w:left="141" w:leftChars="64" w:right="319" w:rightChars="145"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（二）预重整方案表决前债务人隐瞒重要信息、披露虚假信息，以及预重整方案表决后出现重大变化的，受到实质性影响的权利人有权按照企业破产法的规定对重整计划草案重新进行表决。</w:t>
      </w:r>
    </w:p>
    <w:p>
      <w:pPr>
        <w:pStyle w:val="2"/>
        <w:keepNext w:val="0"/>
        <w:keepLines w:val="0"/>
        <w:pageBreakBefore w:val="0"/>
        <w:widowControl w:val="0"/>
        <w:kinsoku/>
        <w:overflowPunct/>
        <w:topLinePunct w:val="0"/>
        <w:autoSpaceDE w:val="0"/>
        <w:autoSpaceDN w:val="0"/>
        <w:bidi w:val="0"/>
        <w:adjustRightInd/>
        <w:snapToGrid/>
        <w:spacing w:after="10" w:line="360" w:lineRule="auto"/>
        <w:ind w:left="141" w:leftChars="64" w:right="319" w:rightChars="145" w:firstLine="554" w:firstLineChars="198"/>
        <w:jc w:val="both"/>
        <w:textAlignment w:val="auto"/>
        <w:rPr>
          <w:rFonts w:hint="eastAsia" w:ascii="仿宋" w:hAnsi="仿宋" w:eastAsia="仿宋" w:cs="仿宋"/>
          <w:sz w:val="28"/>
          <w:szCs w:val="28"/>
        </w:rPr>
      </w:pPr>
      <w:r>
        <w:rPr>
          <w:rFonts w:hint="eastAsia" w:ascii="仿宋" w:hAnsi="仿宋" w:eastAsia="仿宋" w:cs="仿宋"/>
          <w:sz w:val="28"/>
          <w:szCs w:val="28"/>
        </w:rPr>
        <w:t>如预重整期间需召开债权人会议的，相关事项届时将另行公告。</w:t>
      </w:r>
    </w:p>
    <w:p>
      <w:pPr>
        <w:pStyle w:val="2"/>
        <w:keepNext w:val="0"/>
        <w:keepLines w:val="0"/>
        <w:pageBreakBefore w:val="0"/>
        <w:widowControl w:val="0"/>
        <w:kinsoku/>
        <w:overflowPunct/>
        <w:topLinePunct w:val="0"/>
        <w:autoSpaceDE w:val="0"/>
        <w:autoSpaceDN w:val="0"/>
        <w:bidi w:val="0"/>
        <w:adjustRightInd/>
        <w:snapToGrid/>
        <w:spacing w:after="10" w:line="360" w:lineRule="auto"/>
        <w:ind w:left="141" w:leftChars="64" w:right="319" w:rightChars="145"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特此通知</w:t>
      </w:r>
    </w:p>
    <w:p>
      <w:pPr>
        <w:rPr>
          <w:rFonts w:hint="eastAsia"/>
        </w:rPr>
      </w:pPr>
    </w:p>
    <w:p>
      <w:pPr>
        <w:pStyle w:val="2"/>
        <w:keepNext w:val="0"/>
        <w:keepLines w:val="0"/>
        <w:pageBreakBefore w:val="0"/>
        <w:widowControl w:val="0"/>
        <w:kinsoku/>
        <w:wordWrap w:val="0"/>
        <w:overflowPunct/>
        <w:topLinePunct w:val="0"/>
        <w:autoSpaceDE w:val="0"/>
        <w:autoSpaceDN w:val="0"/>
        <w:bidi w:val="0"/>
        <w:adjustRightInd/>
        <w:snapToGrid/>
        <w:spacing w:after="10" w:line="360" w:lineRule="auto"/>
        <w:ind w:left="141" w:leftChars="64" w:right="163" w:rightChars="74"/>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zh-TW" w:eastAsia="zh-CN"/>
        </w:rPr>
        <w:t>陕西宝迪名品商业管理有限公司</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val="zh-TW" w:eastAsia="zh-CN"/>
        </w:rPr>
        <w:t>西安宝迪工贸有限责任公司</w:t>
      </w:r>
    </w:p>
    <w:p>
      <w:pPr>
        <w:pStyle w:val="2"/>
        <w:keepNext w:val="0"/>
        <w:keepLines w:val="0"/>
        <w:pageBreakBefore w:val="0"/>
        <w:widowControl w:val="0"/>
        <w:kinsoku/>
        <w:wordWrap w:val="0"/>
        <w:overflowPunct/>
        <w:topLinePunct w:val="0"/>
        <w:autoSpaceDE w:val="0"/>
        <w:autoSpaceDN w:val="0"/>
        <w:bidi w:val="0"/>
        <w:adjustRightInd/>
        <w:snapToGrid/>
        <w:spacing w:after="10" w:line="360" w:lineRule="auto"/>
        <w:ind w:left="141" w:leftChars="64" w:right="163" w:rightChars="74"/>
        <w:jc w:val="righ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zh-TW" w:eastAsia="zh-CN"/>
        </w:rPr>
        <w:t>陕西宝迪国际贸易发展有限公司</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val="zh-TW" w:eastAsia="zh-CN"/>
        </w:rPr>
        <w:t>西安缇雅服饰有限公司</w:t>
      </w:r>
    </w:p>
    <w:p>
      <w:pPr>
        <w:pStyle w:val="2"/>
        <w:keepNext w:val="0"/>
        <w:keepLines w:val="0"/>
        <w:pageBreakBefore w:val="0"/>
        <w:widowControl w:val="0"/>
        <w:kinsoku/>
        <w:wordWrap w:val="0"/>
        <w:overflowPunct/>
        <w:topLinePunct w:val="0"/>
        <w:autoSpaceDE w:val="0"/>
        <w:autoSpaceDN w:val="0"/>
        <w:bidi w:val="0"/>
        <w:adjustRightInd/>
        <w:snapToGrid/>
        <w:spacing w:after="10" w:line="360" w:lineRule="auto"/>
        <w:ind w:left="141" w:leftChars="64" w:right="163" w:rightChars="74"/>
        <w:jc w:val="right"/>
        <w:textAlignment w:val="auto"/>
        <w:rPr>
          <w:rFonts w:hint="eastAsia" w:ascii="仿宋" w:hAnsi="仿宋" w:eastAsia="仿宋" w:cs="仿宋"/>
          <w:sz w:val="28"/>
          <w:szCs w:val="28"/>
          <w:lang w:eastAsia="zh-CN"/>
        </w:rPr>
      </w:pPr>
      <w:r>
        <w:rPr>
          <w:rFonts w:hint="eastAsia" w:ascii="仿宋" w:hAnsi="仿宋" w:eastAsia="仿宋" w:cs="仿宋"/>
          <w:sz w:val="28"/>
          <w:szCs w:val="28"/>
          <w:lang w:val="zh-TW" w:eastAsia="zh-CN"/>
        </w:rPr>
        <w:t>陕西泰乐健康文化科技有限公司</w:t>
      </w:r>
    </w:p>
    <w:p>
      <w:pPr>
        <w:pStyle w:val="2"/>
        <w:keepNext w:val="0"/>
        <w:keepLines w:val="0"/>
        <w:pageBreakBefore w:val="0"/>
        <w:widowControl w:val="0"/>
        <w:kinsoku/>
        <w:wordWrap w:val="0"/>
        <w:overflowPunct/>
        <w:topLinePunct w:val="0"/>
        <w:autoSpaceDE w:val="0"/>
        <w:autoSpaceDN w:val="0"/>
        <w:bidi w:val="0"/>
        <w:adjustRightInd/>
        <w:snapToGrid/>
        <w:spacing w:after="10" w:line="360" w:lineRule="auto"/>
        <w:ind w:left="141" w:leftChars="64" w:right="163" w:rightChars="74"/>
        <w:jc w:val="righ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预重整</w:t>
      </w:r>
      <w:r>
        <w:rPr>
          <w:rFonts w:hint="eastAsia" w:ascii="仿宋" w:hAnsi="仿宋" w:eastAsia="仿宋" w:cs="仿宋"/>
          <w:sz w:val="28"/>
          <w:szCs w:val="28"/>
        </w:rPr>
        <w:t>临时管理人</w:t>
      </w:r>
    </w:p>
    <w:p>
      <w:pPr>
        <w:pStyle w:val="2"/>
        <w:keepNext w:val="0"/>
        <w:keepLines w:val="0"/>
        <w:pageBreakBefore w:val="0"/>
        <w:widowControl w:val="0"/>
        <w:kinsoku/>
        <w:wordWrap w:val="0"/>
        <w:overflowPunct/>
        <w:topLinePunct w:val="0"/>
        <w:autoSpaceDE w:val="0"/>
        <w:autoSpaceDN w:val="0"/>
        <w:bidi w:val="0"/>
        <w:adjustRightInd/>
        <w:snapToGrid/>
        <w:spacing w:after="10" w:line="360" w:lineRule="auto"/>
        <w:ind w:left="141" w:leftChars="64" w:right="319" w:rightChars="145"/>
        <w:jc w:val="right"/>
        <w:textAlignment w:val="auto"/>
        <w:rPr>
          <w:rFonts w:asciiTheme="minorEastAsia" w:hAnsiTheme="minorEastAsia" w:eastAsiaTheme="minorEastAsia"/>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二〇二</w:t>
      </w:r>
      <w:r>
        <w:rPr>
          <w:rFonts w:hint="eastAsia" w:ascii="仿宋" w:hAnsi="仿宋" w:eastAsia="仿宋" w:cs="仿宋"/>
          <w:sz w:val="28"/>
          <w:szCs w:val="28"/>
          <w:lang w:eastAsia="zh-CN"/>
        </w:rPr>
        <w:t>二</w:t>
      </w:r>
      <w:r>
        <w:rPr>
          <w:rFonts w:hint="eastAsia" w:ascii="仿宋" w:hAnsi="仿宋" w:eastAsia="仿宋" w:cs="仿宋"/>
          <w:sz w:val="28"/>
          <w:szCs w:val="28"/>
        </w:rPr>
        <w:t>年</w:t>
      </w:r>
      <w:r>
        <w:rPr>
          <w:rFonts w:hint="eastAsia" w:ascii="仿宋" w:hAnsi="仿宋" w:eastAsia="仿宋" w:cs="仿宋"/>
          <w:sz w:val="28"/>
          <w:szCs w:val="28"/>
          <w:lang w:val="en-US" w:eastAsia="zh-CN"/>
        </w:rPr>
        <w:t>十二</w:t>
      </w:r>
      <w:r>
        <w:rPr>
          <w:rFonts w:hint="eastAsia" w:ascii="仿宋" w:hAnsi="仿宋" w:eastAsia="仿宋" w:cs="仿宋"/>
          <w:sz w:val="28"/>
          <w:szCs w:val="28"/>
        </w:rPr>
        <w:t>月</w:t>
      </w:r>
      <w:r>
        <w:rPr>
          <w:rFonts w:hint="eastAsia" w:ascii="仿宋" w:hAnsi="仿宋" w:eastAsia="仿宋" w:cs="仿宋"/>
          <w:sz w:val="28"/>
          <w:szCs w:val="28"/>
          <w:lang w:eastAsia="zh-CN"/>
        </w:rPr>
        <w:t>十</w:t>
      </w:r>
      <w:r>
        <w:rPr>
          <w:rFonts w:hint="eastAsia" w:ascii="仿宋" w:hAnsi="仿宋" w:eastAsia="仿宋" w:cs="仿宋"/>
          <w:sz w:val="28"/>
          <w:szCs w:val="28"/>
          <w:lang w:val="en-US" w:eastAsia="zh-CN"/>
        </w:rPr>
        <w:t>四</w:t>
      </w:r>
      <w:r>
        <w:rPr>
          <w:rFonts w:hint="eastAsia" w:ascii="仿宋" w:hAnsi="仿宋" w:eastAsia="仿宋" w:cs="仿宋"/>
          <w:sz w:val="28"/>
          <w:szCs w:val="28"/>
        </w:rPr>
        <w:t>日</w:t>
      </w:r>
      <w:bookmarkEnd w:id="0"/>
    </w:p>
    <w:p>
      <w:pPr>
        <w:pStyle w:val="12"/>
        <w:spacing w:after="140" w:line="240" w:lineRule="auto"/>
        <w:ind w:left="0" w:leftChars="0" w:firstLine="1509" w:firstLineChars="628"/>
        <w:jc w:val="both"/>
        <w:rPr>
          <w:rFonts w:hint="eastAsia" w:ascii="华文楷体" w:hAnsi="华文楷体" w:eastAsia="华文楷体" w:cs="仿宋"/>
          <w:b/>
          <w:bCs/>
          <w:color w:val="auto"/>
          <w:sz w:val="24"/>
          <w:szCs w:val="24"/>
          <w:lang w:val="en-US" w:eastAsia="zh-CN"/>
        </w:rPr>
      </w:pPr>
    </w:p>
    <w:p>
      <w:pPr>
        <w:pStyle w:val="12"/>
        <w:spacing w:after="140" w:line="240" w:lineRule="auto"/>
        <w:ind w:left="0" w:leftChars="0" w:firstLine="1509" w:firstLineChars="628"/>
        <w:jc w:val="both"/>
        <w:rPr>
          <w:rFonts w:hint="eastAsia" w:ascii="华文楷体" w:hAnsi="华文楷体" w:eastAsia="华文楷体" w:cs="仿宋"/>
          <w:b/>
          <w:bCs/>
          <w:color w:val="auto"/>
          <w:sz w:val="24"/>
          <w:szCs w:val="24"/>
          <w:lang w:val="en-US" w:eastAsia="zh-CN"/>
        </w:rPr>
      </w:pPr>
    </w:p>
    <w:p>
      <w:pPr>
        <w:pStyle w:val="12"/>
        <w:spacing w:after="140" w:line="240" w:lineRule="auto"/>
        <w:ind w:left="0" w:leftChars="0" w:firstLine="1509" w:firstLineChars="628"/>
        <w:jc w:val="both"/>
        <w:rPr>
          <w:rFonts w:hint="eastAsia" w:ascii="华文楷体" w:hAnsi="华文楷体" w:eastAsia="华文楷体" w:cs="仿宋"/>
          <w:b/>
          <w:bCs/>
          <w:color w:val="auto"/>
          <w:sz w:val="24"/>
          <w:szCs w:val="24"/>
          <w:lang w:val="en-US" w:eastAsia="zh-CN"/>
        </w:rPr>
      </w:pPr>
    </w:p>
    <w:p>
      <w:pPr>
        <w:pStyle w:val="12"/>
        <w:spacing w:after="140" w:line="240" w:lineRule="auto"/>
        <w:ind w:left="0" w:leftChars="0" w:firstLine="1509" w:firstLineChars="628"/>
        <w:jc w:val="both"/>
        <w:rPr>
          <w:rFonts w:hint="eastAsia" w:ascii="华文楷体" w:hAnsi="华文楷体" w:eastAsia="华文楷体" w:cs="仿宋"/>
          <w:b/>
          <w:bCs/>
          <w:color w:val="auto"/>
          <w:sz w:val="24"/>
          <w:szCs w:val="24"/>
          <w:lang w:val="en-US" w:eastAsia="zh-CN"/>
        </w:rPr>
      </w:pPr>
    </w:p>
    <w:p>
      <w:pPr>
        <w:pStyle w:val="12"/>
        <w:spacing w:after="140" w:line="240" w:lineRule="auto"/>
        <w:ind w:left="0" w:leftChars="0" w:firstLine="1758" w:firstLineChars="628"/>
        <w:jc w:val="both"/>
        <w:rPr>
          <w:rFonts w:hint="eastAsia" w:ascii="华文楷体" w:hAnsi="华文楷体" w:eastAsia="华文楷体" w:cs="仿宋"/>
          <w:b/>
          <w:bCs/>
          <w:color w:val="auto"/>
          <w:sz w:val="24"/>
          <w:szCs w:val="24"/>
          <w:lang w:val="en-US" w:eastAsia="zh-CN"/>
        </w:rPr>
      </w:pPr>
      <w:r>
        <w:rPr>
          <w:rFonts w:asciiTheme="minorEastAsia" w:hAnsiTheme="minorEastAsia" w:eastAsiaTheme="minorEastAsia"/>
        </w:rPr>
        <w:drawing>
          <wp:anchor distT="0" distB="0" distL="0" distR="0" simplePos="0" relativeHeight="251662336" behindDoc="0" locked="0" layoutInCell="1" allowOverlap="1">
            <wp:simplePos x="0" y="0"/>
            <wp:positionH relativeFrom="column">
              <wp:posOffset>1270000</wp:posOffset>
            </wp:positionH>
            <wp:positionV relativeFrom="paragraph">
              <wp:posOffset>133350</wp:posOffset>
            </wp:positionV>
            <wp:extent cx="2570480" cy="3116580"/>
            <wp:effectExtent l="0" t="0" r="1270" b="7620"/>
            <wp:wrapSquare wrapText="bothSides"/>
            <wp:docPr id="2" name="图片 2" descr="C:\Users\18473\Desktop\星王债权申报二维码.png星王债权申报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18473\Desktop\星王债权申报二维码.png星王债权申报二维码"/>
                    <pic:cNvPicPr>
                      <a:picLocks noChangeAspect="1"/>
                    </pic:cNvPicPr>
                  </pic:nvPicPr>
                  <pic:blipFill>
                    <a:blip r:embed="rId6"/>
                    <a:srcRect/>
                    <a:stretch>
                      <a:fillRect/>
                    </a:stretch>
                  </pic:blipFill>
                  <pic:spPr>
                    <a:xfrm>
                      <a:off x="0" y="0"/>
                      <a:ext cx="2570480" cy="3116580"/>
                    </a:xfrm>
                    <a:prstGeom prst="rect">
                      <a:avLst/>
                    </a:prstGeom>
                  </pic:spPr>
                </pic:pic>
              </a:graphicData>
            </a:graphic>
          </wp:anchor>
        </w:drawing>
      </w:r>
    </w:p>
    <w:p>
      <w:pPr>
        <w:pStyle w:val="12"/>
        <w:spacing w:after="140" w:line="240" w:lineRule="auto"/>
        <w:ind w:left="0" w:leftChars="0" w:firstLine="1509" w:firstLineChars="628"/>
        <w:jc w:val="both"/>
        <w:rPr>
          <w:rFonts w:hint="eastAsia" w:ascii="华文楷体" w:hAnsi="华文楷体" w:eastAsia="华文楷体" w:cs="仿宋"/>
          <w:b/>
          <w:bCs/>
          <w:color w:val="auto"/>
          <w:sz w:val="24"/>
          <w:szCs w:val="24"/>
          <w:lang w:val="en-US" w:eastAsia="zh-CN"/>
        </w:rPr>
      </w:pPr>
    </w:p>
    <w:p>
      <w:pPr>
        <w:pStyle w:val="12"/>
        <w:spacing w:after="140" w:line="240" w:lineRule="auto"/>
        <w:ind w:left="0" w:leftChars="0" w:firstLine="1509" w:firstLineChars="628"/>
        <w:jc w:val="both"/>
        <w:rPr>
          <w:rFonts w:hint="eastAsia" w:ascii="华文楷体" w:hAnsi="华文楷体" w:eastAsia="华文楷体" w:cs="仿宋"/>
          <w:b/>
          <w:bCs/>
          <w:color w:val="auto"/>
          <w:sz w:val="24"/>
          <w:szCs w:val="24"/>
          <w:lang w:val="en-US" w:eastAsia="zh-CN"/>
        </w:rPr>
      </w:pPr>
    </w:p>
    <w:p>
      <w:pPr>
        <w:pStyle w:val="12"/>
        <w:spacing w:after="140" w:line="240" w:lineRule="auto"/>
        <w:ind w:left="0" w:leftChars="0" w:firstLine="1509" w:firstLineChars="628"/>
        <w:jc w:val="both"/>
        <w:rPr>
          <w:rFonts w:hint="eastAsia" w:ascii="华文楷体" w:hAnsi="华文楷体" w:eastAsia="华文楷体" w:cs="仿宋"/>
          <w:b/>
          <w:bCs/>
          <w:color w:val="auto"/>
          <w:sz w:val="24"/>
          <w:szCs w:val="24"/>
          <w:lang w:val="en-US" w:eastAsia="zh-CN"/>
        </w:rPr>
      </w:pPr>
    </w:p>
    <w:p>
      <w:pPr>
        <w:pStyle w:val="12"/>
        <w:spacing w:after="140" w:line="240" w:lineRule="auto"/>
        <w:ind w:left="0" w:leftChars="0" w:firstLine="0" w:firstLineChars="0"/>
        <w:jc w:val="center"/>
        <w:rPr>
          <w:rFonts w:hint="eastAsia" w:ascii="华文楷体" w:hAnsi="华文楷体" w:eastAsia="华文楷体" w:cs="仿宋"/>
          <w:b/>
          <w:bCs/>
          <w:color w:val="auto"/>
          <w:sz w:val="24"/>
          <w:szCs w:val="24"/>
          <w:lang w:val="en-US" w:eastAsia="zh-CN"/>
        </w:rPr>
      </w:pPr>
    </w:p>
    <w:p>
      <w:pPr>
        <w:pStyle w:val="12"/>
        <w:spacing w:after="140" w:line="240" w:lineRule="auto"/>
        <w:ind w:left="0" w:leftChars="0" w:firstLine="0" w:firstLineChars="0"/>
        <w:jc w:val="center"/>
        <w:rPr>
          <w:rFonts w:hint="eastAsia" w:ascii="华文楷体" w:hAnsi="华文楷体" w:eastAsia="华文楷体" w:cs="仿宋"/>
          <w:b/>
          <w:bCs/>
          <w:color w:val="auto"/>
          <w:sz w:val="24"/>
          <w:szCs w:val="24"/>
          <w:lang w:val="en-US" w:eastAsia="zh-CN"/>
        </w:rPr>
      </w:pPr>
    </w:p>
    <w:p>
      <w:pPr>
        <w:pStyle w:val="12"/>
        <w:spacing w:after="140" w:line="240" w:lineRule="auto"/>
        <w:ind w:left="0" w:leftChars="0" w:firstLine="0" w:firstLineChars="0"/>
        <w:jc w:val="center"/>
        <w:rPr>
          <w:rFonts w:hint="eastAsia" w:ascii="华文楷体" w:hAnsi="华文楷体" w:eastAsia="华文楷体" w:cs="仿宋"/>
          <w:b/>
          <w:bCs/>
          <w:color w:val="auto"/>
          <w:sz w:val="24"/>
          <w:szCs w:val="24"/>
          <w:lang w:val="en-US" w:eastAsia="zh-CN"/>
        </w:rPr>
      </w:pPr>
    </w:p>
    <w:p>
      <w:pPr>
        <w:pStyle w:val="12"/>
        <w:spacing w:after="140" w:line="240" w:lineRule="auto"/>
        <w:ind w:left="0" w:leftChars="0" w:firstLine="0" w:firstLineChars="0"/>
        <w:jc w:val="center"/>
        <w:rPr>
          <w:rFonts w:hint="eastAsia" w:ascii="华文楷体" w:hAnsi="华文楷体" w:eastAsia="华文楷体" w:cs="仿宋"/>
          <w:b/>
          <w:bCs/>
          <w:color w:val="auto"/>
          <w:sz w:val="24"/>
          <w:szCs w:val="24"/>
          <w:lang w:val="en-US" w:eastAsia="zh-CN"/>
        </w:rPr>
      </w:pPr>
    </w:p>
    <w:p>
      <w:pPr>
        <w:pStyle w:val="12"/>
        <w:spacing w:after="140" w:line="240" w:lineRule="auto"/>
        <w:ind w:left="0" w:leftChars="0" w:firstLine="0" w:firstLineChars="0"/>
        <w:jc w:val="center"/>
        <w:rPr>
          <w:rFonts w:hint="eastAsia" w:ascii="华文楷体" w:hAnsi="华文楷体" w:eastAsia="华文楷体" w:cs="仿宋"/>
          <w:b/>
          <w:bCs/>
          <w:color w:val="auto"/>
          <w:sz w:val="24"/>
          <w:szCs w:val="24"/>
          <w:lang w:val="en-US" w:eastAsia="zh-CN"/>
        </w:rPr>
      </w:pPr>
    </w:p>
    <w:p>
      <w:pPr>
        <w:pStyle w:val="12"/>
        <w:spacing w:after="140" w:line="240" w:lineRule="auto"/>
        <w:ind w:left="0" w:leftChars="0" w:firstLine="0" w:firstLineChars="0"/>
        <w:jc w:val="center"/>
        <w:rPr>
          <w:rFonts w:hint="eastAsia" w:ascii="华文楷体" w:hAnsi="华文楷体" w:eastAsia="华文楷体" w:cs="仿宋"/>
          <w:b/>
          <w:bCs/>
          <w:color w:val="auto"/>
          <w:sz w:val="24"/>
          <w:szCs w:val="24"/>
          <w:lang w:val="en-US" w:eastAsia="zh-CN"/>
        </w:rPr>
      </w:pPr>
    </w:p>
    <w:p>
      <w:pPr>
        <w:pStyle w:val="12"/>
        <w:spacing w:after="140" w:line="240" w:lineRule="auto"/>
        <w:ind w:left="0" w:leftChars="0" w:firstLine="0" w:firstLineChars="0"/>
        <w:jc w:val="center"/>
        <w:rPr>
          <w:rFonts w:hint="eastAsia" w:ascii="华文楷体" w:hAnsi="华文楷体" w:eastAsia="华文楷体" w:cs="仿宋"/>
          <w:b/>
          <w:bCs/>
          <w:color w:val="auto"/>
          <w:sz w:val="24"/>
          <w:szCs w:val="24"/>
          <w:lang w:val="en-US" w:eastAsia="zh-CN"/>
        </w:rPr>
      </w:pPr>
    </w:p>
    <w:p>
      <w:pPr>
        <w:pStyle w:val="12"/>
        <w:spacing w:after="140" w:line="240" w:lineRule="auto"/>
        <w:ind w:left="0" w:leftChars="0" w:firstLine="0" w:firstLineChars="0"/>
        <w:jc w:val="center"/>
        <w:rPr>
          <w:rFonts w:hint="eastAsia" w:ascii="华文楷体" w:hAnsi="华文楷体" w:eastAsia="华文楷体" w:cs="仿宋"/>
          <w:b/>
          <w:bCs/>
          <w:color w:val="auto"/>
          <w:sz w:val="24"/>
          <w:szCs w:val="24"/>
          <w:lang w:val="en-US" w:eastAsia="zh-CN"/>
        </w:rPr>
      </w:pPr>
      <w:r>
        <w:rPr>
          <w:rFonts w:hint="eastAsia" w:ascii="华文楷体" w:hAnsi="华文楷体" w:eastAsia="华文楷体" w:cs="仿宋"/>
          <w:b/>
          <w:bCs/>
          <w:color w:val="auto"/>
          <w:sz w:val="24"/>
          <w:szCs w:val="24"/>
          <w:lang w:val="en-US" w:eastAsia="zh-CN"/>
        </w:rPr>
        <w:t>（手机微信扫描上方二维码，完成债权线上申报）</w:t>
      </w:r>
    </w:p>
    <w:p>
      <w:pPr>
        <w:pStyle w:val="12"/>
        <w:spacing w:after="140" w:line="240" w:lineRule="auto"/>
        <w:ind w:left="0" w:leftChars="0" w:firstLine="0" w:firstLineChars="0"/>
        <w:jc w:val="both"/>
        <w:rPr>
          <w:sz w:val="26"/>
        </w:rPr>
      </w:pPr>
    </w:p>
    <w:p>
      <w:pPr>
        <w:pStyle w:val="12"/>
        <w:spacing w:after="140" w:line="240" w:lineRule="auto"/>
        <w:ind w:left="0" w:leftChars="0" w:firstLine="0" w:firstLineChars="0"/>
        <w:jc w:val="both"/>
        <w:rPr>
          <w:sz w:val="26"/>
        </w:rPr>
      </w:pPr>
    </w:p>
    <w:p>
      <w:pPr>
        <w:pStyle w:val="12"/>
        <w:spacing w:after="140" w:line="240" w:lineRule="auto"/>
        <w:ind w:left="0" w:leftChars="0" w:firstLine="0" w:firstLineChars="0"/>
        <w:jc w:val="both"/>
        <w:rPr>
          <w:sz w:val="26"/>
        </w:rPr>
      </w:pPr>
    </w:p>
    <w:p>
      <w:pPr>
        <w:pStyle w:val="12"/>
        <w:spacing w:after="140" w:line="240" w:lineRule="auto"/>
        <w:ind w:left="0" w:leftChars="0" w:firstLine="0" w:firstLineChars="0"/>
        <w:jc w:val="both"/>
        <w:rPr>
          <w:sz w:val="26"/>
        </w:rPr>
      </w:pPr>
      <w:r>
        <w:rPr>
          <w:rFonts w:ascii="宋体" w:hAnsi="宋体" w:eastAsia="宋体"/>
          <w:sz w:val="28"/>
          <w:szCs w:val="28"/>
        </w:rPr>
        <w:drawing>
          <wp:anchor distT="0" distB="0" distL="114300" distR="114300" simplePos="0" relativeHeight="251659264" behindDoc="0" locked="0" layoutInCell="1" allowOverlap="1">
            <wp:simplePos x="0" y="0"/>
            <wp:positionH relativeFrom="margin">
              <wp:posOffset>1438275</wp:posOffset>
            </wp:positionH>
            <wp:positionV relativeFrom="paragraph">
              <wp:posOffset>99695</wp:posOffset>
            </wp:positionV>
            <wp:extent cx="2497455" cy="2846070"/>
            <wp:effectExtent l="0" t="0" r="17145" b="1143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2497455" cy="2846070"/>
                    </a:xfrm>
                    <a:prstGeom prst="rect">
                      <a:avLst/>
                    </a:prstGeom>
                  </pic:spPr>
                </pic:pic>
              </a:graphicData>
            </a:graphic>
          </wp:anchor>
        </w:drawing>
      </w:r>
    </w:p>
    <w:p>
      <w:pPr>
        <w:pStyle w:val="12"/>
        <w:spacing w:after="140" w:line="240" w:lineRule="auto"/>
        <w:ind w:left="0" w:leftChars="0" w:firstLine="0" w:firstLineChars="0"/>
        <w:jc w:val="both"/>
        <w:rPr>
          <w:sz w:val="26"/>
        </w:rPr>
      </w:pPr>
    </w:p>
    <w:p>
      <w:pPr>
        <w:pStyle w:val="12"/>
        <w:spacing w:after="140" w:line="240" w:lineRule="auto"/>
        <w:ind w:left="0" w:leftChars="0" w:firstLine="0" w:firstLineChars="0"/>
        <w:jc w:val="both"/>
        <w:rPr>
          <w:sz w:val="26"/>
        </w:rPr>
      </w:pPr>
    </w:p>
    <w:p>
      <w:pPr>
        <w:pStyle w:val="12"/>
        <w:spacing w:after="140" w:line="240" w:lineRule="auto"/>
        <w:ind w:left="0" w:leftChars="0" w:firstLine="0" w:firstLineChars="0"/>
        <w:jc w:val="both"/>
        <w:rPr>
          <w:sz w:val="26"/>
        </w:rPr>
      </w:pPr>
    </w:p>
    <w:p>
      <w:pPr>
        <w:pStyle w:val="12"/>
        <w:spacing w:after="140" w:line="240" w:lineRule="auto"/>
        <w:ind w:left="0" w:leftChars="0" w:firstLine="0" w:firstLineChars="0"/>
        <w:jc w:val="both"/>
        <w:rPr>
          <w:sz w:val="26"/>
        </w:rPr>
      </w:pPr>
    </w:p>
    <w:p>
      <w:pPr>
        <w:pStyle w:val="12"/>
        <w:spacing w:after="140" w:line="240" w:lineRule="auto"/>
        <w:ind w:left="0" w:leftChars="0" w:firstLine="1300" w:firstLineChars="500"/>
        <w:jc w:val="both"/>
        <w:rPr>
          <w:rFonts w:hint="eastAsia"/>
          <w:sz w:val="26"/>
          <w:lang w:eastAsia="zh-CN"/>
        </w:rPr>
      </w:pPr>
    </w:p>
    <w:p>
      <w:pPr>
        <w:pStyle w:val="12"/>
        <w:spacing w:after="140" w:line="240" w:lineRule="auto"/>
        <w:jc w:val="center"/>
        <w:rPr>
          <w:rFonts w:hint="eastAsia"/>
          <w:b/>
          <w:bCs/>
          <w:sz w:val="26"/>
          <w:lang w:eastAsia="zh-CN"/>
        </w:rPr>
      </w:pPr>
    </w:p>
    <w:p>
      <w:pPr>
        <w:pStyle w:val="12"/>
        <w:spacing w:after="140" w:line="240" w:lineRule="auto"/>
        <w:jc w:val="center"/>
        <w:rPr>
          <w:rFonts w:hint="eastAsia"/>
          <w:b/>
          <w:bCs/>
          <w:sz w:val="26"/>
          <w:lang w:eastAsia="zh-CN"/>
        </w:rPr>
      </w:pPr>
    </w:p>
    <w:p>
      <w:pPr>
        <w:pStyle w:val="12"/>
        <w:spacing w:after="140" w:line="240" w:lineRule="auto"/>
        <w:jc w:val="center"/>
        <w:rPr>
          <w:rFonts w:hint="eastAsia"/>
          <w:b/>
          <w:bCs/>
          <w:sz w:val="26"/>
          <w:lang w:eastAsia="zh-CN"/>
        </w:rPr>
      </w:pPr>
    </w:p>
    <w:p>
      <w:pPr>
        <w:pStyle w:val="12"/>
        <w:spacing w:after="140" w:line="240" w:lineRule="auto"/>
        <w:jc w:val="center"/>
        <w:rPr>
          <w:rFonts w:hint="eastAsia"/>
          <w:b/>
          <w:bCs/>
          <w:sz w:val="26"/>
          <w:lang w:eastAsia="zh-CN"/>
        </w:rPr>
      </w:pPr>
    </w:p>
    <w:p>
      <w:pPr>
        <w:pStyle w:val="12"/>
        <w:spacing w:after="140" w:line="240" w:lineRule="auto"/>
        <w:jc w:val="both"/>
        <w:rPr>
          <w:rFonts w:hint="eastAsia" w:eastAsia="宋体"/>
          <w:b/>
          <w:bCs/>
          <w:sz w:val="26"/>
          <w:lang w:eastAsia="zh-CN"/>
        </w:rPr>
      </w:pPr>
      <w:r>
        <w:rPr>
          <w:rFonts w:hint="eastAsia"/>
          <w:b/>
          <w:bCs/>
          <w:sz w:val="26"/>
          <w:lang w:val="en-US" w:eastAsia="zh-CN"/>
        </w:rPr>
        <w:t xml:space="preserve">           </w:t>
      </w:r>
      <w:r>
        <w:rPr>
          <w:rFonts w:hint="eastAsia"/>
          <w:b/>
          <w:bCs/>
          <w:sz w:val="26"/>
          <w:lang w:eastAsia="zh-CN"/>
        </w:rPr>
        <w:t>（扫描该二维码，可查看详细申报步骤）</w:t>
      </w:r>
    </w:p>
    <w:sectPr>
      <w:footerReference r:id="rId4" w:type="default"/>
      <w:pgSz w:w="11910" w:h="16840"/>
      <w:pgMar w:top="1843" w:right="1803" w:bottom="1440" w:left="1803" w:header="720" w:footer="720" w:gutter="0"/>
      <w:pgBorders>
        <w:top w:val="none" w:sz="0" w:space="0"/>
        <w:left w:val="none" w:sz="0" w:space="0"/>
        <w:bottom w:val="none" w:sz="0" w:space="0"/>
        <w:right w:val="none" w:sz="0" w:space="0"/>
      </w:pgBorders>
      <w:pgNumType w:fmt="numberInDash"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auto"/>
    <w:pitch w:val="default"/>
    <w:sig w:usb0="E00006FF" w:usb1="420024FF" w:usb2="02000000" w:usb3="00000000" w:csb0="2000019F" w:csb1="00000000"/>
  </w:font>
  <w:font w:name="Calibri Light">
    <w:panose1 w:val="020F0302020204030204"/>
    <w:charset w:val="00"/>
    <w:family w:val="auto"/>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Arial Unicode MS">
    <w:altName w:val="宋体"/>
    <w:panose1 w:val="020B0604020202020204"/>
    <w:charset w:val="86"/>
    <w:family w:val="auto"/>
    <w:pitch w:val="default"/>
    <w:sig w:usb0="00000000" w:usb1="00000000" w:usb2="0000003F" w:usb3="00000000" w:csb0="603F01FF" w:csb1="FFFF0000"/>
  </w:font>
  <w:font w:name="楷体_GB2312">
    <w:panose1 w:val="02010609030101010101"/>
    <w:charset w:val="86"/>
    <w:family w:val="roman"/>
    <w:pitch w:val="default"/>
    <w:sig w:usb0="00000001" w:usb1="080E0000" w:usb2="00000000" w:usb3="00000000" w:csb0="00040000" w:csb1="00000000"/>
  </w:font>
  <w:font w:name="PMingLiU">
    <w:altName w:val="PMingLiU-ExtB"/>
    <w:panose1 w:val="02020500000000000000"/>
    <w:charset w:val="88"/>
    <w:family w:val="auto"/>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
                          </w:sdtPr>
                          <w:sdtEndPr>
                            <w:rPr>
                              <w:rFonts w:hint="eastAsia" w:ascii="仿宋" w:hAnsi="仿宋" w:eastAsia="仿宋" w:cs="仿宋"/>
                              <w:sz w:val="24"/>
                              <w:szCs w:val="24"/>
                            </w:rPr>
                          </w:sdtEndPr>
                          <w:sdtContent>
                            <w:p>
                              <w:pPr>
                                <w:pStyle w:val="3"/>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rP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sdt>
                    <w:sdtPr>
                      <w:id w:val="3"/>
                    </w:sdtPr>
                    <w:sdtEndPr>
                      <w:rPr>
                        <w:rFonts w:hint="eastAsia" w:ascii="仿宋" w:hAnsi="仿宋" w:eastAsia="仿宋" w:cs="仿宋"/>
                        <w:sz w:val="24"/>
                        <w:szCs w:val="24"/>
                      </w:rPr>
                    </w:sdtEndPr>
                    <w:sdtContent>
                      <w:p>
                        <w:pPr>
                          <w:pStyle w:val="3"/>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rPr>
                          <w:fldChar w:fldCharType="end"/>
                        </w:r>
                      </w:p>
                    </w:sdtContent>
                  </w:sdt>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kNzhmZTc2MWMyYjBmNGQ0NmEwYWQ1YzA5YTJlNTQifQ=="/>
  </w:docVars>
  <w:rsids>
    <w:rsidRoot w:val="00D3332B"/>
    <w:rsid w:val="00025D14"/>
    <w:rsid w:val="00072DE0"/>
    <w:rsid w:val="000C5495"/>
    <w:rsid w:val="00115588"/>
    <w:rsid w:val="00156FAC"/>
    <w:rsid w:val="001954E5"/>
    <w:rsid w:val="0022441E"/>
    <w:rsid w:val="00237BC9"/>
    <w:rsid w:val="00275E43"/>
    <w:rsid w:val="002F4426"/>
    <w:rsid w:val="003063C1"/>
    <w:rsid w:val="003262B7"/>
    <w:rsid w:val="00345FF1"/>
    <w:rsid w:val="00390318"/>
    <w:rsid w:val="003C5722"/>
    <w:rsid w:val="003F099D"/>
    <w:rsid w:val="004765F3"/>
    <w:rsid w:val="004800A0"/>
    <w:rsid w:val="00494958"/>
    <w:rsid w:val="004D541A"/>
    <w:rsid w:val="004E5D30"/>
    <w:rsid w:val="00534E7B"/>
    <w:rsid w:val="00537510"/>
    <w:rsid w:val="00547257"/>
    <w:rsid w:val="005B6ECA"/>
    <w:rsid w:val="005C4FBE"/>
    <w:rsid w:val="00632F82"/>
    <w:rsid w:val="006E1B86"/>
    <w:rsid w:val="006F2D46"/>
    <w:rsid w:val="006F70D1"/>
    <w:rsid w:val="007236B5"/>
    <w:rsid w:val="007376B1"/>
    <w:rsid w:val="007517A0"/>
    <w:rsid w:val="0075567E"/>
    <w:rsid w:val="0079034D"/>
    <w:rsid w:val="007B2C44"/>
    <w:rsid w:val="007B66A6"/>
    <w:rsid w:val="007E232A"/>
    <w:rsid w:val="0082018A"/>
    <w:rsid w:val="008A2559"/>
    <w:rsid w:val="008B4473"/>
    <w:rsid w:val="009437A9"/>
    <w:rsid w:val="00946C96"/>
    <w:rsid w:val="00951A0F"/>
    <w:rsid w:val="00970820"/>
    <w:rsid w:val="009B0D6E"/>
    <w:rsid w:val="009B56C4"/>
    <w:rsid w:val="00A360EB"/>
    <w:rsid w:val="00A94972"/>
    <w:rsid w:val="00AA1482"/>
    <w:rsid w:val="00B331DB"/>
    <w:rsid w:val="00B41AD1"/>
    <w:rsid w:val="00B75990"/>
    <w:rsid w:val="00C065D4"/>
    <w:rsid w:val="00C44B1B"/>
    <w:rsid w:val="00D12011"/>
    <w:rsid w:val="00D25173"/>
    <w:rsid w:val="00D3332B"/>
    <w:rsid w:val="00D8748A"/>
    <w:rsid w:val="00DD6DF7"/>
    <w:rsid w:val="00DF079F"/>
    <w:rsid w:val="00E63FB5"/>
    <w:rsid w:val="00E72918"/>
    <w:rsid w:val="00EA5D90"/>
    <w:rsid w:val="00ED181F"/>
    <w:rsid w:val="00EE51DB"/>
    <w:rsid w:val="00FA4778"/>
    <w:rsid w:val="031C07A5"/>
    <w:rsid w:val="05867284"/>
    <w:rsid w:val="06AA0128"/>
    <w:rsid w:val="130D0F40"/>
    <w:rsid w:val="13835B76"/>
    <w:rsid w:val="154871D8"/>
    <w:rsid w:val="1B910860"/>
    <w:rsid w:val="1BDEE0D2"/>
    <w:rsid w:val="1C082493"/>
    <w:rsid w:val="1E4A5F80"/>
    <w:rsid w:val="1FF55303"/>
    <w:rsid w:val="237FC179"/>
    <w:rsid w:val="239E6C48"/>
    <w:rsid w:val="264F64B0"/>
    <w:rsid w:val="27106BA8"/>
    <w:rsid w:val="2B850A26"/>
    <w:rsid w:val="2D88164C"/>
    <w:rsid w:val="2E0979F4"/>
    <w:rsid w:val="36FF7444"/>
    <w:rsid w:val="38214F5E"/>
    <w:rsid w:val="397F41A3"/>
    <w:rsid w:val="3B86B26D"/>
    <w:rsid w:val="4357282A"/>
    <w:rsid w:val="448A6C2D"/>
    <w:rsid w:val="449F19D8"/>
    <w:rsid w:val="46F40A56"/>
    <w:rsid w:val="4A3B747E"/>
    <w:rsid w:val="4F663216"/>
    <w:rsid w:val="57DB935B"/>
    <w:rsid w:val="5A4C2FD0"/>
    <w:rsid w:val="5B4D432B"/>
    <w:rsid w:val="5F4C378D"/>
    <w:rsid w:val="61B04344"/>
    <w:rsid w:val="621D646D"/>
    <w:rsid w:val="622D2909"/>
    <w:rsid w:val="64864971"/>
    <w:rsid w:val="65691A71"/>
    <w:rsid w:val="66100CBA"/>
    <w:rsid w:val="68C33D20"/>
    <w:rsid w:val="6971139A"/>
    <w:rsid w:val="6A7946FD"/>
    <w:rsid w:val="6F65262F"/>
    <w:rsid w:val="704465A3"/>
    <w:rsid w:val="7159571A"/>
    <w:rsid w:val="735C3DAB"/>
    <w:rsid w:val="74D62C03"/>
    <w:rsid w:val="7674037C"/>
    <w:rsid w:val="77EE068E"/>
    <w:rsid w:val="79D46A4F"/>
    <w:rsid w:val="7A5A0CC2"/>
    <w:rsid w:val="7CEC3FBF"/>
    <w:rsid w:val="7D2249D2"/>
    <w:rsid w:val="C5BE8464"/>
    <w:rsid w:val="FBDF957A"/>
    <w:rsid w:val="FEEF0AB0"/>
    <w:rsid w:val="FEFB39C9"/>
    <w:rsid w:val="FFEF7B06"/>
    <w:rsid w:val="FFF7D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1"/>
    <w:rPr>
      <w:sz w:val="32"/>
      <w:szCs w:val="32"/>
    </w:rPr>
  </w:style>
  <w:style w:type="paragraph" w:styleId="3">
    <w:name w:val="footer"/>
    <w:basedOn w:val="1"/>
    <w:link w:val="11"/>
    <w:unhideWhenUsed/>
    <w:qFormat/>
    <w:uiPriority w:val="99"/>
    <w:pPr>
      <w:tabs>
        <w:tab w:val="center" w:pos="4153"/>
        <w:tab w:val="right" w:pos="8306"/>
      </w:tabs>
      <w:snapToGrid w:val="0"/>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7">
    <w:name w:val="Table Normal"/>
    <w:unhideWhenUsed/>
    <w:qFormat/>
    <w:uiPriority w:val="2"/>
    <w:tblPr>
      <w:tblCellMar>
        <w:top w:w="0" w:type="dxa"/>
        <w:left w:w="0" w:type="dxa"/>
        <w:bottom w:w="0" w:type="dxa"/>
        <w:right w:w="0" w:type="dxa"/>
      </w:tblCellMar>
    </w:tblPr>
  </w:style>
  <w:style w:type="paragraph" w:customStyle="1" w:styleId="8">
    <w:name w:val="List Paragraph"/>
    <w:basedOn w:val="1"/>
    <w:qFormat/>
    <w:uiPriority w:val="1"/>
  </w:style>
  <w:style w:type="paragraph" w:customStyle="1" w:styleId="9">
    <w:name w:val="Table Paragraph"/>
    <w:basedOn w:val="1"/>
    <w:qFormat/>
    <w:uiPriority w:val="1"/>
  </w:style>
  <w:style w:type="character" w:customStyle="1" w:styleId="10">
    <w:name w:val="页眉 字符"/>
    <w:basedOn w:val="6"/>
    <w:link w:val="4"/>
    <w:qFormat/>
    <w:uiPriority w:val="99"/>
    <w:rPr>
      <w:rFonts w:ascii="宋体" w:hAnsi="宋体" w:eastAsia="宋体" w:cs="宋体"/>
      <w:sz w:val="18"/>
      <w:szCs w:val="18"/>
      <w:lang w:val="zh-CN" w:eastAsia="zh-CN" w:bidi="zh-CN"/>
    </w:rPr>
  </w:style>
  <w:style w:type="character" w:customStyle="1" w:styleId="11">
    <w:name w:val="页脚 字符"/>
    <w:basedOn w:val="6"/>
    <w:link w:val="3"/>
    <w:qFormat/>
    <w:uiPriority w:val="99"/>
    <w:rPr>
      <w:rFonts w:ascii="宋体" w:hAnsi="宋体" w:eastAsia="宋体" w:cs="宋体"/>
      <w:sz w:val="18"/>
      <w:szCs w:val="18"/>
      <w:lang w:val="zh-CN" w:eastAsia="zh-CN" w:bidi="zh-CN"/>
    </w:rPr>
  </w:style>
  <w:style w:type="paragraph" w:customStyle="1" w:styleId="12">
    <w:name w:val="Body text|1"/>
    <w:basedOn w:val="1"/>
    <w:qFormat/>
    <w:uiPriority w:val="0"/>
    <w:pPr>
      <w:spacing w:line="288" w:lineRule="auto"/>
      <w:ind w:firstLine="400"/>
    </w:pPr>
    <w:rPr>
      <w:rFonts w:ascii="宋体" w:hAnsi="宋体" w:eastAsia="宋体" w:cs="宋体"/>
      <w:sz w:val="28"/>
      <w:szCs w:val="28"/>
      <w:lang w:val="zh-TW" w:eastAsia="zh-TW" w:bidi="zh-TW"/>
    </w:rPr>
  </w:style>
  <w:style w:type="paragraph" w:customStyle="1" w:styleId="13">
    <w:name w:val="正文 A"/>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1584</Words>
  <Characters>1696</Characters>
  <Lines>6</Lines>
  <Paragraphs>1</Paragraphs>
  <TotalTime>3</TotalTime>
  <ScaleCrop>false</ScaleCrop>
  <LinksUpToDate>false</LinksUpToDate>
  <CharactersWithSpaces>1805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2021-07-12T08:46:00Z</dcterms:created>
  <dc:creator>Administrator</dc:creator>
  <cp:lastModifiedBy>yaojiawei</cp:lastModifiedBy>
  <cp:lastPrinted>2022-03-16T15:05:00Z</cp:lastPrinted>
  <dcterms:modified xsi:type="dcterms:W3CDTF">2022-12-14T07:24:10Z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2021-06-24T00:00:00Z</vt:filetime>
  </property>
  <property fmtid="{D5CDD505-2E9C-101B-9397-08002B2CF9AE}" pid="3" name="Creator">
    <vt:lpwstr>Microsoft® Word 2013</vt:lpwstr>
  </property>
  <property fmtid="{D5CDD505-2E9C-101B-9397-08002B2CF9AE}" pid="4" name="LastSaved">
    <vt:filetime>2021-07-10T00:00:00Z</vt:filetime>
  </property>
  <property fmtid="{D5CDD505-2E9C-101B-9397-08002B2CF9AE}" pid="5" name="KSOProductBuildVer">
    <vt:lpwstr>2052-11.1.0.12980</vt:lpwstr>
  </property>
  <property fmtid="{D5CDD505-2E9C-101B-9397-08002B2CF9AE}" pid="6" name="ICV">
    <vt:lpwstr>4F687A461FEB43AAAC5BA57E8A4AF95A</vt:lpwstr>
  </property>
</Properties>
</file>