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framePr w:wrap="auto" w:vAnchor="margin" w:hAnchor="text" w:yAlign="inline"/>
        <w:jc w:val="center"/>
        <w:rPr>
          <w:rFonts w:ascii="宋体" w:hAnsi="宋体" w:eastAsia="宋体" w:cs="仿宋_GB2312"/>
          <w:b/>
          <w:bCs/>
          <w:sz w:val="36"/>
          <w:szCs w:val="36"/>
          <w:lang w:val="zh-TW"/>
        </w:rPr>
      </w:pPr>
      <w:r>
        <w:rPr>
          <w:rFonts w:hint="eastAsia" w:ascii="宋体" w:hAnsi="宋体" w:eastAsia="宋体" w:cs="仿宋_GB2312"/>
          <w:b/>
          <w:bCs/>
          <w:sz w:val="36"/>
          <w:szCs w:val="36"/>
          <w:lang w:val="en-US" w:eastAsia="zh-CN"/>
        </w:rPr>
        <w:t>宝迪五家公司合并</w:t>
      </w:r>
      <w:r>
        <w:rPr>
          <w:rFonts w:hint="eastAsia" w:ascii="宋体" w:hAnsi="宋体" w:eastAsia="宋体" w:cs="仿宋_GB2312"/>
          <w:b/>
          <w:bCs/>
          <w:sz w:val="36"/>
          <w:szCs w:val="36"/>
          <w:lang w:val="zh-TW" w:eastAsia="zh-CN"/>
        </w:rPr>
        <w:t>预重整临时</w:t>
      </w:r>
      <w:r>
        <w:rPr>
          <w:rFonts w:ascii="宋体" w:hAnsi="宋体" w:eastAsia="宋体" w:cs="仿宋_GB2312"/>
          <w:b/>
          <w:bCs/>
          <w:sz w:val="36"/>
          <w:szCs w:val="36"/>
          <w:lang w:val="zh-TW"/>
        </w:rPr>
        <w:t>管理人</w:t>
      </w:r>
    </w:p>
    <w:p>
      <w:pPr>
        <w:pStyle w:val="14"/>
        <w:framePr w:wrap="auto" w:vAnchor="margin" w:hAnchor="text" w:yAlign="inline"/>
        <w:jc w:val="center"/>
        <w:rPr>
          <w:rFonts w:hint="default" w:ascii="宋体" w:hAnsi="宋体" w:eastAsia="宋体" w:cs="仿宋_GB2312"/>
          <w:b/>
          <w:bCs/>
          <w:sz w:val="36"/>
          <w:szCs w:val="36"/>
          <w:lang w:val="zh-TW"/>
        </w:rPr>
      </w:pPr>
      <w:r>
        <w:rPr>
          <w:rFonts w:ascii="宋体" w:hAnsi="宋体" w:eastAsia="宋体" w:cs="仿宋_GB2312"/>
          <w:b/>
          <w:bCs/>
          <w:sz w:val="36"/>
          <w:szCs w:val="36"/>
          <w:lang w:val="zh-TW" w:eastAsia="zh-TW"/>
        </w:rPr>
        <w:t>文件审批单</w:t>
      </w:r>
    </w:p>
    <w:p>
      <w:pPr>
        <w:pStyle w:val="14"/>
        <w:framePr w:wrap="auto" w:vAnchor="margin" w:hAnchor="text" w:yAlign="inline"/>
        <w:ind w:left="5320" w:hanging="5320"/>
        <w:jc w:val="right"/>
        <w:rPr>
          <w:rFonts w:hint="default" w:ascii="宋体" w:hAnsi="宋体" w:eastAsia="宋体"/>
          <w:sz w:val="28"/>
          <w:szCs w:val="28"/>
        </w:rPr>
      </w:pPr>
      <w:r>
        <w:rPr>
          <w:rFonts w:ascii="宋体" w:hAnsi="宋体" w:eastAsia="宋体" w:cs="楷体_GB2312"/>
          <w:sz w:val="28"/>
          <w:szCs w:val="28"/>
        </w:rPr>
        <w:t xml:space="preserve">     </w:t>
      </w:r>
      <w:r>
        <w:rPr>
          <w:rFonts w:ascii="宋体" w:hAnsi="宋体" w:eastAsia="宋体" w:cs="宋体"/>
          <w:sz w:val="28"/>
          <w:szCs w:val="28"/>
        </w:rPr>
        <w:t xml:space="preserve">                                                       </w:t>
      </w:r>
      <w:r>
        <w:rPr>
          <w:rFonts w:ascii="宋体" w:hAnsi="宋体" w:eastAsia="宋体"/>
          <w:sz w:val="28"/>
          <w:szCs w:val="28"/>
        </w:rPr>
        <w:t xml:space="preserve">      </w:t>
      </w:r>
      <w:r>
        <w:rPr>
          <w:rFonts w:ascii="宋体" w:hAnsi="宋体" w:eastAsia="宋体"/>
          <w:sz w:val="24"/>
          <w:szCs w:val="24"/>
        </w:rPr>
        <w:t xml:space="preserve">      </w:t>
      </w:r>
      <w:r>
        <w:rPr>
          <w:rFonts w:ascii="宋体" w:hAnsi="宋体" w:eastAsia="宋体"/>
          <w:sz w:val="28"/>
          <w:szCs w:val="28"/>
        </w:rPr>
        <w:t>20</w:t>
      </w:r>
      <w:r>
        <w:rPr>
          <w:rFonts w:hint="eastAsia" w:ascii="宋体" w:hAnsi="宋体" w:eastAsia="宋体"/>
          <w:sz w:val="28"/>
          <w:szCs w:val="28"/>
          <w:lang w:val="en-US" w:eastAsia="zh-CN"/>
        </w:rPr>
        <w:t>22</w:t>
      </w:r>
      <w:r>
        <w:rPr>
          <w:rFonts w:ascii="宋体" w:hAnsi="宋体" w:eastAsia="宋体" w:cs="仿宋_GB2312"/>
          <w:sz w:val="28"/>
          <w:szCs w:val="28"/>
          <w:lang w:val="zh-TW" w:eastAsia="zh-TW"/>
        </w:rPr>
        <w:t>年</w:t>
      </w:r>
      <w:r>
        <w:rPr>
          <w:rFonts w:hint="eastAsia" w:ascii="宋体" w:hAnsi="宋体" w:eastAsia="宋体" w:cs="仿宋_GB2312"/>
          <w:sz w:val="28"/>
          <w:szCs w:val="28"/>
          <w:lang w:val="en-US" w:eastAsia="zh-CN"/>
        </w:rPr>
        <w:t>12</w:t>
      </w:r>
      <w:r>
        <w:rPr>
          <w:rFonts w:ascii="宋体" w:hAnsi="宋体" w:eastAsia="宋体" w:cs="仿宋_GB2312"/>
          <w:sz w:val="28"/>
          <w:szCs w:val="28"/>
          <w:lang w:val="zh-TW" w:eastAsia="zh-TW"/>
        </w:rPr>
        <w:t>月</w:t>
      </w:r>
      <w:r>
        <w:rPr>
          <w:rFonts w:hint="eastAsia" w:ascii="宋体" w:hAnsi="宋体" w:eastAsia="宋体" w:cs="仿宋_GB2312"/>
          <w:sz w:val="28"/>
          <w:szCs w:val="28"/>
          <w:lang w:val="en-US" w:eastAsia="zh-CN"/>
        </w:rPr>
        <w:t>1</w:t>
      </w:r>
      <w:r>
        <w:rPr>
          <w:rFonts w:hint="default" w:ascii="宋体" w:hAnsi="宋体" w:eastAsia="宋体" w:cs="仿宋_GB2312"/>
          <w:sz w:val="28"/>
          <w:szCs w:val="28"/>
          <w:lang w:eastAsia="zh-CN"/>
        </w:rPr>
        <w:t>2</w:t>
      </w:r>
      <w:r>
        <w:rPr>
          <w:rFonts w:ascii="宋体" w:hAnsi="宋体" w:eastAsia="宋体" w:cs="仿宋_GB2312"/>
          <w:sz w:val="28"/>
          <w:szCs w:val="28"/>
          <w:lang w:val="zh-TW" w:eastAsia="zh-TW"/>
        </w:rPr>
        <w:t>日</w:t>
      </w:r>
    </w:p>
    <w:tbl>
      <w:tblPr>
        <w:tblStyle w:val="6"/>
        <w:tblW w:w="8415" w:type="dxa"/>
        <w:jc w:val="right"/>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Layout w:type="fixed"/>
        <w:tblCellMar>
          <w:top w:w="0" w:type="dxa"/>
          <w:left w:w="108" w:type="dxa"/>
          <w:bottom w:w="0" w:type="dxa"/>
          <w:right w:w="108" w:type="dxa"/>
        </w:tblCellMar>
      </w:tblPr>
      <w:tblGrid>
        <w:gridCol w:w="1320"/>
        <w:gridCol w:w="2695"/>
        <w:gridCol w:w="1559"/>
        <w:gridCol w:w="284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975"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申请人</w:t>
            </w:r>
          </w:p>
        </w:tc>
        <w:tc>
          <w:tcPr>
            <w:tcW w:w="269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center"/>
              <w:rPr>
                <w:rFonts w:hint="default" w:ascii="宋体" w:hAnsi="宋体" w:eastAsia="PMingLiU"/>
              </w:rPr>
            </w:pPr>
            <w:r>
              <w:rPr>
                <w:rFonts w:hint="eastAsia" w:ascii="宋体" w:hAnsi="宋体" w:eastAsia="宋体" w:cs="仿宋_GB2312"/>
                <w:b w:val="0"/>
                <w:bCs/>
                <w:color w:val="000000"/>
                <w:kern w:val="0"/>
                <w:sz w:val="28"/>
                <w:szCs w:val="28"/>
                <w:u w:color="000000"/>
                <w:lang w:val="en-US" w:eastAsia="zh-CN" w:bidi="ar-SA"/>
              </w:rPr>
              <w:t>临时</w:t>
            </w:r>
            <w:r>
              <w:rPr>
                <w:rFonts w:hint="eastAsia" w:ascii="宋体" w:hAnsi="宋体" w:eastAsia="宋体" w:cs="仿宋_GB2312"/>
                <w:b w:val="0"/>
                <w:bCs/>
                <w:color w:val="000000"/>
                <w:kern w:val="0"/>
                <w:sz w:val="28"/>
                <w:szCs w:val="28"/>
                <w:u w:color="000000"/>
                <w:lang w:val="en-US" w:eastAsia="zh-TW" w:bidi="ar-SA"/>
              </w:rPr>
              <w:t>管理人</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center"/>
              <w:rPr>
                <w:rFonts w:hint="default" w:ascii="宋体" w:hAnsi="宋体" w:eastAsia="宋体"/>
                <w:sz w:val="28"/>
                <w:szCs w:val="28"/>
              </w:rPr>
            </w:pPr>
            <w:r>
              <w:rPr>
                <w:rFonts w:ascii="宋体" w:hAnsi="宋体" w:eastAsia="宋体" w:cs="仿宋_GB2312"/>
                <w:sz w:val="28"/>
                <w:szCs w:val="28"/>
                <w:lang w:val="zh-TW" w:eastAsia="zh-TW"/>
              </w:rPr>
              <w:t>报送人</w:t>
            </w:r>
          </w:p>
          <w:p>
            <w:pPr>
              <w:pStyle w:val="14"/>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签字</w:t>
            </w:r>
          </w:p>
        </w:tc>
        <w:tc>
          <w:tcPr>
            <w:tcW w:w="284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center"/>
              <w:rPr>
                <w:rFonts w:hint="default" w:ascii="宋体" w:hAnsi="宋体" w:eastAsia="宋体"/>
                <w:lang w:val="en-US" w:eastAsia="zh-CN"/>
              </w:rPr>
            </w:pPr>
            <w:r>
              <w:rPr>
                <w:rFonts w:hint="eastAsia" w:ascii="宋体" w:hAnsi="宋体" w:eastAsia="宋体" w:cs="仿宋_GB2312"/>
                <w:b w:val="0"/>
                <w:bCs/>
                <w:color w:val="000000"/>
                <w:kern w:val="0"/>
                <w:sz w:val="28"/>
                <w:szCs w:val="28"/>
                <w:u w:color="000000"/>
                <w:lang w:val="en-US" w:eastAsia="zh-CN" w:bidi="ar-SA"/>
              </w:rPr>
              <w:t>姚佳伟</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1339"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文件名称</w:t>
            </w:r>
          </w:p>
        </w:tc>
        <w:tc>
          <w:tcPr>
            <w:tcW w:w="7095"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left"/>
              <w:rPr>
                <w:sz w:val="30"/>
                <w:szCs w:val="30"/>
              </w:rPr>
            </w:pPr>
            <w:r>
              <w:rPr>
                <w:rFonts w:hint="eastAsia" w:ascii="宋体" w:hAnsi="宋体" w:eastAsia="宋体" w:cs="仿宋_GB2312"/>
                <w:b w:val="0"/>
                <w:bCs/>
                <w:color w:val="000000"/>
                <w:kern w:val="0"/>
                <w:sz w:val="28"/>
                <w:szCs w:val="28"/>
                <w:u w:color="000000"/>
                <w:lang w:val="zh-TW" w:eastAsia="zh-TW" w:bidi="ar-SA"/>
              </w:rPr>
              <w:t>（20</w:t>
            </w:r>
            <w:r>
              <w:rPr>
                <w:rFonts w:hint="eastAsia" w:ascii="宋体" w:hAnsi="宋体" w:eastAsia="宋体" w:cs="仿宋_GB2312"/>
                <w:b w:val="0"/>
                <w:bCs/>
                <w:color w:val="000000"/>
                <w:kern w:val="0"/>
                <w:sz w:val="28"/>
                <w:szCs w:val="28"/>
                <w:u w:color="000000"/>
                <w:lang w:val="en-US" w:eastAsia="zh-CN" w:bidi="ar-SA"/>
              </w:rPr>
              <w:t>22</w:t>
            </w:r>
            <w:r>
              <w:rPr>
                <w:rFonts w:hint="eastAsia" w:ascii="宋体" w:hAnsi="宋体" w:eastAsia="宋体" w:cs="仿宋_GB2312"/>
                <w:b w:val="0"/>
                <w:bCs/>
                <w:color w:val="000000"/>
                <w:kern w:val="0"/>
                <w:sz w:val="28"/>
                <w:szCs w:val="28"/>
                <w:u w:color="000000"/>
                <w:lang w:val="zh-TW" w:eastAsia="zh-TW" w:bidi="ar-SA"/>
              </w:rPr>
              <w:t>）</w:t>
            </w:r>
            <w:r>
              <w:rPr>
                <w:rFonts w:hint="eastAsia" w:ascii="宋体" w:hAnsi="宋体" w:eastAsia="宋体" w:cs="仿宋_GB2312"/>
                <w:b w:val="0"/>
                <w:bCs/>
                <w:color w:val="000000"/>
                <w:kern w:val="0"/>
                <w:sz w:val="28"/>
                <w:szCs w:val="28"/>
                <w:u w:color="000000"/>
                <w:lang w:val="en-US" w:eastAsia="zh-Hans" w:bidi="ar-SA"/>
              </w:rPr>
              <w:t>宝迪</w:t>
            </w:r>
            <w:r>
              <w:rPr>
                <w:rFonts w:hint="eastAsia" w:ascii="宋体" w:hAnsi="宋体" w:eastAsia="宋体" w:cs="仿宋_GB2312"/>
                <w:b w:val="0"/>
                <w:bCs/>
                <w:color w:val="000000"/>
                <w:kern w:val="0"/>
                <w:sz w:val="28"/>
                <w:szCs w:val="28"/>
                <w:u w:color="000000"/>
                <w:lang w:val="zh-TW" w:eastAsia="zh-CN" w:bidi="ar-SA"/>
              </w:rPr>
              <w:t>预管</w:t>
            </w:r>
            <w:r>
              <w:rPr>
                <w:rFonts w:hint="eastAsia" w:ascii="宋体" w:hAnsi="宋体" w:eastAsia="宋体" w:cs="仿宋_GB2312"/>
                <w:b w:val="0"/>
                <w:bCs/>
                <w:color w:val="000000"/>
                <w:kern w:val="0"/>
                <w:sz w:val="28"/>
                <w:szCs w:val="28"/>
                <w:u w:color="000000"/>
                <w:lang w:val="zh-TW" w:eastAsia="zh-TW" w:bidi="ar-SA"/>
              </w:rPr>
              <w:t>发字第0</w:t>
            </w:r>
            <w:r>
              <w:rPr>
                <w:rFonts w:hint="eastAsia" w:ascii="宋体" w:hAnsi="宋体" w:eastAsia="宋体" w:cs="仿宋_GB2312"/>
                <w:b w:val="0"/>
                <w:bCs/>
                <w:color w:val="000000"/>
                <w:kern w:val="0"/>
                <w:sz w:val="28"/>
                <w:szCs w:val="28"/>
                <w:u w:color="000000"/>
                <w:lang w:val="en-US" w:eastAsia="zh-CN" w:bidi="ar-SA"/>
              </w:rPr>
              <w:t>14</w:t>
            </w:r>
            <w:r>
              <w:rPr>
                <w:rFonts w:hint="eastAsia" w:ascii="宋体" w:hAnsi="宋体" w:eastAsia="宋体" w:cs="仿宋_GB2312"/>
                <w:b w:val="0"/>
                <w:bCs/>
                <w:color w:val="000000"/>
                <w:kern w:val="0"/>
                <w:sz w:val="28"/>
                <w:szCs w:val="28"/>
                <w:u w:color="000000"/>
                <w:lang w:val="zh-TW" w:eastAsia="zh-TW" w:bidi="ar-SA"/>
              </w:rPr>
              <w:t>号《关于</w:t>
            </w:r>
            <w:r>
              <w:rPr>
                <w:rFonts w:hint="eastAsia" w:ascii="宋体" w:hAnsi="宋体" w:eastAsia="宋体" w:cs="仿宋_GB2312"/>
                <w:b w:val="0"/>
                <w:bCs/>
                <w:color w:val="000000"/>
                <w:kern w:val="0"/>
                <w:sz w:val="28"/>
                <w:szCs w:val="28"/>
                <w:u w:color="000000"/>
                <w:lang w:val="zh-TW" w:eastAsia="zh-CN" w:bidi="ar-SA"/>
              </w:rPr>
              <w:t>陕西宝迪名品商业管理有限公司</w:t>
            </w:r>
            <w:r>
              <w:rPr>
                <w:rFonts w:hint="eastAsia" w:ascii="宋体" w:hAnsi="宋体" w:eastAsia="宋体" w:cs="仿宋_GB2312"/>
                <w:b w:val="0"/>
                <w:bCs/>
                <w:color w:val="000000"/>
                <w:kern w:val="0"/>
                <w:sz w:val="28"/>
                <w:szCs w:val="28"/>
                <w:u w:color="000000"/>
                <w:lang w:val="en-US" w:eastAsia="zh-CN" w:bidi="ar-SA"/>
              </w:rPr>
              <w:t>等五家公司</w:t>
            </w:r>
            <w:r>
              <w:rPr>
                <w:rFonts w:hint="eastAsia" w:ascii="宋体" w:hAnsi="宋体" w:eastAsia="宋体" w:cs="仿宋_GB2312"/>
                <w:b w:val="0"/>
                <w:bCs/>
                <w:color w:val="000000"/>
                <w:kern w:val="0"/>
                <w:sz w:val="28"/>
                <w:szCs w:val="28"/>
                <w:u w:color="000000"/>
                <w:lang w:val="zh-TW" w:eastAsia="zh-CN" w:bidi="ar-SA"/>
              </w:rPr>
              <w:t>预重整债权申报须知</w:t>
            </w:r>
            <w:r>
              <w:rPr>
                <w:rFonts w:hint="eastAsia" w:ascii="宋体" w:hAnsi="宋体" w:eastAsia="宋体" w:cs="仿宋_GB2312"/>
                <w:b w:val="0"/>
                <w:bCs/>
                <w:color w:val="000000"/>
                <w:kern w:val="0"/>
                <w:sz w:val="28"/>
                <w:szCs w:val="28"/>
                <w:u w:color="000000"/>
                <w:lang w:val="zh-TW" w:eastAsia="zh-TW" w:bidi="ar-SA"/>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2401"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报批事项</w:t>
            </w:r>
          </w:p>
        </w:tc>
        <w:tc>
          <w:tcPr>
            <w:tcW w:w="7095"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left"/>
              <w:rPr>
                <w:rFonts w:hint="default" w:ascii="宋体" w:hAnsi="宋体" w:eastAsia="宋体"/>
                <w:sz w:val="28"/>
                <w:szCs w:val="28"/>
                <w:lang w:val="zh-TW"/>
              </w:rPr>
            </w:pPr>
            <w:r>
              <w:rPr>
                <w:rFonts w:ascii="宋体" w:hAnsi="宋体" w:eastAsia="宋体"/>
                <w:sz w:val="28"/>
                <w:szCs w:val="28"/>
                <w:lang w:val="zh-TW" w:eastAsia="zh-TW"/>
              </w:rPr>
              <w:t>提交负责人审阅后</w:t>
            </w:r>
            <w:r>
              <w:rPr>
                <w:rFonts w:ascii="宋体" w:hAnsi="宋体" w:eastAsia="宋体"/>
                <w:sz w:val="28"/>
                <w:szCs w:val="28"/>
                <w:lang w:val="zh-TW"/>
              </w:rPr>
              <w:t>，</w:t>
            </w:r>
            <w:r>
              <w:rPr>
                <w:rFonts w:ascii="宋体" w:hAnsi="宋体" w:eastAsia="宋体"/>
                <w:sz w:val="28"/>
                <w:szCs w:val="28"/>
                <w:lang w:val="zh-TW" w:eastAsia="zh-TW"/>
              </w:rPr>
              <w:t>用</w:t>
            </w:r>
            <w:r>
              <w:rPr>
                <w:rFonts w:hint="eastAsia" w:ascii="宋体" w:hAnsi="宋体" w:eastAsia="宋体"/>
                <w:sz w:val="28"/>
                <w:szCs w:val="28"/>
                <w:lang w:val="zh-TW" w:eastAsia="zh-CN"/>
              </w:rPr>
              <w:t>临时</w:t>
            </w:r>
            <w:r>
              <w:rPr>
                <w:rFonts w:ascii="宋体" w:hAnsi="宋体" w:eastAsia="宋体"/>
                <w:sz w:val="28"/>
                <w:szCs w:val="28"/>
                <w:lang w:val="zh-TW" w:eastAsia="zh-TW"/>
              </w:rPr>
              <w:t>管理人印</w:t>
            </w:r>
            <w:r>
              <w:rPr>
                <w:rFonts w:ascii="宋体" w:hAnsi="宋体" w:eastAsia="宋体"/>
                <w:sz w:val="28"/>
                <w:szCs w:val="28"/>
                <w:lang w:val="zh-TW"/>
              </w:rPr>
              <w:t>，</w:t>
            </w:r>
            <w:r>
              <w:rPr>
                <w:rFonts w:ascii="宋体" w:hAnsi="宋体" w:eastAsia="宋体"/>
                <w:sz w:val="28"/>
                <w:szCs w:val="28"/>
                <w:lang w:val="zh-TW" w:eastAsia="zh-TW"/>
              </w:rPr>
              <w:t>并交</w:t>
            </w:r>
            <w:r>
              <w:rPr>
                <w:rFonts w:hint="eastAsia" w:ascii="宋体" w:hAnsi="宋体" w:eastAsia="宋体"/>
                <w:sz w:val="28"/>
                <w:szCs w:val="28"/>
                <w:lang w:val="en-US" w:eastAsia="zh-Hans"/>
              </w:rPr>
              <w:t>西安市中级</w:t>
            </w:r>
            <w:r>
              <w:rPr>
                <w:rFonts w:ascii="宋体" w:hAnsi="宋体" w:eastAsia="宋体"/>
                <w:sz w:val="28"/>
                <w:szCs w:val="28"/>
                <w:lang w:val="zh-TW"/>
              </w:rPr>
              <w:t>人民法院</w:t>
            </w:r>
            <w:r>
              <w:rPr>
                <w:rFonts w:ascii="宋体" w:hAnsi="宋体" w:eastAsia="宋体"/>
                <w:sz w:val="28"/>
                <w:szCs w:val="28"/>
                <w:lang w:val="zh-TW" w:eastAsia="zh-TW"/>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2401"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center"/>
              <w:rPr>
                <w:rFonts w:hint="default" w:ascii="宋体" w:hAnsi="宋体" w:eastAsia="宋体" w:cs="仿宋_GB2312"/>
                <w:sz w:val="28"/>
                <w:szCs w:val="28"/>
                <w:lang w:val="zh-TW" w:eastAsia="zh-TW"/>
              </w:rPr>
            </w:pPr>
            <w:r>
              <w:rPr>
                <w:rFonts w:ascii="宋体" w:hAnsi="宋体" w:eastAsia="宋体" w:cs="仿宋_GB2312"/>
                <w:sz w:val="28"/>
                <w:szCs w:val="28"/>
                <w:lang w:val="zh-TW" w:eastAsia="zh-TW"/>
              </w:rPr>
              <w:t>负责人</w:t>
            </w:r>
          </w:p>
          <w:p>
            <w:pPr>
              <w:pStyle w:val="14"/>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签字</w:t>
            </w:r>
          </w:p>
        </w:tc>
        <w:tc>
          <w:tcPr>
            <w:tcW w:w="7095"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宋体" w:hAnsi="宋体"/>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2401"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4"/>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备注</w:t>
            </w:r>
          </w:p>
        </w:tc>
        <w:tc>
          <w:tcPr>
            <w:tcW w:w="7095"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tc>
      </w:tr>
    </w:tbl>
    <w:p>
      <w:pPr>
        <w:pStyle w:val="14"/>
        <w:framePr w:wrap="auto" w:vAnchor="margin" w:hAnchor="text" w:yAlign="inline"/>
        <w:jc w:val="center"/>
        <w:rPr>
          <w:rFonts w:hint="eastAsia" w:ascii="宋体" w:hAnsi="宋体" w:eastAsia="宋体" w:cs="宋体"/>
          <w:b/>
          <w:bCs/>
          <w:color w:val="FF0000"/>
          <w:sz w:val="48"/>
          <w:szCs w:val="48"/>
          <w:u w:color="FF0000"/>
          <w:lang w:val="zh-TW" w:eastAsia="zh-CN"/>
        </w:rPr>
      </w:pPr>
    </w:p>
    <w:p>
      <w:pPr>
        <w:pStyle w:val="13"/>
        <w:keepNext w:val="0"/>
        <w:keepLines w:val="0"/>
        <w:pageBreakBefore w:val="0"/>
        <w:widowControl/>
        <w:kinsoku/>
        <w:wordWrap/>
        <w:overflowPunct/>
        <w:topLinePunct w:val="0"/>
        <w:autoSpaceDE/>
        <w:autoSpaceDN/>
        <w:bidi w:val="0"/>
        <w:adjustRightInd/>
        <w:snapToGrid/>
        <w:spacing w:before="0" w:beforeLines="100" w:beforeAutospacing="0" w:after="0" w:afterLines="50" w:line="360" w:lineRule="auto"/>
        <w:jc w:val="center"/>
        <w:textAlignment w:val="auto"/>
        <w:rPr>
          <w:rFonts w:hint="eastAsia" w:ascii="黑体" w:hAnsi="黑体" w:eastAsia="黑体" w:cs="黑体"/>
          <w:b/>
          <w:sz w:val="36"/>
          <w:szCs w:val="36"/>
        </w:rPr>
      </w:pPr>
    </w:p>
    <w:p>
      <w:pPr>
        <w:pStyle w:val="14"/>
        <w:framePr w:wrap="auto" w:vAnchor="margin" w:hAnchor="text" w:yAlign="inline"/>
        <w:jc w:val="center"/>
        <w:rPr>
          <w:rFonts w:hint="eastAsia" w:ascii="宋体" w:hAnsi="宋体" w:eastAsia="宋体" w:cs="宋体"/>
          <w:b/>
          <w:bCs/>
          <w:color w:val="FF0000"/>
          <w:sz w:val="48"/>
          <w:szCs w:val="48"/>
          <w:u w:color="FF0000"/>
          <w:lang w:val="zh-TW" w:eastAsia="zh-CN"/>
        </w:rPr>
        <w:sectPr>
          <w:footerReference r:id="rId3" w:type="default"/>
          <w:pgSz w:w="11910" w:h="16840"/>
          <w:pgMar w:top="1843" w:right="1803" w:bottom="1440" w:left="1803" w:header="0" w:footer="1088" w:gutter="0"/>
          <w:pgBorders>
            <w:top w:val="none" w:sz="0" w:space="0"/>
            <w:left w:val="none" w:sz="0" w:space="0"/>
            <w:bottom w:val="none" w:sz="0" w:space="0"/>
            <w:right w:val="none" w:sz="0" w:space="0"/>
          </w:pgBorders>
          <w:pgNumType w:fmt="numberInDash" w:start="1"/>
          <w:cols w:space="720" w:num="1"/>
        </w:sectPr>
      </w:pPr>
    </w:p>
    <w:p>
      <w:pPr>
        <w:pStyle w:val="14"/>
        <w:framePr w:wrap="auto" w:vAnchor="margin" w:hAnchor="text" w:yAlign="inline"/>
        <w:jc w:val="center"/>
        <w:rPr>
          <w:rFonts w:hint="eastAsia" w:ascii="宋体" w:hAnsi="宋体" w:eastAsia="宋体" w:cs="宋体"/>
          <w:b/>
          <w:bCs/>
          <w:color w:val="FF0000"/>
          <w:sz w:val="48"/>
          <w:szCs w:val="48"/>
          <w:u w:color="FF0000"/>
          <w:lang w:val="zh-TW" w:eastAsia="zh-CN"/>
        </w:rPr>
      </w:pPr>
      <w:r>
        <w:rPr>
          <w:rFonts w:hint="eastAsia" w:ascii="宋体" w:hAnsi="宋体" w:eastAsia="宋体" w:cs="宋体"/>
          <w:b/>
          <w:bCs/>
          <w:color w:val="FF0000"/>
          <w:sz w:val="48"/>
          <w:szCs w:val="48"/>
          <w:u w:color="FF0000"/>
          <w:lang w:val="zh-TW" w:eastAsia="zh-CN"/>
        </w:rPr>
        <w:t>陕西宝迪名品商业管理有限公司</w:t>
      </w:r>
    </w:p>
    <w:p>
      <w:pPr>
        <w:pStyle w:val="14"/>
        <w:framePr w:wrap="auto" w:vAnchor="margin" w:hAnchor="text" w:yAlign="inline"/>
        <w:jc w:val="center"/>
        <w:rPr>
          <w:rFonts w:hint="eastAsia" w:ascii="宋体" w:hAnsi="宋体" w:eastAsia="宋体" w:cs="宋体"/>
          <w:b/>
          <w:bCs/>
          <w:color w:val="FF0000"/>
          <w:sz w:val="48"/>
          <w:szCs w:val="48"/>
          <w:u w:color="FF0000"/>
          <w:lang w:val="zh-TW" w:eastAsia="zh-CN"/>
        </w:rPr>
      </w:pPr>
      <w:r>
        <w:rPr>
          <w:rFonts w:hint="eastAsia" w:ascii="宋体" w:hAnsi="宋体" w:eastAsia="宋体" w:cs="宋体"/>
          <w:b/>
          <w:bCs/>
          <w:color w:val="FF0000"/>
          <w:sz w:val="48"/>
          <w:szCs w:val="48"/>
          <w:u w:color="FF0000"/>
          <w:lang w:val="zh-TW" w:eastAsia="zh-CN"/>
        </w:rPr>
        <w:t>等五家公司预重整</w:t>
      </w:r>
    </w:p>
    <w:p>
      <w:pPr>
        <w:pStyle w:val="14"/>
        <w:framePr w:wrap="auto" w:vAnchor="margin" w:hAnchor="text" w:yAlign="inline"/>
        <w:jc w:val="center"/>
        <w:rPr>
          <w:rFonts w:hint="eastAsia" w:ascii="宋体" w:hAnsi="宋体" w:eastAsia="宋体" w:cs="宋体"/>
          <w:b/>
          <w:bCs/>
          <w:color w:val="FF0000"/>
          <w:sz w:val="48"/>
          <w:szCs w:val="48"/>
          <w:u w:color="FF0000"/>
          <w:lang w:val="zh-TW"/>
        </w:rPr>
      </w:pPr>
      <w:r>
        <w:rPr>
          <w:rFonts w:hint="eastAsia" w:ascii="宋体" w:hAnsi="宋体" w:eastAsia="宋体" w:cs="宋体"/>
          <w:b/>
          <w:bCs/>
          <w:color w:val="FF0000"/>
          <w:sz w:val="48"/>
          <w:szCs w:val="48"/>
          <w:u w:color="FF0000"/>
          <w:lang w:val="en-US" w:eastAsia="zh-CN"/>
        </w:rPr>
        <w:t>临时</w:t>
      </w:r>
      <w:r>
        <w:rPr>
          <w:rFonts w:hint="eastAsia" w:ascii="宋体" w:hAnsi="宋体" w:eastAsia="宋体" w:cs="宋体"/>
          <w:b/>
          <w:bCs/>
          <w:color w:val="FF0000"/>
          <w:sz w:val="48"/>
          <w:szCs w:val="48"/>
          <w:u w:color="FF0000"/>
          <w:lang w:val="zh-TW"/>
        </w:rPr>
        <w:t>管理人</w:t>
      </w:r>
      <w:r>
        <w:rPr>
          <w:rFonts w:hint="eastAsia" w:ascii="宋体" w:hAnsi="宋体" w:eastAsia="宋体" w:cs="宋体"/>
          <w:b/>
          <w:bCs/>
          <w:color w:val="FF0000"/>
          <w:sz w:val="48"/>
          <w:szCs w:val="48"/>
          <w:u w:color="FF0000"/>
          <w:lang w:val="zh-TW" w:eastAsia="zh-TW"/>
        </w:rPr>
        <w:t>文件</w:t>
      </w:r>
    </w:p>
    <w:p>
      <w:pPr>
        <w:pStyle w:val="14"/>
        <w:keepNext w:val="0"/>
        <w:keepLines w:val="0"/>
        <w:pageBreakBefore w:val="0"/>
        <w:framePr w:wrap="auto" w:vAnchor="margin" w:hAnchor="text" w:yAlign="inline"/>
        <w:widowControl w:val="0"/>
        <w:kinsoku/>
        <w:wordWrap/>
        <w:overflowPunct/>
        <w:topLinePunct w:val="0"/>
        <w:autoSpaceDE/>
        <w:autoSpaceDN/>
        <w:bidi w:val="0"/>
        <w:adjustRightInd/>
        <w:snapToGrid/>
        <w:spacing w:before="10" w:line="52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zh-TW"/>
        </w:rPr>
        <w:t>（20</w:t>
      </w:r>
      <w:r>
        <w:rPr>
          <w:rFonts w:hint="eastAsia" w:ascii="仿宋" w:hAnsi="仿宋" w:eastAsia="仿宋" w:cs="仿宋"/>
          <w:sz w:val="28"/>
          <w:szCs w:val="28"/>
          <w:lang w:val="en-US" w:eastAsia="zh-CN"/>
        </w:rPr>
        <w:t>22</w:t>
      </w:r>
      <w:r>
        <w:rPr>
          <w:rFonts w:hint="eastAsia" w:ascii="仿宋" w:hAnsi="仿宋" w:eastAsia="仿宋" w:cs="仿宋"/>
          <w:sz w:val="28"/>
          <w:szCs w:val="28"/>
          <w:lang w:val="zh-TW"/>
        </w:rPr>
        <w:t>）</w:t>
      </w:r>
      <w:r>
        <w:rPr>
          <w:rFonts w:hint="eastAsia" w:ascii="仿宋" w:hAnsi="仿宋" w:eastAsia="仿宋" w:cs="仿宋"/>
          <w:sz w:val="28"/>
          <w:szCs w:val="28"/>
          <w:lang w:val="en-US" w:eastAsia="zh-Hans"/>
        </w:rPr>
        <w:t>宝迪</w:t>
      </w:r>
      <w:r>
        <w:rPr>
          <w:rFonts w:hint="eastAsia" w:ascii="仿宋" w:hAnsi="仿宋" w:eastAsia="仿宋" w:cs="仿宋"/>
          <w:sz w:val="28"/>
          <w:szCs w:val="28"/>
          <w:lang w:val="zh-TW" w:eastAsia="zh-CN"/>
        </w:rPr>
        <w:t>预</w:t>
      </w:r>
      <w:r>
        <w:rPr>
          <w:rFonts w:hint="eastAsia" w:ascii="仿宋" w:hAnsi="仿宋" w:eastAsia="仿宋" w:cs="仿宋"/>
          <w:sz w:val="28"/>
          <w:szCs w:val="28"/>
          <w:lang w:val="zh-TW"/>
        </w:rPr>
        <w:t>管</w:t>
      </w:r>
      <w:r>
        <w:rPr>
          <w:rFonts w:hint="eastAsia" w:ascii="仿宋" w:hAnsi="仿宋" w:eastAsia="仿宋" w:cs="仿宋"/>
          <w:sz w:val="28"/>
          <w:szCs w:val="28"/>
          <w:lang w:val="zh-TW" w:eastAsia="zh-TW"/>
        </w:rPr>
        <w:t>发字第</w:t>
      </w:r>
      <w:r>
        <w:rPr>
          <w:rFonts w:hint="eastAsia" w:ascii="仿宋" w:hAnsi="仿宋" w:eastAsia="仿宋" w:cs="仿宋"/>
          <w:sz w:val="28"/>
          <w:szCs w:val="28"/>
        </w:rPr>
        <w:t>0</w:t>
      </w:r>
      <w:r>
        <w:rPr>
          <w:rFonts w:hint="eastAsia" w:ascii="仿宋" w:hAnsi="仿宋" w:eastAsia="仿宋" w:cs="仿宋"/>
          <w:sz w:val="28"/>
          <w:szCs w:val="28"/>
          <w:lang w:val="en-US" w:eastAsia="zh-CN"/>
        </w:rPr>
        <w:t>14</w:t>
      </w:r>
      <w:r>
        <w:rPr>
          <w:rFonts w:hint="eastAsia" w:ascii="仿宋" w:hAnsi="仿宋" w:eastAsia="仿宋" w:cs="仿宋"/>
          <w:sz w:val="28"/>
          <w:szCs w:val="28"/>
          <w:lang w:val="zh-TW" w:eastAsia="zh-TW"/>
        </w:rPr>
        <w:t>号</w:t>
      </w:r>
    </w:p>
    <w:p>
      <w:pPr>
        <w:pStyle w:val="14"/>
        <w:framePr w:wrap="auto" w:vAnchor="margin" w:hAnchor="text" w:yAlign="inline"/>
        <w:spacing w:line="360" w:lineRule="exact"/>
        <w:rPr>
          <w:rFonts w:ascii="仿宋" w:hAnsi="仿宋" w:eastAsia="仿宋"/>
          <w:sz w:val="32"/>
          <w:szCs w:val="32"/>
        </w:rPr>
      </w:pPr>
      <w:r>
        <mc:AlternateContent>
          <mc:Choice Requires="wps">
            <w:drawing>
              <wp:anchor distT="0" distB="0" distL="0" distR="0" simplePos="0" relativeHeight="251661312" behindDoc="0" locked="0" layoutInCell="1" allowOverlap="1">
                <wp:simplePos x="0" y="0"/>
                <wp:positionH relativeFrom="column">
                  <wp:posOffset>-93980</wp:posOffset>
                </wp:positionH>
                <wp:positionV relativeFrom="line">
                  <wp:posOffset>50800</wp:posOffset>
                </wp:positionV>
                <wp:extent cx="5492750" cy="1270"/>
                <wp:effectExtent l="0" t="13970" r="12700" b="22860"/>
                <wp:wrapNone/>
                <wp:docPr id="1" name="officeArt object"/>
                <wp:cNvGraphicFramePr/>
                <a:graphic xmlns:a="http://schemas.openxmlformats.org/drawingml/2006/main">
                  <a:graphicData uri="http://schemas.microsoft.com/office/word/2010/wordprocessingShape">
                    <wps:wsp>
                      <wps:cNvCnPr/>
                      <wps:spPr bwMode="auto">
                        <a:xfrm>
                          <a:off x="0" y="0"/>
                          <a:ext cx="5492750" cy="1270"/>
                        </a:xfrm>
                        <a:prstGeom prst="line">
                          <a:avLst/>
                        </a:prstGeom>
                        <a:noFill/>
                        <a:ln w="28575">
                          <a:solidFill>
                            <a:srgbClr val="FF0000"/>
                          </a:solidFill>
                          <a:miter lim="800000"/>
                        </a:ln>
                      </wps:spPr>
                      <wps:bodyPr/>
                    </wps:wsp>
                  </a:graphicData>
                </a:graphic>
              </wp:anchor>
            </w:drawing>
          </mc:Choice>
          <mc:Fallback>
            <w:pict>
              <v:line id="officeArt object" o:spid="_x0000_s1026" o:spt="20" style="position:absolute;left:0pt;margin-left:-7.4pt;margin-top:4pt;height:0.1pt;width:432.5pt;mso-position-vertical-relative:line;z-index:251661312;mso-width-relative:page;mso-height-relative:page;" filled="f" stroked="t" coordsize="21600,21600" o:gfxdata="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k5WQHYAAAABwEAAA8AAAAAAAAAAQAgAAAAIgAAAGRycy9kb3ducmV2&#10;LnhtbFBLAQIUABQAAAAIAIdO4kCXi8qIwwEAAIgDAAAOAAAAAAAAAAEAIAAAACcBAABkcnMvZTJv&#10;RG9jLnhtbFBLBQYAAAAABgAGAFkBAABcBQAAAAA=&#10;">
                <v:fill on="f" focussize="0,0"/>
                <v:stroke weight="2.25pt" color="#FF0000" miterlimit="8" joinstyle="miter"/>
                <v:imagedata o:title=""/>
                <o:lock v:ext="edit" aspectratio="f"/>
              </v:line>
            </w:pict>
          </mc:Fallback>
        </mc:AlternateContent>
      </w:r>
    </w:p>
    <w:p>
      <w:pPr>
        <w:pStyle w:val="13"/>
        <w:keepNext w:val="0"/>
        <w:keepLines w:val="0"/>
        <w:pageBreakBefore w:val="0"/>
        <w:widowControl/>
        <w:kinsoku/>
        <w:wordWrap/>
        <w:overflowPunct/>
        <w:topLinePunct w:val="0"/>
        <w:autoSpaceDE/>
        <w:autoSpaceDN/>
        <w:bidi w:val="0"/>
        <w:adjustRightInd/>
        <w:snapToGrid/>
        <w:spacing w:before="0" w:beforeLines="100" w:beforeAutospacing="0" w:after="0" w:afterLines="100" w:line="400" w:lineRule="exact"/>
        <w:jc w:val="center"/>
        <w:textAlignment w:val="auto"/>
        <w:rPr>
          <w:rFonts w:hint="eastAsia" w:ascii="黑体" w:hAnsi="黑体" w:eastAsia="黑体" w:cs="黑体"/>
          <w:b/>
          <w:sz w:val="36"/>
          <w:szCs w:val="36"/>
          <w:lang w:eastAsia="zh-CN"/>
        </w:rPr>
      </w:pPr>
      <w:r>
        <w:rPr>
          <w:rFonts w:hint="eastAsia" w:ascii="黑体" w:hAnsi="黑体" w:eastAsia="黑体" w:cs="黑体"/>
          <w:b/>
          <w:sz w:val="36"/>
          <w:szCs w:val="36"/>
          <w:lang w:eastAsia="zh-CN"/>
        </w:rPr>
        <w:t>陕西宝迪名品商业管理有限公司等五家公司</w:t>
      </w:r>
    </w:p>
    <w:p>
      <w:pPr>
        <w:pStyle w:val="13"/>
        <w:keepNext w:val="0"/>
        <w:keepLines w:val="0"/>
        <w:pageBreakBefore w:val="0"/>
        <w:widowControl/>
        <w:kinsoku/>
        <w:wordWrap/>
        <w:overflowPunct/>
        <w:topLinePunct w:val="0"/>
        <w:autoSpaceDE/>
        <w:autoSpaceDN/>
        <w:bidi w:val="0"/>
        <w:adjustRightInd/>
        <w:snapToGrid/>
        <w:spacing w:before="0" w:beforeLines="100" w:beforeAutospacing="0" w:after="0" w:afterLines="100" w:line="400" w:lineRule="exact"/>
        <w:jc w:val="center"/>
        <w:textAlignment w:val="auto"/>
        <w:rPr>
          <w:rFonts w:hint="eastAsia" w:ascii="黑体" w:hAnsi="黑体" w:eastAsia="黑体" w:cs="黑体"/>
          <w:b/>
          <w:sz w:val="36"/>
          <w:szCs w:val="36"/>
        </w:rPr>
      </w:pPr>
      <w:r>
        <w:rPr>
          <w:rFonts w:hint="eastAsia" w:ascii="黑体" w:hAnsi="黑体" w:eastAsia="黑体" w:cs="黑体"/>
          <w:b/>
          <w:sz w:val="36"/>
          <w:szCs w:val="36"/>
          <w:lang w:val="en-US" w:eastAsia="zh-CN"/>
        </w:rPr>
        <w:t>合并</w:t>
      </w:r>
      <w:r>
        <w:rPr>
          <w:rFonts w:hint="eastAsia" w:ascii="黑体" w:hAnsi="黑体" w:eastAsia="黑体" w:cs="黑体"/>
          <w:b/>
          <w:sz w:val="36"/>
          <w:szCs w:val="36"/>
          <w:lang w:eastAsia="zh-CN"/>
        </w:rPr>
        <w:t>预重整</w:t>
      </w:r>
      <w:r>
        <w:rPr>
          <w:rFonts w:hint="eastAsia" w:ascii="黑体" w:hAnsi="黑体" w:eastAsia="黑体" w:cs="黑体"/>
          <w:b/>
          <w:sz w:val="36"/>
          <w:szCs w:val="36"/>
          <w:lang w:val="en-US" w:eastAsia="zh-CN"/>
        </w:rPr>
        <w:t>一案</w:t>
      </w:r>
    </w:p>
    <w:p>
      <w:pPr>
        <w:pStyle w:val="13"/>
        <w:keepNext w:val="0"/>
        <w:keepLines w:val="0"/>
        <w:pageBreakBefore w:val="0"/>
        <w:widowControl/>
        <w:kinsoku/>
        <w:wordWrap/>
        <w:overflowPunct/>
        <w:topLinePunct w:val="0"/>
        <w:autoSpaceDE/>
        <w:autoSpaceDN/>
        <w:bidi w:val="0"/>
        <w:adjustRightInd/>
        <w:snapToGrid/>
        <w:spacing w:before="0" w:beforeLines="100" w:beforeAutospacing="0" w:after="0" w:afterLines="50" w:line="360" w:lineRule="auto"/>
        <w:jc w:val="center"/>
        <w:textAlignment w:val="auto"/>
        <w:rPr>
          <w:rFonts w:hint="eastAsia" w:ascii="黑体" w:hAnsi="黑体" w:eastAsia="黑体" w:cs="黑体"/>
          <w:b/>
          <w:sz w:val="36"/>
          <w:szCs w:val="36"/>
        </w:rPr>
      </w:pPr>
      <w:r>
        <w:rPr>
          <w:rFonts w:hint="eastAsia" w:ascii="黑体" w:hAnsi="黑体" w:eastAsia="黑体" w:cs="黑体"/>
          <w:b/>
          <w:sz w:val="36"/>
          <w:szCs w:val="36"/>
        </w:rPr>
        <w:t>债权申报须知</w:t>
      </w:r>
    </w:p>
    <w:p>
      <w:pPr>
        <w:pStyle w:val="13"/>
        <w:keepNext w:val="0"/>
        <w:keepLines w:val="0"/>
        <w:pageBreakBefore w:val="0"/>
        <w:widowControl/>
        <w:kinsoku/>
        <w:wordWrap/>
        <w:overflowPunct/>
        <w:topLinePunct w:val="0"/>
        <w:autoSpaceDE/>
        <w:autoSpaceDN/>
        <w:bidi w:val="0"/>
        <w:adjustRightInd/>
        <w:snapToGrid/>
        <w:spacing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5</w:t>
      </w:r>
      <w:r>
        <w:rPr>
          <w:rFonts w:hint="eastAsia" w:ascii="仿宋" w:hAnsi="仿宋" w:eastAsia="仿宋" w:cs="仿宋"/>
          <w:sz w:val="28"/>
          <w:szCs w:val="28"/>
        </w:rPr>
        <w:t>日，</w:t>
      </w:r>
      <w:r>
        <w:rPr>
          <w:rFonts w:hint="eastAsia" w:ascii="仿宋" w:hAnsi="仿宋" w:eastAsia="仿宋" w:cs="仿宋"/>
          <w:sz w:val="28"/>
          <w:szCs w:val="28"/>
          <w:lang w:val="en-US" w:eastAsia="zh-Hans"/>
        </w:rPr>
        <w:t>西安市中级</w:t>
      </w:r>
      <w:r>
        <w:rPr>
          <w:rFonts w:hint="eastAsia" w:ascii="仿宋" w:hAnsi="仿宋" w:eastAsia="仿宋" w:cs="仿宋"/>
          <w:sz w:val="28"/>
          <w:szCs w:val="28"/>
        </w:rPr>
        <w:t>人民法院决定对</w:t>
      </w:r>
      <w:r>
        <w:rPr>
          <w:rFonts w:hint="eastAsia" w:ascii="仿宋" w:hAnsi="仿宋" w:eastAsia="仿宋" w:cs="仿宋"/>
          <w:sz w:val="28"/>
          <w:szCs w:val="28"/>
          <w:lang w:val="zh-TW" w:eastAsia="zh-CN"/>
        </w:rPr>
        <w:t>陕西宝迪名品商业管理有限公司、西安宝迪工贸有限责任公司、陕西宝迪国际贸易发展有限公司、西安缇雅服饰有限公司、陕西泰乐健康文化科技有限公司</w:t>
      </w:r>
      <w:r>
        <w:rPr>
          <w:rFonts w:hint="eastAsia" w:ascii="仿宋" w:hAnsi="仿宋" w:eastAsia="仿宋" w:cs="仿宋"/>
          <w:sz w:val="28"/>
          <w:szCs w:val="28"/>
          <w:lang w:val="en-US" w:eastAsia="zh-CN"/>
        </w:rPr>
        <w:t>共</w:t>
      </w:r>
      <w:r>
        <w:rPr>
          <w:rFonts w:hint="eastAsia" w:ascii="仿宋" w:hAnsi="仿宋" w:eastAsia="仿宋" w:cs="仿宋"/>
          <w:sz w:val="28"/>
          <w:szCs w:val="28"/>
          <w:lang w:eastAsia="zh-CN"/>
        </w:rPr>
        <w:t>五家公司（</w:t>
      </w:r>
      <w:r>
        <w:rPr>
          <w:rFonts w:hint="eastAsia" w:ascii="仿宋" w:hAnsi="仿宋" w:eastAsia="仿宋" w:cs="仿宋"/>
          <w:sz w:val="28"/>
          <w:szCs w:val="28"/>
          <w:lang w:val="en-US" w:eastAsia="zh-CN"/>
        </w:rPr>
        <w:t>以下整体简称“宝迪公司”</w:t>
      </w:r>
      <w:r>
        <w:rPr>
          <w:rFonts w:hint="eastAsia" w:ascii="仿宋" w:hAnsi="仿宋" w:eastAsia="仿宋" w:cs="仿宋"/>
          <w:sz w:val="28"/>
          <w:szCs w:val="28"/>
          <w:lang w:eastAsia="zh-CN"/>
        </w:rPr>
        <w:t>）</w:t>
      </w:r>
      <w:r>
        <w:rPr>
          <w:rFonts w:hint="eastAsia" w:ascii="仿宋" w:hAnsi="仿宋" w:eastAsia="仿宋" w:cs="仿宋"/>
          <w:sz w:val="28"/>
          <w:szCs w:val="28"/>
        </w:rPr>
        <w:t>进行</w:t>
      </w:r>
      <w:r>
        <w:rPr>
          <w:rFonts w:hint="eastAsia" w:ascii="仿宋" w:hAnsi="仿宋" w:eastAsia="仿宋" w:cs="仿宋"/>
          <w:sz w:val="28"/>
          <w:szCs w:val="28"/>
          <w:lang w:val="en-US" w:eastAsia="zh-CN"/>
        </w:rPr>
        <w:t>合并</w:t>
      </w:r>
      <w:r>
        <w:rPr>
          <w:rFonts w:hint="eastAsia" w:ascii="仿宋" w:hAnsi="仿宋" w:eastAsia="仿宋" w:cs="仿宋"/>
          <w:sz w:val="28"/>
          <w:szCs w:val="28"/>
        </w:rPr>
        <w:t>预重整</w:t>
      </w:r>
      <w:r>
        <w:rPr>
          <w:rFonts w:hint="eastAsia" w:ascii="仿宋" w:hAnsi="仿宋" w:eastAsia="仿宋" w:cs="仿宋"/>
          <w:sz w:val="28"/>
          <w:szCs w:val="28"/>
          <w:lang w:eastAsia="zh-CN"/>
        </w:rPr>
        <w:t>，</w:t>
      </w:r>
      <w:r>
        <w:rPr>
          <w:rFonts w:hint="eastAsia" w:ascii="仿宋" w:hAnsi="仿宋" w:eastAsia="仿宋" w:cs="仿宋"/>
          <w:sz w:val="28"/>
          <w:szCs w:val="28"/>
        </w:rPr>
        <w:t>并指定</w:t>
      </w:r>
      <w:r>
        <w:rPr>
          <w:rFonts w:hint="eastAsia" w:ascii="仿宋" w:hAnsi="仿宋" w:eastAsia="仿宋" w:cs="仿宋"/>
          <w:sz w:val="28"/>
          <w:szCs w:val="28"/>
          <w:lang w:eastAsia="zh-CN"/>
        </w:rPr>
        <w:t>陕西同泰律师事务所担任预重整</w:t>
      </w:r>
      <w:r>
        <w:rPr>
          <w:rFonts w:hint="eastAsia" w:ascii="仿宋" w:hAnsi="仿宋" w:eastAsia="仿宋" w:cs="仿宋"/>
          <w:sz w:val="28"/>
          <w:szCs w:val="28"/>
        </w:rPr>
        <w:t>临时管理人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以下简称“临时管理人”</w:t>
      </w:r>
      <w:r>
        <w:rPr>
          <w:rFonts w:hint="eastAsia" w:ascii="仿宋" w:hAnsi="仿宋" w:eastAsia="仿宋" w:cs="仿宋"/>
          <w:sz w:val="28"/>
          <w:szCs w:val="28"/>
          <w:lang w:eastAsia="zh-CN"/>
        </w:rPr>
        <w:t>）</w:t>
      </w:r>
      <w:r>
        <w:rPr>
          <w:rFonts w:hint="eastAsia" w:ascii="仿宋" w:hAnsi="仿宋" w:eastAsia="仿宋" w:cs="仿宋"/>
          <w:sz w:val="28"/>
          <w:szCs w:val="28"/>
        </w:rPr>
        <w:t>。陕西宝迪名品商业管理有限公司</w:t>
      </w:r>
      <w:r>
        <w:rPr>
          <w:rFonts w:hint="eastAsia" w:ascii="仿宋" w:hAnsi="仿宋" w:eastAsia="仿宋" w:cs="仿宋"/>
          <w:sz w:val="28"/>
          <w:szCs w:val="28"/>
          <w:lang w:val="en-US" w:eastAsia="zh-CN"/>
        </w:rPr>
        <w:t>等五家公司</w:t>
      </w:r>
      <w:r>
        <w:rPr>
          <w:rFonts w:hint="eastAsia" w:ascii="仿宋" w:hAnsi="仿宋" w:eastAsia="仿宋" w:cs="仿宋"/>
          <w:sz w:val="28"/>
          <w:szCs w:val="28"/>
        </w:rPr>
        <w:t>的债权人应当依法向临时管理人申报债权。为明确债权申报的有关事项，帮助债权人顺利申报债权，临时管理人现就相关问题作如下指引：</w:t>
      </w:r>
    </w:p>
    <w:p>
      <w:pPr>
        <w:pStyle w:val="13"/>
        <w:keepNext w:val="0"/>
        <w:keepLines w:val="0"/>
        <w:pageBreakBefore w:val="0"/>
        <w:widowControl/>
        <w:numPr>
          <w:ilvl w:val="0"/>
          <w:numId w:val="1"/>
        </w:numPr>
        <w:kinsoku/>
        <w:wordWrap/>
        <w:overflowPunct/>
        <w:topLinePunct w:val="0"/>
        <w:autoSpaceDE/>
        <w:autoSpaceDN/>
        <w:bidi w:val="0"/>
        <w:adjustRightInd/>
        <w:snapToGrid/>
        <w:spacing w:before="240" w:beforeLines="100" w:beforeAutospacing="0" w:after="0" w:afterLines="50" w:line="360" w:lineRule="auto"/>
        <w:ind w:left="845"/>
        <w:textAlignment w:val="auto"/>
        <w:rPr>
          <w:rFonts w:hint="eastAsia" w:ascii="仿宋" w:hAnsi="仿宋" w:eastAsia="仿宋" w:cs="仿宋"/>
          <w:b/>
          <w:sz w:val="28"/>
          <w:szCs w:val="28"/>
        </w:rPr>
      </w:pPr>
      <w:r>
        <w:rPr>
          <w:rFonts w:hint="eastAsia" w:ascii="仿宋" w:hAnsi="仿宋" w:eastAsia="仿宋" w:cs="仿宋"/>
          <w:b/>
          <w:sz w:val="28"/>
          <w:szCs w:val="28"/>
        </w:rPr>
        <w:t>债权申报主体</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根据《中华人民共和国企业破产法》（以下简称“《企业破产法》”）及《陕西省高级人民法院破产案件审理规程（试行）》</w:t>
      </w:r>
      <w:r>
        <w:rPr>
          <w:rFonts w:hint="eastAsia" w:ascii="仿宋" w:hAnsi="仿宋" w:eastAsia="仿宋" w:cs="仿宋"/>
          <w:sz w:val="28"/>
          <w:szCs w:val="28"/>
          <w:lang w:val="en-US" w:eastAsia="zh-Hans"/>
        </w:rPr>
        <w:t>等法律法规</w:t>
      </w:r>
      <w:r>
        <w:rPr>
          <w:rFonts w:hint="eastAsia" w:ascii="仿宋" w:hAnsi="仿宋" w:eastAsia="仿宋" w:cs="仿宋"/>
          <w:sz w:val="28"/>
          <w:szCs w:val="28"/>
        </w:rPr>
        <w:t>的规定，法院受理预重整时对</w:t>
      </w:r>
      <w:r>
        <w:rPr>
          <w:rFonts w:hint="eastAsia" w:ascii="仿宋" w:hAnsi="仿宋" w:eastAsia="仿宋" w:cs="仿宋"/>
          <w:sz w:val="28"/>
          <w:szCs w:val="28"/>
          <w:lang w:eastAsia="zh-CN"/>
        </w:rPr>
        <w:t>陕西宝迪名品商业管理有限公司等五家公司</w:t>
      </w:r>
      <w:r>
        <w:rPr>
          <w:rFonts w:hint="eastAsia" w:ascii="仿宋" w:hAnsi="仿宋" w:eastAsia="仿宋" w:cs="仿宋"/>
          <w:sz w:val="28"/>
          <w:szCs w:val="28"/>
        </w:rPr>
        <w:t>享有债权的债权人，均可以向临时管理人申报债权。未到期的债权，在预重整申请受理时视为到期，相关债权人可向临时管理人申报债权。附条件、附期限的债权和诉讼、仲裁未决的债权，债权人亦可向临时管理人申报债权。</w:t>
      </w:r>
    </w:p>
    <w:p>
      <w:pPr>
        <w:pStyle w:val="13"/>
        <w:keepNext w:val="0"/>
        <w:keepLines w:val="0"/>
        <w:pageBreakBefore w:val="0"/>
        <w:widowControl/>
        <w:numPr>
          <w:ilvl w:val="0"/>
          <w:numId w:val="1"/>
        </w:numPr>
        <w:kinsoku/>
        <w:wordWrap/>
        <w:overflowPunct/>
        <w:topLinePunct w:val="0"/>
        <w:autoSpaceDE/>
        <w:autoSpaceDN/>
        <w:bidi w:val="0"/>
        <w:adjustRightInd/>
        <w:snapToGrid/>
        <w:spacing w:before="240" w:beforeLines="100" w:beforeAutospacing="0" w:after="0" w:afterLines="50" w:line="360" w:lineRule="auto"/>
        <w:ind w:left="845"/>
        <w:textAlignment w:val="auto"/>
        <w:rPr>
          <w:rFonts w:hint="eastAsia" w:ascii="仿宋" w:hAnsi="仿宋" w:eastAsia="仿宋" w:cs="仿宋"/>
          <w:b/>
          <w:sz w:val="28"/>
          <w:szCs w:val="28"/>
        </w:rPr>
      </w:pPr>
      <w:r>
        <w:rPr>
          <w:rFonts w:hint="eastAsia" w:ascii="仿宋" w:hAnsi="仿宋" w:eastAsia="仿宋" w:cs="仿宋"/>
          <w:b/>
          <w:sz w:val="28"/>
          <w:szCs w:val="28"/>
        </w:rPr>
        <w:t>债权申报期限及申报时间</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宝迪公司</w:t>
      </w:r>
      <w:r>
        <w:rPr>
          <w:rFonts w:hint="eastAsia" w:ascii="仿宋" w:hAnsi="仿宋" w:eastAsia="仿宋" w:cs="仿宋"/>
          <w:sz w:val="28"/>
          <w:szCs w:val="28"/>
        </w:rPr>
        <w:t>的债权人应在</w:t>
      </w:r>
      <w:r>
        <w:rPr>
          <w:rFonts w:hint="eastAsia" w:ascii="仿宋" w:hAnsi="仿宋" w:eastAsia="仿宋" w:cs="仿宋"/>
          <w:b/>
          <w:bCs/>
          <w:sz w:val="28"/>
          <w:szCs w:val="28"/>
          <w:highlight w:val="none"/>
        </w:rPr>
        <w:t>202</w:t>
      </w:r>
      <w:r>
        <w:rPr>
          <w:rFonts w:hint="eastAsia" w:ascii="仿宋" w:hAnsi="仿宋" w:eastAsia="仿宋" w:cs="仿宋"/>
          <w:b/>
          <w:bCs/>
          <w:sz w:val="28"/>
          <w:szCs w:val="28"/>
          <w:highlight w:val="none"/>
          <w:lang w:val="en-US" w:eastAsia="zh-CN"/>
        </w:rPr>
        <w:t>2</w:t>
      </w:r>
      <w:r>
        <w:rPr>
          <w:rFonts w:hint="eastAsia" w:ascii="仿宋" w:hAnsi="仿宋" w:eastAsia="仿宋" w:cs="仿宋"/>
          <w:b/>
          <w:bCs/>
          <w:sz w:val="28"/>
          <w:szCs w:val="28"/>
          <w:highlight w:val="none"/>
        </w:rPr>
        <w:t>年</w:t>
      </w:r>
      <w:r>
        <w:rPr>
          <w:rFonts w:hint="eastAsia" w:ascii="仿宋" w:hAnsi="仿宋" w:eastAsia="仿宋" w:cs="仿宋"/>
          <w:b/>
          <w:bCs/>
          <w:sz w:val="28"/>
          <w:szCs w:val="28"/>
          <w:highlight w:val="none"/>
          <w:lang w:val="en-US" w:eastAsia="zh-CN"/>
        </w:rPr>
        <w:t>2</w:t>
      </w:r>
      <w:r>
        <w:rPr>
          <w:rFonts w:hint="eastAsia" w:ascii="仿宋" w:hAnsi="仿宋" w:eastAsia="仿宋" w:cs="仿宋"/>
          <w:b/>
          <w:bCs/>
          <w:sz w:val="28"/>
          <w:szCs w:val="28"/>
          <w:highlight w:val="none"/>
        </w:rPr>
        <w:t>月</w:t>
      </w:r>
      <w:r>
        <w:rPr>
          <w:rFonts w:hint="eastAsia" w:ascii="仿宋" w:hAnsi="仿宋" w:eastAsia="仿宋" w:cs="仿宋"/>
          <w:b/>
          <w:bCs/>
          <w:sz w:val="28"/>
          <w:szCs w:val="28"/>
          <w:highlight w:val="none"/>
          <w:lang w:val="en-US" w:eastAsia="zh-CN"/>
        </w:rPr>
        <w:t>12</w:t>
      </w:r>
      <w:r>
        <w:rPr>
          <w:rFonts w:hint="eastAsia" w:ascii="仿宋" w:hAnsi="仿宋" w:eastAsia="仿宋" w:cs="仿宋"/>
          <w:b/>
          <w:bCs/>
          <w:sz w:val="28"/>
          <w:szCs w:val="28"/>
          <w:highlight w:val="none"/>
        </w:rPr>
        <w:t>日前</w:t>
      </w:r>
      <w:r>
        <w:rPr>
          <w:rFonts w:hint="eastAsia" w:ascii="仿宋" w:hAnsi="仿宋" w:eastAsia="仿宋" w:cs="仿宋"/>
          <w:sz w:val="28"/>
          <w:szCs w:val="28"/>
        </w:rPr>
        <w:t>，向</w:t>
      </w:r>
      <w:r>
        <w:rPr>
          <w:rFonts w:hint="eastAsia" w:ascii="仿宋" w:hAnsi="仿宋" w:eastAsia="仿宋" w:cs="仿宋"/>
          <w:sz w:val="28"/>
          <w:szCs w:val="28"/>
          <w:lang w:eastAsia="zh-CN"/>
        </w:rPr>
        <w:t>宝迪公司</w:t>
      </w:r>
      <w:r>
        <w:rPr>
          <w:rFonts w:hint="eastAsia" w:ascii="仿宋" w:hAnsi="仿宋" w:eastAsia="仿宋" w:cs="仿宋"/>
          <w:sz w:val="28"/>
          <w:szCs w:val="28"/>
        </w:rPr>
        <w:t>临时管理人申报债权。</w:t>
      </w:r>
    </w:p>
    <w:p>
      <w:pPr>
        <w:pStyle w:val="13"/>
        <w:keepNext w:val="0"/>
        <w:keepLines w:val="0"/>
        <w:pageBreakBefore w:val="0"/>
        <w:widowControl/>
        <w:numPr>
          <w:ilvl w:val="0"/>
          <w:numId w:val="1"/>
        </w:numPr>
        <w:kinsoku/>
        <w:wordWrap/>
        <w:overflowPunct/>
        <w:topLinePunct w:val="0"/>
        <w:autoSpaceDE/>
        <w:autoSpaceDN/>
        <w:bidi w:val="0"/>
        <w:adjustRightInd/>
        <w:snapToGrid/>
        <w:spacing w:before="240" w:beforeLines="100" w:beforeAutospacing="0" w:after="0" w:afterLines="50" w:line="360" w:lineRule="auto"/>
        <w:textAlignment w:val="auto"/>
        <w:rPr>
          <w:rFonts w:hint="eastAsia" w:ascii="仿宋" w:hAnsi="仿宋" w:eastAsia="仿宋" w:cs="仿宋"/>
          <w:b/>
          <w:sz w:val="28"/>
          <w:szCs w:val="28"/>
        </w:rPr>
      </w:pPr>
      <w:r>
        <w:rPr>
          <w:rFonts w:hint="eastAsia" w:ascii="仿宋" w:hAnsi="仿宋" w:eastAsia="仿宋" w:cs="仿宋"/>
          <w:b/>
          <w:sz w:val="28"/>
          <w:szCs w:val="28"/>
        </w:rPr>
        <w:t>债权申报方式和申报地址</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债权人可以采用通过破易通进行线上填报或</w:t>
      </w:r>
      <w:r>
        <w:rPr>
          <w:rFonts w:hint="eastAsia" w:ascii="仿宋" w:hAnsi="仿宋" w:eastAsia="仿宋" w:cs="仿宋"/>
          <w:sz w:val="28"/>
          <w:szCs w:val="28"/>
          <w:lang w:val="en-US" w:eastAsia="zh-CN"/>
        </w:rPr>
        <w:t>通过邮寄</w:t>
      </w:r>
      <w:r>
        <w:rPr>
          <w:rFonts w:hint="eastAsia" w:ascii="仿宋" w:hAnsi="仿宋" w:eastAsia="仿宋" w:cs="仿宋"/>
          <w:sz w:val="28"/>
          <w:szCs w:val="28"/>
        </w:rPr>
        <w:t>提交材料两种方式向临时管理人申报债权。</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（一）破易通线上申报操作方法如下：</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方法一：手机微信扫描债权申报通知书后附的自主申报二维码，根据提示完成登录、债权申报</w:t>
      </w:r>
      <w:r>
        <w:rPr>
          <w:rFonts w:hint="eastAsia" w:ascii="仿宋" w:hAnsi="仿宋" w:eastAsia="仿宋" w:cs="仿宋"/>
          <w:sz w:val="28"/>
          <w:szCs w:val="28"/>
          <w:lang w:eastAsia="zh-CN"/>
        </w:rPr>
        <w:t>，</w:t>
      </w:r>
      <w:r>
        <w:rPr>
          <w:rFonts w:hint="eastAsia" w:ascii="仿宋" w:hAnsi="仿宋" w:eastAsia="仿宋" w:cs="仿宋"/>
          <w:sz w:val="28"/>
          <w:szCs w:val="28"/>
        </w:rPr>
        <w:t>本案识别码 11</w:t>
      </w:r>
      <w:r>
        <w:rPr>
          <w:rFonts w:hint="default" w:ascii="仿宋" w:hAnsi="仿宋" w:eastAsia="仿宋" w:cs="仿宋"/>
          <w:sz w:val="28"/>
          <w:szCs w:val="28"/>
        </w:rPr>
        <w:t>2597</w:t>
      </w:r>
      <w:r>
        <w:rPr>
          <w:rFonts w:hint="eastAsia" w:ascii="仿宋" w:hAnsi="仿宋" w:eastAsia="仿宋" w:cs="仿宋"/>
          <w:sz w:val="28"/>
          <w:szCs w:val="28"/>
        </w:rPr>
        <w:t>；</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方法二：电脑网页登录https://www.poyitong.com/，选择“我是债权人”申报债权，本案识别码 11</w:t>
      </w:r>
      <w:r>
        <w:rPr>
          <w:rFonts w:hint="default" w:ascii="仿宋" w:hAnsi="仿宋" w:eastAsia="仿宋" w:cs="仿宋"/>
          <w:sz w:val="28"/>
          <w:szCs w:val="28"/>
        </w:rPr>
        <w:t>2597</w:t>
      </w:r>
      <w:r>
        <w:rPr>
          <w:rFonts w:hint="eastAsia" w:ascii="仿宋" w:hAnsi="仿宋" w:eastAsia="仿宋" w:cs="仿宋"/>
          <w:sz w:val="28"/>
          <w:szCs w:val="28"/>
        </w:rPr>
        <w:t>。</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线上申报如遇到操作问题，可联系“破易通”客服（服务电话：4009993390，工作时间9:00-12:00,14:00-18:00，请在工作时间内致电咨询）</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（二）线下申报地址及临时管理人联系方式如下：</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lang w:val="en-US" w:eastAsia="zh-Hans"/>
        </w:rPr>
        <w:t>陕西省</w:t>
      </w:r>
      <w:r>
        <w:rPr>
          <w:rFonts w:hint="eastAsia" w:ascii="仿宋" w:hAnsi="仿宋" w:eastAsia="仿宋" w:cs="仿宋"/>
          <w:sz w:val="28"/>
          <w:szCs w:val="28"/>
        </w:rPr>
        <w:t>西安市高新区唐延路南段CLASS国际公馆B座604室债权申报处；</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联系人：</w:t>
      </w:r>
      <w:r>
        <w:rPr>
          <w:rFonts w:hint="eastAsia" w:ascii="仿宋" w:hAnsi="仿宋" w:eastAsia="仿宋" w:cs="仿宋"/>
          <w:sz w:val="28"/>
          <w:szCs w:val="28"/>
          <w:lang w:val="en-US" w:eastAsia="zh-Hans"/>
        </w:rPr>
        <w:t>王</w:t>
      </w:r>
      <w:r>
        <w:rPr>
          <w:rFonts w:hint="eastAsia" w:ascii="仿宋" w:hAnsi="仿宋" w:eastAsia="仿宋" w:cs="仿宋"/>
          <w:sz w:val="28"/>
          <w:szCs w:val="28"/>
          <w:lang w:eastAsia="zh-CN"/>
        </w:rPr>
        <w:t>律师、</w:t>
      </w:r>
      <w:r>
        <w:rPr>
          <w:rFonts w:hint="eastAsia" w:ascii="仿宋" w:hAnsi="仿宋" w:eastAsia="仿宋" w:cs="仿宋"/>
          <w:sz w:val="28"/>
          <w:szCs w:val="28"/>
          <w:lang w:val="en-US" w:eastAsia="zh-Hans"/>
        </w:rPr>
        <w:t>姚</w:t>
      </w:r>
      <w:r>
        <w:rPr>
          <w:rFonts w:hint="eastAsia" w:ascii="仿宋" w:hAnsi="仿宋" w:eastAsia="仿宋" w:cs="仿宋"/>
          <w:sz w:val="28"/>
          <w:szCs w:val="28"/>
          <w:lang w:eastAsia="zh-CN"/>
        </w:rPr>
        <w:t>律师</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联系方式</w:t>
      </w:r>
      <w:r>
        <w:rPr>
          <w:rFonts w:hint="eastAsia" w:ascii="仿宋" w:hAnsi="仿宋" w:eastAsia="仿宋" w:cs="仿宋"/>
          <w:sz w:val="28"/>
          <w:szCs w:val="28"/>
          <w:lang w:eastAsia="zh-Hans"/>
        </w:rPr>
        <w:t>：</w:t>
      </w:r>
      <w:r>
        <w:rPr>
          <w:rFonts w:hint="eastAsia" w:ascii="仿宋" w:hAnsi="仿宋" w:eastAsia="仿宋" w:cs="仿宋"/>
          <w:b w:val="0"/>
          <w:bCs w:val="0"/>
          <w:color w:val="auto"/>
          <w:sz w:val="28"/>
          <w:szCs w:val="28"/>
          <w:lang w:val="en-US" w:eastAsia="zh-CN"/>
        </w:rPr>
        <w:t>18629310701</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因疫情防控原因</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临时管理人暂不接受现场申报</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申报材料以邮寄方式提交临时管理人</w:t>
      </w:r>
      <w:r>
        <w:rPr>
          <w:rFonts w:hint="eastAsia" w:ascii="仿宋" w:hAnsi="仿宋" w:eastAsia="仿宋" w:cs="仿宋"/>
          <w:sz w:val="28"/>
          <w:szCs w:val="28"/>
          <w:lang w:eastAsia="zh-Hans"/>
        </w:rPr>
        <w:t>。</w:t>
      </w:r>
    </w:p>
    <w:p>
      <w:pPr>
        <w:pStyle w:val="13"/>
        <w:keepNext w:val="0"/>
        <w:keepLines w:val="0"/>
        <w:pageBreakBefore w:val="0"/>
        <w:widowControl/>
        <w:numPr>
          <w:ilvl w:val="0"/>
          <w:numId w:val="1"/>
        </w:numPr>
        <w:kinsoku/>
        <w:wordWrap/>
        <w:overflowPunct/>
        <w:topLinePunct w:val="0"/>
        <w:autoSpaceDE/>
        <w:autoSpaceDN/>
        <w:bidi w:val="0"/>
        <w:adjustRightInd/>
        <w:snapToGrid/>
        <w:spacing w:before="240" w:beforeLines="100" w:beforeAutospacing="0" w:after="0" w:afterLines="50" w:line="360" w:lineRule="auto"/>
        <w:textAlignment w:val="auto"/>
        <w:rPr>
          <w:rFonts w:hint="eastAsia" w:ascii="仿宋" w:hAnsi="仿宋" w:eastAsia="仿宋" w:cs="仿宋"/>
          <w:b/>
          <w:sz w:val="28"/>
          <w:szCs w:val="28"/>
        </w:rPr>
      </w:pPr>
      <w:r>
        <w:rPr>
          <w:rFonts w:hint="eastAsia" w:ascii="仿宋" w:hAnsi="仿宋" w:eastAsia="仿宋" w:cs="仿宋"/>
          <w:b/>
          <w:sz w:val="28"/>
          <w:szCs w:val="28"/>
        </w:rPr>
        <w:t>债权申报应当提交的材料</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债权人申报债权时，需提交如下</w:t>
      </w:r>
      <w:r>
        <w:rPr>
          <w:rFonts w:hint="eastAsia" w:ascii="仿宋" w:hAnsi="仿宋" w:eastAsia="仿宋" w:cs="仿宋"/>
          <w:b/>
          <w:sz w:val="28"/>
          <w:szCs w:val="28"/>
        </w:rPr>
        <w:t>申报材料</w:t>
      </w:r>
      <w:r>
        <w:rPr>
          <w:rFonts w:hint="eastAsia" w:ascii="仿宋" w:hAnsi="仿宋" w:eastAsia="仿宋" w:cs="仿宋"/>
          <w:sz w:val="28"/>
          <w:szCs w:val="28"/>
        </w:rPr>
        <w:t>，纸质申报材料需</w:t>
      </w:r>
      <w:r>
        <w:rPr>
          <w:rFonts w:hint="eastAsia" w:ascii="仿宋" w:hAnsi="仿宋" w:eastAsia="仿宋" w:cs="仿宋"/>
          <w:b/>
          <w:sz w:val="28"/>
          <w:szCs w:val="28"/>
        </w:rPr>
        <w:t>一式两份</w:t>
      </w:r>
      <w:r>
        <w:rPr>
          <w:rFonts w:hint="eastAsia" w:ascii="仿宋" w:hAnsi="仿宋" w:eastAsia="仿宋" w:cs="仿宋"/>
          <w:sz w:val="28"/>
          <w:szCs w:val="28"/>
        </w:rPr>
        <w:t>，使用破易通申报上传</w:t>
      </w:r>
      <w:r>
        <w:rPr>
          <w:rFonts w:hint="eastAsia" w:ascii="仿宋" w:hAnsi="仿宋" w:eastAsia="仿宋" w:cs="仿宋"/>
          <w:b/>
          <w:sz w:val="28"/>
          <w:szCs w:val="28"/>
          <w:lang w:val="en-US" w:eastAsia="zh-CN"/>
        </w:rPr>
        <w:t>原件的</w:t>
      </w:r>
      <w:r>
        <w:rPr>
          <w:rFonts w:hint="eastAsia" w:ascii="仿宋" w:hAnsi="仿宋" w:eastAsia="仿宋" w:cs="仿宋"/>
          <w:b/>
          <w:sz w:val="28"/>
          <w:szCs w:val="28"/>
        </w:rPr>
        <w:t>电子版材料</w:t>
      </w:r>
      <w:r>
        <w:rPr>
          <w:rFonts w:hint="eastAsia" w:ascii="仿宋" w:hAnsi="仿宋" w:eastAsia="仿宋" w:cs="仿宋"/>
          <w:sz w:val="28"/>
          <w:szCs w:val="28"/>
        </w:rPr>
        <w:t>。</w:t>
      </w:r>
    </w:p>
    <w:p>
      <w:pPr>
        <w:pStyle w:val="13"/>
        <w:keepNext w:val="0"/>
        <w:keepLines w:val="0"/>
        <w:pageBreakBefore w:val="0"/>
        <w:widowControl/>
        <w:numPr>
          <w:ilvl w:val="0"/>
          <w:numId w:val="2"/>
        </w:numPr>
        <w:kinsoku/>
        <w:wordWrap/>
        <w:overflowPunct/>
        <w:topLinePunct w:val="0"/>
        <w:autoSpaceDE/>
        <w:autoSpaceDN/>
        <w:bidi w:val="0"/>
        <w:adjustRightInd/>
        <w:snapToGrid/>
        <w:spacing w:before="120" w:beforeLines="50" w:beforeAutospacing="0" w:after="0" w:afterLines="50" w:line="360" w:lineRule="auto"/>
        <w:ind w:left="0" w:firstLine="425"/>
        <w:textAlignment w:val="auto"/>
        <w:rPr>
          <w:rFonts w:hint="eastAsia" w:ascii="仿宋" w:hAnsi="仿宋" w:eastAsia="仿宋" w:cs="仿宋"/>
          <w:b/>
          <w:sz w:val="28"/>
          <w:szCs w:val="28"/>
        </w:rPr>
      </w:pPr>
      <w:r>
        <w:rPr>
          <w:rFonts w:hint="eastAsia" w:ascii="仿宋" w:hAnsi="仿宋" w:eastAsia="仿宋" w:cs="仿宋"/>
          <w:b/>
          <w:sz w:val="28"/>
          <w:szCs w:val="28"/>
        </w:rPr>
        <w:t>债权申报表、债权申报材料目录、债权人联系方式确认书、债权人承诺书</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请在</w:t>
      </w:r>
      <w:r>
        <w:rPr>
          <w:rFonts w:hint="eastAsia" w:ascii="仿宋" w:hAnsi="仿宋" w:eastAsia="仿宋" w:cs="仿宋"/>
          <w:b/>
          <w:sz w:val="28"/>
          <w:szCs w:val="28"/>
        </w:rPr>
        <w:t>债权申报表</w:t>
      </w:r>
      <w:r>
        <w:rPr>
          <w:rFonts w:hint="eastAsia" w:ascii="仿宋" w:hAnsi="仿宋" w:eastAsia="仿宋" w:cs="仿宋"/>
          <w:sz w:val="28"/>
          <w:szCs w:val="28"/>
        </w:rPr>
        <w:t>中填写债权申报人的基本信息、联系方式、申报债权金额、是否存在担保以及诉讼、仲裁等情况。</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请在</w:t>
      </w:r>
      <w:r>
        <w:rPr>
          <w:rFonts w:hint="eastAsia" w:ascii="仿宋" w:hAnsi="仿宋" w:eastAsia="仿宋" w:cs="仿宋"/>
          <w:b/>
          <w:sz w:val="28"/>
          <w:szCs w:val="28"/>
        </w:rPr>
        <w:t>债权申报材料目录</w:t>
      </w:r>
      <w:r>
        <w:rPr>
          <w:rFonts w:hint="eastAsia" w:ascii="仿宋" w:hAnsi="仿宋" w:eastAsia="仿宋" w:cs="仿宋"/>
          <w:sz w:val="28"/>
          <w:szCs w:val="28"/>
        </w:rPr>
        <w:t>中按序填写提交的材料名称，若为纸质材料请注明份数，是否原件等。</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请在</w:t>
      </w:r>
      <w:r>
        <w:rPr>
          <w:rFonts w:hint="eastAsia" w:ascii="仿宋" w:hAnsi="仿宋" w:eastAsia="仿宋" w:cs="仿宋"/>
          <w:b/>
          <w:sz w:val="28"/>
          <w:szCs w:val="28"/>
        </w:rPr>
        <w:t>债权申报表第二页</w:t>
      </w:r>
      <w:r>
        <w:rPr>
          <w:rFonts w:hint="eastAsia" w:ascii="仿宋" w:hAnsi="仿宋" w:eastAsia="仿宋" w:cs="仿宋"/>
          <w:bCs/>
          <w:sz w:val="28"/>
          <w:szCs w:val="28"/>
        </w:rPr>
        <w:t>处</w:t>
      </w:r>
      <w:r>
        <w:rPr>
          <w:rFonts w:hint="eastAsia" w:ascii="仿宋" w:hAnsi="仿宋" w:eastAsia="仿宋" w:cs="仿宋"/>
          <w:sz w:val="28"/>
          <w:szCs w:val="28"/>
        </w:rPr>
        <w:t>具体写明债权构成，利息计算方式（如有），债权性质、债权形成原因及经过等情况，可附页。</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债权人为</w:t>
      </w:r>
      <w:r>
        <w:rPr>
          <w:rFonts w:hint="eastAsia" w:ascii="仿宋" w:hAnsi="仿宋" w:eastAsia="仿宋" w:cs="仿宋"/>
          <w:b/>
          <w:sz w:val="28"/>
          <w:szCs w:val="28"/>
        </w:rPr>
        <w:t>公司等机构</w:t>
      </w:r>
      <w:r>
        <w:rPr>
          <w:rFonts w:hint="eastAsia" w:ascii="仿宋" w:hAnsi="仿宋" w:eastAsia="仿宋" w:cs="仿宋"/>
          <w:sz w:val="28"/>
          <w:szCs w:val="28"/>
        </w:rPr>
        <w:t>的，申报表、材料目录、联系方式确认书、承诺书等须</w:t>
      </w:r>
      <w:r>
        <w:rPr>
          <w:rFonts w:hint="eastAsia" w:ascii="仿宋" w:hAnsi="仿宋" w:eastAsia="仿宋" w:cs="仿宋"/>
          <w:b/>
          <w:sz w:val="28"/>
          <w:szCs w:val="28"/>
        </w:rPr>
        <w:t>加盖公章</w:t>
      </w:r>
      <w:r>
        <w:rPr>
          <w:rFonts w:hint="eastAsia" w:ascii="仿宋" w:hAnsi="仿宋" w:eastAsia="仿宋" w:cs="仿宋"/>
          <w:sz w:val="28"/>
          <w:szCs w:val="28"/>
        </w:rPr>
        <w:t>；债权人为自然人的，须</w:t>
      </w:r>
      <w:r>
        <w:rPr>
          <w:rFonts w:hint="eastAsia" w:ascii="仿宋" w:hAnsi="仿宋" w:eastAsia="仿宋" w:cs="仿宋"/>
          <w:b/>
          <w:sz w:val="28"/>
          <w:szCs w:val="28"/>
        </w:rPr>
        <w:t>由债权人本人签名并摁手印</w:t>
      </w:r>
      <w:r>
        <w:rPr>
          <w:rFonts w:hint="eastAsia" w:ascii="仿宋" w:hAnsi="仿宋" w:eastAsia="仿宋" w:cs="仿宋"/>
          <w:sz w:val="28"/>
          <w:szCs w:val="28"/>
        </w:rPr>
        <w:t>。</w:t>
      </w:r>
    </w:p>
    <w:p>
      <w:pPr>
        <w:pStyle w:val="13"/>
        <w:keepNext w:val="0"/>
        <w:keepLines w:val="0"/>
        <w:pageBreakBefore w:val="0"/>
        <w:widowControl/>
        <w:numPr>
          <w:ilvl w:val="0"/>
          <w:numId w:val="2"/>
        </w:numPr>
        <w:kinsoku/>
        <w:wordWrap/>
        <w:overflowPunct/>
        <w:topLinePunct w:val="0"/>
        <w:autoSpaceDE/>
        <w:autoSpaceDN/>
        <w:bidi w:val="0"/>
        <w:adjustRightInd/>
        <w:snapToGrid/>
        <w:spacing w:before="120" w:beforeLines="50" w:beforeAutospacing="0" w:after="0" w:afterLines="50" w:line="360" w:lineRule="auto"/>
        <w:textAlignment w:val="auto"/>
        <w:rPr>
          <w:rFonts w:hint="eastAsia" w:ascii="仿宋" w:hAnsi="仿宋" w:eastAsia="仿宋" w:cs="仿宋"/>
          <w:b/>
          <w:sz w:val="28"/>
          <w:szCs w:val="28"/>
        </w:rPr>
      </w:pPr>
      <w:r>
        <w:rPr>
          <w:rFonts w:hint="eastAsia" w:ascii="仿宋" w:hAnsi="仿宋" w:eastAsia="仿宋" w:cs="仿宋"/>
          <w:b/>
          <w:sz w:val="28"/>
          <w:szCs w:val="28"/>
        </w:rPr>
        <w:t>债权人主体资格证明材料</w:t>
      </w:r>
    </w:p>
    <w:p>
      <w:pPr>
        <w:pStyle w:val="13"/>
        <w:keepNext w:val="0"/>
        <w:keepLines w:val="0"/>
        <w:pageBreakBefore w:val="0"/>
        <w:widowControl/>
        <w:numPr>
          <w:ilvl w:val="0"/>
          <w:numId w:val="3"/>
        </w:numPr>
        <w:kinsoku/>
        <w:wordWrap/>
        <w:overflowPunct/>
        <w:topLinePunct w:val="0"/>
        <w:autoSpaceDE/>
        <w:autoSpaceDN/>
        <w:bidi w:val="0"/>
        <w:adjustRightInd/>
        <w:snapToGrid/>
        <w:spacing w:before="120" w:beforeLines="50" w:beforeAutospacing="0" w:after="0" w:afterLines="50" w:line="360" w:lineRule="auto"/>
        <w:ind w:left="0"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债权人为机构的，应提供如下主体资格证明材料：</w:t>
      </w:r>
    </w:p>
    <w:p>
      <w:pPr>
        <w:pStyle w:val="13"/>
        <w:keepNext w:val="0"/>
        <w:keepLines w:val="0"/>
        <w:pageBreakBefore w:val="0"/>
        <w:widowControl/>
        <w:numPr>
          <w:ilvl w:val="0"/>
          <w:numId w:val="4"/>
        </w:numPr>
        <w:kinsoku/>
        <w:wordWrap/>
        <w:overflowPunct/>
        <w:topLinePunct w:val="0"/>
        <w:autoSpaceDE/>
        <w:autoSpaceDN/>
        <w:bidi w:val="0"/>
        <w:adjustRightInd/>
        <w:snapToGrid/>
        <w:spacing w:before="120" w:beforeLines="50" w:beforeAutospacing="0" w:after="0" w:afterLines="50" w:line="360" w:lineRule="auto"/>
        <w:ind w:left="0" w:firstLine="426"/>
        <w:textAlignment w:val="auto"/>
        <w:rPr>
          <w:rFonts w:hint="eastAsia" w:ascii="仿宋" w:hAnsi="仿宋" w:eastAsia="仿宋" w:cs="仿宋"/>
          <w:sz w:val="28"/>
          <w:szCs w:val="28"/>
        </w:rPr>
      </w:pPr>
      <w:r>
        <w:rPr>
          <w:rFonts w:hint="eastAsia" w:ascii="仿宋" w:hAnsi="仿宋" w:eastAsia="仿宋" w:cs="仿宋"/>
          <w:sz w:val="28"/>
          <w:szCs w:val="28"/>
        </w:rPr>
        <w:t>有效的营业执照、事业和社团法人登记证书或其他合法证明书原件（供核对）及复印件；</w:t>
      </w:r>
    </w:p>
    <w:p>
      <w:pPr>
        <w:pStyle w:val="13"/>
        <w:keepNext w:val="0"/>
        <w:keepLines w:val="0"/>
        <w:pageBreakBefore w:val="0"/>
        <w:widowControl/>
        <w:numPr>
          <w:ilvl w:val="0"/>
          <w:numId w:val="4"/>
        </w:numPr>
        <w:kinsoku/>
        <w:wordWrap/>
        <w:overflowPunct/>
        <w:topLinePunct w:val="0"/>
        <w:autoSpaceDE/>
        <w:autoSpaceDN/>
        <w:bidi w:val="0"/>
        <w:adjustRightInd/>
        <w:snapToGrid/>
        <w:spacing w:before="120" w:beforeLines="50" w:beforeAutospacing="0" w:after="0" w:afterLines="50" w:line="360" w:lineRule="auto"/>
        <w:ind w:hanging="294"/>
        <w:textAlignment w:val="auto"/>
        <w:rPr>
          <w:rFonts w:hint="eastAsia" w:ascii="仿宋" w:hAnsi="仿宋" w:eastAsia="仿宋" w:cs="仿宋"/>
          <w:sz w:val="28"/>
          <w:szCs w:val="28"/>
        </w:rPr>
      </w:pPr>
      <w:r>
        <w:rPr>
          <w:rFonts w:hint="eastAsia" w:ascii="仿宋" w:hAnsi="仿宋" w:eastAsia="仿宋" w:cs="仿宋"/>
          <w:sz w:val="28"/>
          <w:szCs w:val="28"/>
        </w:rPr>
        <w:t>法定代表人（负责人）身份证明书原件；</w:t>
      </w:r>
    </w:p>
    <w:p>
      <w:pPr>
        <w:pStyle w:val="13"/>
        <w:keepNext w:val="0"/>
        <w:keepLines w:val="0"/>
        <w:pageBreakBefore w:val="0"/>
        <w:widowControl/>
        <w:numPr>
          <w:ilvl w:val="0"/>
          <w:numId w:val="4"/>
        </w:numPr>
        <w:kinsoku/>
        <w:wordWrap/>
        <w:overflowPunct/>
        <w:topLinePunct w:val="0"/>
        <w:autoSpaceDE/>
        <w:autoSpaceDN/>
        <w:bidi w:val="0"/>
        <w:adjustRightInd/>
        <w:snapToGrid/>
        <w:spacing w:before="120" w:beforeLines="50" w:beforeAutospacing="0" w:after="0" w:afterLines="50" w:line="360" w:lineRule="auto"/>
        <w:ind w:left="0" w:firstLine="426"/>
        <w:textAlignment w:val="auto"/>
        <w:rPr>
          <w:rFonts w:hint="eastAsia" w:ascii="仿宋" w:hAnsi="仿宋" w:eastAsia="仿宋" w:cs="仿宋"/>
          <w:sz w:val="28"/>
          <w:szCs w:val="28"/>
        </w:rPr>
      </w:pPr>
      <w:r>
        <w:rPr>
          <w:rFonts w:hint="eastAsia" w:ascii="仿宋" w:hAnsi="仿宋" w:eastAsia="仿宋" w:cs="仿宋"/>
          <w:sz w:val="28"/>
          <w:szCs w:val="28"/>
        </w:rPr>
        <w:t>法定代表人（负责人）身份证等个人有效证件原件（供核对）及复印件。法定代表人（负责人）之外的人员到现场申报的，应当提交：</w:t>
      </w:r>
    </w:p>
    <w:p>
      <w:pPr>
        <w:pStyle w:val="13"/>
        <w:keepNext w:val="0"/>
        <w:keepLines w:val="0"/>
        <w:pageBreakBefore w:val="0"/>
        <w:widowControl/>
        <w:numPr>
          <w:ilvl w:val="0"/>
          <w:numId w:val="5"/>
        </w:numPr>
        <w:kinsoku/>
        <w:wordWrap/>
        <w:overflowPunct/>
        <w:topLinePunct w:val="0"/>
        <w:autoSpaceDE/>
        <w:autoSpaceDN/>
        <w:bidi w:val="0"/>
        <w:adjustRightInd/>
        <w:snapToGrid/>
        <w:spacing w:before="120" w:beforeLines="50" w:beforeAutospacing="0" w:after="0" w:afterLines="50" w:line="360" w:lineRule="auto"/>
        <w:ind w:firstLine="377"/>
        <w:textAlignment w:val="auto"/>
        <w:rPr>
          <w:rFonts w:hint="eastAsia" w:ascii="仿宋" w:hAnsi="仿宋" w:eastAsia="仿宋" w:cs="仿宋"/>
          <w:sz w:val="28"/>
          <w:szCs w:val="28"/>
        </w:rPr>
      </w:pPr>
      <w:r>
        <w:rPr>
          <w:rFonts w:hint="eastAsia" w:ascii="仿宋" w:hAnsi="仿宋" w:eastAsia="仿宋" w:cs="仿宋"/>
          <w:sz w:val="28"/>
          <w:szCs w:val="28"/>
        </w:rPr>
        <w:t>机构的授权委托书原件；</w:t>
      </w:r>
    </w:p>
    <w:p>
      <w:pPr>
        <w:pStyle w:val="13"/>
        <w:keepNext w:val="0"/>
        <w:keepLines w:val="0"/>
        <w:pageBreakBefore w:val="0"/>
        <w:widowControl/>
        <w:numPr>
          <w:ilvl w:val="0"/>
          <w:numId w:val="5"/>
        </w:numPr>
        <w:kinsoku/>
        <w:wordWrap/>
        <w:overflowPunct/>
        <w:topLinePunct w:val="0"/>
        <w:autoSpaceDE/>
        <w:autoSpaceDN/>
        <w:bidi w:val="0"/>
        <w:adjustRightInd/>
        <w:snapToGrid/>
        <w:spacing w:before="120" w:beforeLines="50" w:beforeAutospacing="0" w:after="0" w:afterLines="50" w:line="360" w:lineRule="auto"/>
        <w:ind w:left="0" w:firstLine="660"/>
        <w:textAlignment w:val="auto"/>
        <w:rPr>
          <w:rFonts w:hint="eastAsia" w:ascii="仿宋" w:hAnsi="仿宋" w:eastAsia="仿宋" w:cs="仿宋"/>
          <w:sz w:val="28"/>
          <w:szCs w:val="28"/>
        </w:rPr>
      </w:pPr>
      <w:r>
        <w:rPr>
          <w:rFonts w:hint="eastAsia" w:ascii="仿宋" w:hAnsi="仿宋" w:eastAsia="仿宋" w:cs="仿宋"/>
          <w:sz w:val="28"/>
          <w:szCs w:val="28"/>
        </w:rPr>
        <w:t>代理人的身份证等个人有效证件原件（供核对）及复印件，代理人为律师的，请提交律师证原件（供核对）及复印件、律师事务所指派函原件。</w:t>
      </w:r>
    </w:p>
    <w:p>
      <w:pPr>
        <w:pStyle w:val="13"/>
        <w:keepNext w:val="0"/>
        <w:keepLines w:val="0"/>
        <w:pageBreakBefore w:val="0"/>
        <w:widowControl/>
        <w:numPr>
          <w:ilvl w:val="0"/>
          <w:numId w:val="3"/>
        </w:numPr>
        <w:kinsoku/>
        <w:wordWrap/>
        <w:overflowPunct/>
        <w:topLinePunct w:val="0"/>
        <w:autoSpaceDE/>
        <w:autoSpaceDN/>
        <w:bidi w:val="0"/>
        <w:adjustRightInd/>
        <w:snapToGrid/>
        <w:spacing w:before="120" w:beforeLines="50" w:beforeAutospacing="0" w:after="0" w:afterLines="50" w:line="360" w:lineRule="auto"/>
        <w:ind w:left="0"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债权人为自然人的，应提供债权人身份证等个人有效证件原件（供核对）及复印件。债权人委托他人申报的，应当提交：</w:t>
      </w:r>
    </w:p>
    <w:p>
      <w:pPr>
        <w:pStyle w:val="13"/>
        <w:keepNext w:val="0"/>
        <w:keepLines w:val="0"/>
        <w:pageBreakBefore w:val="0"/>
        <w:widowControl/>
        <w:numPr>
          <w:ilvl w:val="0"/>
          <w:numId w:val="6"/>
        </w:numPr>
        <w:kinsoku/>
        <w:wordWrap/>
        <w:overflowPunct/>
        <w:topLinePunct w:val="0"/>
        <w:autoSpaceDE/>
        <w:autoSpaceDN/>
        <w:bidi w:val="0"/>
        <w:adjustRightInd/>
        <w:snapToGrid/>
        <w:spacing w:before="120" w:beforeLines="50" w:beforeAutospacing="0" w:after="0" w:afterLines="50" w:line="360" w:lineRule="auto"/>
        <w:ind w:hanging="294"/>
        <w:textAlignment w:val="auto"/>
        <w:rPr>
          <w:rFonts w:hint="eastAsia" w:ascii="仿宋" w:hAnsi="仿宋" w:eastAsia="仿宋" w:cs="仿宋"/>
          <w:sz w:val="28"/>
          <w:szCs w:val="28"/>
        </w:rPr>
      </w:pPr>
      <w:r>
        <w:rPr>
          <w:rFonts w:hint="eastAsia" w:ascii="仿宋" w:hAnsi="仿宋" w:eastAsia="仿宋" w:cs="仿宋"/>
          <w:sz w:val="28"/>
          <w:szCs w:val="28"/>
        </w:rPr>
        <w:t>债权人的授权委托书原件；</w:t>
      </w:r>
    </w:p>
    <w:p>
      <w:pPr>
        <w:pStyle w:val="13"/>
        <w:keepNext w:val="0"/>
        <w:keepLines w:val="0"/>
        <w:pageBreakBefore w:val="0"/>
        <w:widowControl/>
        <w:numPr>
          <w:ilvl w:val="0"/>
          <w:numId w:val="6"/>
        </w:numPr>
        <w:kinsoku/>
        <w:wordWrap/>
        <w:overflowPunct/>
        <w:topLinePunct w:val="0"/>
        <w:autoSpaceDE/>
        <w:autoSpaceDN/>
        <w:bidi w:val="0"/>
        <w:adjustRightInd/>
        <w:snapToGrid/>
        <w:spacing w:before="120" w:beforeLines="50" w:beforeAutospacing="0" w:after="0" w:afterLines="50" w:line="360" w:lineRule="auto"/>
        <w:ind w:left="0" w:firstLine="426"/>
        <w:textAlignment w:val="auto"/>
        <w:rPr>
          <w:rFonts w:hint="eastAsia" w:ascii="仿宋" w:hAnsi="仿宋" w:eastAsia="仿宋" w:cs="仿宋"/>
          <w:sz w:val="28"/>
          <w:szCs w:val="28"/>
        </w:rPr>
      </w:pPr>
      <w:r>
        <w:rPr>
          <w:rFonts w:hint="eastAsia" w:ascii="仿宋" w:hAnsi="仿宋" w:eastAsia="仿宋" w:cs="仿宋"/>
          <w:sz w:val="28"/>
          <w:szCs w:val="28"/>
        </w:rPr>
        <w:t>代理人的身份证等个人有效证件原件（供核对）及复印件，代理人为律师的，请提交律师证原件（供核对）及复印件、律师事务所指派函原件。</w:t>
      </w:r>
    </w:p>
    <w:p>
      <w:pPr>
        <w:pStyle w:val="13"/>
        <w:keepNext w:val="0"/>
        <w:keepLines w:val="0"/>
        <w:pageBreakBefore w:val="0"/>
        <w:widowControl/>
        <w:numPr>
          <w:ilvl w:val="0"/>
          <w:numId w:val="2"/>
        </w:numPr>
        <w:kinsoku/>
        <w:wordWrap/>
        <w:overflowPunct/>
        <w:topLinePunct w:val="0"/>
        <w:autoSpaceDE/>
        <w:autoSpaceDN/>
        <w:bidi w:val="0"/>
        <w:adjustRightInd/>
        <w:snapToGrid/>
        <w:spacing w:before="120" w:beforeLines="50" w:beforeAutospacing="0" w:after="0" w:afterLines="50" w:line="360" w:lineRule="auto"/>
        <w:textAlignment w:val="auto"/>
        <w:rPr>
          <w:rFonts w:hint="eastAsia" w:ascii="仿宋" w:hAnsi="仿宋" w:eastAsia="仿宋" w:cs="仿宋"/>
          <w:b/>
          <w:sz w:val="28"/>
          <w:szCs w:val="28"/>
        </w:rPr>
      </w:pPr>
      <w:r>
        <w:rPr>
          <w:rFonts w:hint="eastAsia" w:ascii="仿宋" w:hAnsi="仿宋" w:eastAsia="仿宋" w:cs="仿宋"/>
          <w:b/>
          <w:sz w:val="28"/>
          <w:szCs w:val="28"/>
        </w:rPr>
        <w:t>证明债权成立及其金额的材料</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债权人申报债权应提交能够证明债权成立的全部书面材料，包括但不限于：</w:t>
      </w:r>
    </w:p>
    <w:p>
      <w:pPr>
        <w:pStyle w:val="13"/>
        <w:keepNext w:val="0"/>
        <w:keepLines w:val="0"/>
        <w:pageBreakBefore w:val="0"/>
        <w:widowControl/>
        <w:numPr>
          <w:ilvl w:val="0"/>
          <w:numId w:val="7"/>
        </w:numPr>
        <w:kinsoku/>
        <w:wordWrap/>
        <w:overflowPunct/>
        <w:topLinePunct w:val="0"/>
        <w:autoSpaceDE/>
        <w:autoSpaceDN/>
        <w:bidi w:val="0"/>
        <w:adjustRightInd/>
        <w:snapToGrid/>
        <w:spacing w:before="120" w:beforeLines="50" w:beforeAutospacing="0" w:after="0" w:afterLines="50"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相关合同（包括但不限于借、贷款合同，购、销货合同等）；</w:t>
      </w:r>
    </w:p>
    <w:p>
      <w:pPr>
        <w:pStyle w:val="13"/>
        <w:keepNext w:val="0"/>
        <w:keepLines w:val="0"/>
        <w:pageBreakBefore w:val="0"/>
        <w:widowControl/>
        <w:numPr>
          <w:ilvl w:val="0"/>
          <w:numId w:val="7"/>
        </w:numPr>
        <w:kinsoku/>
        <w:wordWrap/>
        <w:overflowPunct/>
        <w:topLinePunct w:val="0"/>
        <w:autoSpaceDE/>
        <w:autoSpaceDN/>
        <w:bidi w:val="0"/>
        <w:adjustRightInd/>
        <w:snapToGrid/>
        <w:spacing w:before="120" w:beforeLines="50" w:beforeAutospacing="0" w:after="0" w:afterLines="50"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相关票据、划账单、汇款单、对账单、提货单等合同履行凭证；</w:t>
      </w:r>
    </w:p>
    <w:p>
      <w:pPr>
        <w:pStyle w:val="13"/>
        <w:keepNext w:val="0"/>
        <w:keepLines w:val="0"/>
        <w:pageBreakBefore w:val="0"/>
        <w:widowControl/>
        <w:numPr>
          <w:ilvl w:val="0"/>
          <w:numId w:val="7"/>
        </w:numPr>
        <w:kinsoku/>
        <w:wordWrap/>
        <w:overflowPunct/>
        <w:topLinePunct w:val="0"/>
        <w:autoSpaceDE/>
        <w:autoSpaceDN/>
        <w:bidi w:val="0"/>
        <w:adjustRightInd/>
        <w:snapToGrid/>
        <w:spacing w:before="120" w:beforeLines="50" w:beforeAutospacing="0" w:after="0" w:afterLines="50"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债权如有担保的，须提交抵押合同、质押合同、保证合同、担保物清单，以及相关的抵、质押登记证明等；</w:t>
      </w:r>
    </w:p>
    <w:p>
      <w:pPr>
        <w:pStyle w:val="13"/>
        <w:keepNext w:val="0"/>
        <w:keepLines w:val="0"/>
        <w:pageBreakBefore w:val="0"/>
        <w:widowControl/>
        <w:numPr>
          <w:ilvl w:val="0"/>
          <w:numId w:val="7"/>
        </w:numPr>
        <w:kinsoku/>
        <w:wordWrap/>
        <w:overflowPunct/>
        <w:topLinePunct w:val="0"/>
        <w:autoSpaceDE/>
        <w:autoSpaceDN/>
        <w:bidi w:val="0"/>
        <w:adjustRightInd/>
        <w:snapToGrid/>
        <w:spacing w:before="120" w:beforeLines="50" w:beforeAutospacing="0" w:after="0" w:afterLines="50"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如涉及诉讼或仲裁，须提交诉讼、仲裁有关的文件（包括已审理完毕或正在审理过程中案件的起诉书、仲裁申请书、诉讼保全申请、保全裁定、生效判决、裁决、执行申请、法院执行裁定、法院执行案件通知书等）；</w:t>
      </w:r>
    </w:p>
    <w:p>
      <w:pPr>
        <w:pStyle w:val="13"/>
        <w:keepNext w:val="0"/>
        <w:keepLines w:val="0"/>
        <w:pageBreakBefore w:val="0"/>
        <w:widowControl/>
        <w:numPr>
          <w:ilvl w:val="0"/>
          <w:numId w:val="7"/>
        </w:numPr>
        <w:kinsoku/>
        <w:wordWrap/>
        <w:overflowPunct/>
        <w:topLinePunct w:val="0"/>
        <w:autoSpaceDE/>
        <w:autoSpaceDN/>
        <w:bidi w:val="0"/>
        <w:adjustRightInd/>
        <w:snapToGrid/>
        <w:spacing w:before="120" w:beforeLines="50" w:beforeAutospacing="0" w:after="0" w:afterLines="50"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如债权涉及利息计算的，应提交关于利息计算方法及过程的书面说明；</w:t>
      </w:r>
    </w:p>
    <w:p>
      <w:pPr>
        <w:pStyle w:val="13"/>
        <w:keepNext w:val="0"/>
        <w:keepLines w:val="0"/>
        <w:pageBreakBefore w:val="0"/>
        <w:widowControl/>
        <w:numPr>
          <w:ilvl w:val="0"/>
          <w:numId w:val="7"/>
        </w:numPr>
        <w:kinsoku/>
        <w:wordWrap/>
        <w:overflowPunct/>
        <w:topLinePunct w:val="0"/>
        <w:autoSpaceDE/>
        <w:autoSpaceDN/>
        <w:bidi w:val="0"/>
        <w:adjustRightInd/>
        <w:snapToGrid/>
        <w:spacing w:before="120" w:beforeLines="50" w:beforeAutospacing="0" w:after="0" w:afterLines="50"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相关公证文书（如有）；</w:t>
      </w:r>
    </w:p>
    <w:p>
      <w:pPr>
        <w:pStyle w:val="13"/>
        <w:keepNext w:val="0"/>
        <w:keepLines w:val="0"/>
        <w:pageBreakBefore w:val="0"/>
        <w:widowControl/>
        <w:numPr>
          <w:ilvl w:val="0"/>
          <w:numId w:val="7"/>
        </w:numPr>
        <w:kinsoku/>
        <w:wordWrap/>
        <w:overflowPunct/>
        <w:topLinePunct w:val="0"/>
        <w:autoSpaceDE/>
        <w:autoSpaceDN/>
        <w:bidi w:val="0"/>
        <w:adjustRightInd/>
        <w:snapToGrid/>
        <w:spacing w:before="120" w:beforeLines="50" w:beforeAutospacing="0" w:after="0" w:afterLines="50"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能够证明债权发生、变更、存续的其他原始材料。</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以上材料，请提供原件（供核对）及复印件。</w:t>
      </w:r>
    </w:p>
    <w:p>
      <w:pPr>
        <w:pStyle w:val="13"/>
        <w:keepNext w:val="0"/>
        <w:keepLines w:val="0"/>
        <w:pageBreakBefore w:val="0"/>
        <w:widowControl/>
        <w:numPr>
          <w:ilvl w:val="0"/>
          <w:numId w:val="1"/>
        </w:numPr>
        <w:kinsoku/>
        <w:wordWrap/>
        <w:overflowPunct/>
        <w:topLinePunct w:val="0"/>
        <w:autoSpaceDE/>
        <w:autoSpaceDN/>
        <w:bidi w:val="0"/>
        <w:adjustRightInd/>
        <w:snapToGrid/>
        <w:spacing w:before="240" w:beforeLines="100" w:beforeAutospacing="0" w:after="0" w:afterLines="50" w:line="360" w:lineRule="auto"/>
        <w:ind w:left="845"/>
        <w:textAlignment w:val="auto"/>
        <w:rPr>
          <w:rFonts w:hint="eastAsia" w:ascii="仿宋" w:hAnsi="仿宋" w:eastAsia="仿宋" w:cs="仿宋"/>
          <w:b/>
          <w:sz w:val="28"/>
          <w:szCs w:val="28"/>
        </w:rPr>
      </w:pPr>
      <w:r>
        <w:rPr>
          <w:rFonts w:hint="eastAsia" w:ascii="仿宋" w:hAnsi="仿宋" w:eastAsia="仿宋" w:cs="仿宋"/>
          <w:b/>
          <w:sz w:val="28"/>
          <w:szCs w:val="28"/>
        </w:rPr>
        <w:t>特别注意事项</w:t>
      </w:r>
    </w:p>
    <w:p>
      <w:pPr>
        <w:pStyle w:val="13"/>
        <w:keepNext w:val="0"/>
        <w:keepLines w:val="0"/>
        <w:pageBreakBefore w:val="0"/>
        <w:widowControl/>
        <w:numPr>
          <w:ilvl w:val="0"/>
          <w:numId w:val="8"/>
        </w:numPr>
        <w:kinsoku/>
        <w:wordWrap/>
        <w:overflowPunct/>
        <w:topLinePunct w:val="0"/>
        <w:autoSpaceDE/>
        <w:autoSpaceDN/>
        <w:bidi w:val="0"/>
        <w:adjustRightInd/>
        <w:snapToGrid/>
        <w:spacing w:before="0" w:beforeAutospacing="0" w:after="0" w:afterLines="50" w:line="360" w:lineRule="auto"/>
        <w:ind w:left="0" w:firstLine="441" w:firstLineChars="157"/>
        <w:textAlignment w:val="auto"/>
        <w:rPr>
          <w:rFonts w:hint="eastAsia" w:ascii="仿宋" w:hAnsi="仿宋" w:eastAsia="仿宋" w:cs="仿宋"/>
          <w:sz w:val="28"/>
          <w:szCs w:val="28"/>
        </w:rPr>
      </w:pPr>
      <w:r>
        <w:rPr>
          <w:rFonts w:hint="eastAsia" w:ascii="仿宋" w:hAnsi="仿宋" w:eastAsia="仿宋" w:cs="仿宋"/>
          <w:b/>
          <w:sz w:val="28"/>
          <w:szCs w:val="28"/>
        </w:rPr>
        <w:t>债权人在债权申报时，纸质版仅需要提交证据的复印件，但应当提交原件供临时管理人核对</w:t>
      </w:r>
      <w:r>
        <w:rPr>
          <w:rFonts w:hint="eastAsia" w:ascii="仿宋" w:hAnsi="仿宋" w:eastAsia="仿宋" w:cs="仿宋"/>
          <w:sz w:val="28"/>
          <w:szCs w:val="28"/>
        </w:rPr>
        <w:t>；</w:t>
      </w:r>
    </w:p>
    <w:p>
      <w:pPr>
        <w:pStyle w:val="13"/>
        <w:keepNext w:val="0"/>
        <w:keepLines w:val="0"/>
        <w:pageBreakBefore w:val="0"/>
        <w:widowControl/>
        <w:numPr>
          <w:ilvl w:val="0"/>
          <w:numId w:val="8"/>
        </w:numPr>
        <w:kinsoku/>
        <w:wordWrap/>
        <w:overflowPunct/>
        <w:topLinePunct w:val="0"/>
        <w:autoSpaceDE/>
        <w:autoSpaceDN/>
        <w:bidi w:val="0"/>
        <w:adjustRightInd/>
        <w:snapToGrid/>
        <w:spacing w:before="0" w:beforeAutospacing="0" w:after="0" w:afterLines="50" w:line="360" w:lineRule="auto"/>
        <w:ind w:left="0" w:firstLine="439" w:firstLineChars="157"/>
        <w:textAlignment w:val="auto"/>
        <w:rPr>
          <w:rFonts w:hint="eastAsia" w:ascii="仿宋" w:hAnsi="仿宋" w:eastAsia="仿宋" w:cs="仿宋"/>
          <w:sz w:val="28"/>
          <w:szCs w:val="28"/>
        </w:rPr>
      </w:pPr>
      <w:r>
        <w:rPr>
          <w:rFonts w:hint="eastAsia" w:ascii="仿宋" w:hAnsi="仿宋" w:eastAsia="仿宋" w:cs="仿宋"/>
          <w:sz w:val="28"/>
          <w:szCs w:val="28"/>
        </w:rPr>
        <w:t>债权人为机构的，须在所有复印件上加盖公章；</w:t>
      </w:r>
    </w:p>
    <w:p>
      <w:pPr>
        <w:pStyle w:val="13"/>
        <w:keepNext w:val="0"/>
        <w:keepLines w:val="0"/>
        <w:pageBreakBefore w:val="0"/>
        <w:widowControl/>
        <w:numPr>
          <w:ilvl w:val="0"/>
          <w:numId w:val="8"/>
        </w:numPr>
        <w:kinsoku/>
        <w:wordWrap/>
        <w:overflowPunct/>
        <w:topLinePunct w:val="0"/>
        <w:autoSpaceDE/>
        <w:autoSpaceDN/>
        <w:bidi w:val="0"/>
        <w:adjustRightInd/>
        <w:snapToGrid/>
        <w:spacing w:before="0" w:beforeAutospacing="0" w:after="0" w:afterLines="50" w:line="360" w:lineRule="auto"/>
        <w:ind w:left="0" w:firstLine="439" w:firstLineChars="157"/>
        <w:textAlignment w:val="auto"/>
        <w:rPr>
          <w:rFonts w:hint="eastAsia" w:ascii="仿宋" w:hAnsi="仿宋" w:eastAsia="仿宋" w:cs="仿宋"/>
          <w:sz w:val="28"/>
          <w:szCs w:val="28"/>
        </w:rPr>
      </w:pPr>
      <w:r>
        <w:rPr>
          <w:rFonts w:hint="eastAsia" w:ascii="仿宋" w:hAnsi="仿宋" w:eastAsia="仿宋" w:cs="仿宋"/>
          <w:sz w:val="28"/>
          <w:szCs w:val="28"/>
        </w:rPr>
        <w:t>债权申报资料的纸张统一为A4型复印纸；</w:t>
      </w:r>
    </w:p>
    <w:p>
      <w:pPr>
        <w:pStyle w:val="13"/>
        <w:keepNext w:val="0"/>
        <w:keepLines w:val="0"/>
        <w:pageBreakBefore w:val="0"/>
        <w:widowControl/>
        <w:numPr>
          <w:ilvl w:val="0"/>
          <w:numId w:val="8"/>
        </w:numPr>
        <w:kinsoku/>
        <w:wordWrap/>
        <w:overflowPunct/>
        <w:topLinePunct w:val="0"/>
        <w:autoSpaceDE/>
        <w:autoSpaceDN/>
        <w:bidi w:val="0"/>
        <w:adjustRightInd/>
        <w:snapToGrid/>
        <w:spacing w:before="120" w:beforeAutospacing="0" w:after="0" w:afterLines="50" w:line="360" w:lineRule="auto"/>
        <w:ind w:left="0" w:firstLine="439" w:firstLineChars="157"/>
        <w:textAlignment w:val="auto"/>
        <w:rPr>
          <w:rFonts w:hint="eastAsia" w:ascii="仿宋" w:hAnsi="仿宋" w:eastAsia="仿宋" w:cs="仿宋"/>
          <w:sz w:val="28"/>
          <w:szCs w:val="28"/>
        </w:rPr>
      </w:pPr>
      <w:r>
        <w:rPr>
          <w:rFonts w:hint="eastAsia" w:ascii="仿宋" w:hAnsi="仿宋" w:eastAsia="仿宋" w:cs="仿宋"/>
          <w:sz w:val="28"/>
          <w:szCs w:val="28"/>
        </w:rPr>
        <w:t>根据《企业破产法》第四十六条第二款之规定，附利息的债权自破产申请受理时起停止计息。即：债权人申报的债权如附有利息的，</w:t>
      </w:r>
      <w:r>
        <w:rPr>
          <w:rFonts w:hint="eastAsia" w:ascii="仿宋" w:hAnsi="仿宋" w:eastAsia="仿宋" w:cs="仿宋"/>
          <w:b/>
          <w:sz w:val="28"/>
          <w:szCs w:val="28"/>
        </w:rPr>
        <w:t>利息应</w:t>
      </w:r>
      <w:r>
        <w:rPr>
          <w:rFonts w:hint="eastAsia" w:ascii="仿宋" w:hAnsi="仿宋" w:eastAsia="仿宋" w:cs="仿宋"/>
          <w:b/>
          <w:sz w:val="28"/>
          <w:szCs w:val="28"/>
          <w:lang w:val="en-US" w:eastAsia="zh-CN"/>
        </w:rPr>
        <w:t>暂</w:t>
      </w:r>
      <w:r>
        <w:rPr>
          <w:rFonts w:hint="eastAsia" w:ascii="仿宋" w:hAnsi="仿宋" w:eastAsia="仿宋" w:cs="仿宋"/>
          <w:b/>
          <w:sz w:val="28"/>
          <w:szCs w:val="28"/>
        </w:rPr>
        <w:t>计至2022年</w:t>
      </w:r>
      <w:r>
        <w:rPr>
          <w:rFonts w:hint="eastAsia" w:ascii="仿宋" w:hAnsi="仿宋" w:eastAsia="仿宋" w:cs="仿宋"/>
          <w:b/>
          <w:sz w:val="28"/>
          <w:szCs w:val="28"/>
          <w:lang w:val="en-US" w:eastAsia="zh-CN"/>
        </w:rPr>
        <w:t>12</w:t>
      </w:r>
      <w:bookmarkStart w:id="0" w:name="_GoBack"/>
      <w:bookmarkEnd w:id="0"/>
      <w:r>
        <w:rPr>
          <w:rFonts w:hint="eastAsia" w:ascii="仿宋" w:hAnsi="仿宋" w:eastAsia="仿宋" w:cs="仿宋"/>
          <w:b/>
          <w:sz w:val="28"/>
          <w:szCs w:val="28"/>
        </w:rPr>
        <w:t>月</w:t>
      </w:r>
      <w:r>
        <w:rPr>
          <w:rFonts w:hint="eastAsia" w:ascii="仿宋" w:hAnsi="仿宋" w:eastAsia="仿宋" w:cs="仿宋"/>
          <w:b/>
          <w:sz w:val="28"/>
          <w:szCs w:val="28"/>
          <w:lang w:val="en-US" w:eastAsia="zh-CN"/>
        </w:rPr>
        <w:t>5</w:t>
      </w:r>
      <w:r>
        <w:rPr>
          <w:rFonts w:hint="eastAsia" w:ascii="仿宋" w:hAnsi="仿宋" w:eastAsia="仿宋" w:cs="仿宋"/>
          <w:b/>
          <w:sz w:val="28"/>
          <w:szCs w:val="28"/>
        </w:rPr>
        <w:t>日止</w:t>
      </w:r>
      <w:r>
        <w:rPr>
          <w:rFonts w:hint="eastAsia" w:ascii="仿宋" w:hAnsi="仿宋" w:eastAsia="仿宋" w:cs="仿宋"/>
          <w:sz w:val="28"/>
          <w:szCs w:val="28"/>
        </w:rPr>
        <w:t>；</w:t>
      </w:r>
    </w:p>
    <w:p>
      <w:pPr>
        <w:pStyle w:val="13"/>
        <w:keepNext w:val="0"/>
        <w:keepLines w:val="0"/>
        <w:pageBreakBefore w:val="0"/>
        <w:widowControl/>
        <w:numPr>
          <w:ilvl w:val="0"/>
          <w:numId w:val="8"/>
        </w:numPr>
        <w:kinsoku/>
        <w:wordWrap/>
        <w:overflowPunct/>
        <w:topLinePunct w:val="0"/>
        <w:autoSpaceDE/>
        <w:autoSpaceDN/>
        <w:bidi w:val="0"/>
        <w:adjustRightInd/>
        <w:snapToGrid/>
        <w:spacing w:before="120" w:beforeAutospacing="0" w:after="0" w:afterLines="50" w:line="360" w:lineRule="auto"/>
        <w:ind w:left="0" w:firstLine="439" w:firstLineChars="157"/>
        <w:textAlignment w:val="auto"/>
        <w:rPr>
          <w:rFonts w:hint="eastAsia" w:ascii="仿宋" w:hAnsi="仿宋" w:eastAsia="仿宋" w:cs="仿宋"/>
          <w:sz w:val="28"/>
          <w:szCs w:val="28"/>
        </w:rPr>
      </w:pPr>
      <w:r>
        <w:rPr>
          <w:rFonts w:hint="eastAsia" w:ascii="仿宋" w:hAnsi="仿宋" w:eastAsia="仿宋" w:cs="仿宋"/>
          <w:sz w:val="28"/>
          <w:szCs w:val="28"/>
        </w:rPr>
        <w:t>债权申报表中的“编号”、“材料接收人”暂不填写，由临时管理人填写；</w:t>
      </w:r>
    </w:p>
    <w:p>
      <w:pPr>
        <w:pStyle w:val="13"/>
        <w:keepNext w:val="0"/>
        <w:keepLines w:val="0"/>
        <w:pageBreakBefore w:val="0"/>
        <w:widowControl/>
        <w:numPr>
          <w:ilvl w:val="0"/>
          <w:numId w:val="8"/>
        </w:numPr>
        <w:kinsoku/>
        <w:wordWrap/>
        <w:overflowPunct/>
        <w:topLinePunct w:val="0"/>
        <w:autoSpaceDE/>
        <w:autoSpaceDN/>
        <w:bidi w:val="0"/>
        <w:adjustRightInd/>
        <w:snapToGrid/>
        <w:spacing w:before="120" w:beforeAutospacing="0" w:after="0" w:afterLines="50" w:line="360" w:lineRule="auto"/>
        <w:ind w:left="0" w:firstLine="439" w:firstLineChars="157"/>
        <w:textAlignment w:val="auto"/>
        <w:rPr>
          <w:rFonts w:hint="eastAsia" w:ascii="仿宋" w:hAnsi="仿宋" w:eastAsia="仿宋" w:cs="仿宋"/>
          <w:sz w:val="28"/>
          <w:szCs w:val="28"/>
        </w:rPr>
      </w:pPr>
      <w:r>
        <w:rPr>
          <w:rFonts w:hint="eastAsia" w:ascii="仿宋" w:hAnsi="仿宋" w:eastAsia="仿宋" w:cs="仿宋"/>
          <w:sz w:val="28"/>
          <w:szCs w:val="28"/>
        </w:rPr>
        <w:t>债权人及其委托代理人务必在债权申报材料中注明有效的联系方式，包括但不限于固定电话、手机电话、传真、邮寄地址及邮政编码等。临时管理人将相关文件邮寄到指定地址、通过传真发送至指定号码或以电子邮件方式发至指定邮箱均视为有效送达；</w:t>
      </w:r>
    </w:p>
    <w:p>
      <w:pPr>
        <w:pStyle w:val="13"/>
        <w:keepNext w:val="0"/>
        <w:keepLines w:val="0"/>
        <w:pageBreakBefore w:val="0"/>
        <w:widowControl/>
        <w:numPr>
          <w:ilvl w:val="0"/>
          <w:numId w:val="8"/>
        </w:numPr>
        <w:kinsoku/>
        <w:wordWrap/>
        <w:overflowPunct/>
        <w:topLinePunct w:val="0"/>
        <w:autoSpaceDE/>
        <w:autoSpaceDN/>
        <w:bidi w:val="0"/>
        <w:adjustRightInd/>
        <w:snapToGrid/>
        <w:spacing w:before="120" w:beforeAutospacing="0" w:after="0" w:afterLines="50" w:line="360" w:lineRule="auto"/>
        <w:ind w:left="0" w:firstLine="441" w:firstLineChars="157"/>
        <w:textAlignment w:val="auto"/>
        <w:rPr>
          <w:rFonts w:hint="eastAsia" w:ascii="仿宋" w:hAnsi="仿宋" w:eastAsia="仿宋" w:cs="仿宋"/>
          <w:b/>
          <w:sz w:val="28"/>
          <w:szCs w:val="28"/>
        </w:rPr>
      </w:pPr>
      <w:r>
        <w:rPr>
          <w:rFonts w:hint="eastAsia" w:ascii="仿宋" w:hAnsi="仿宋" w:eastAsia="仿宋" w:cs="仿宋"/>
          <w:b/>
          <w:sz w:val="28"/>
          <w:szCs w:val="28"/>
        </w:rPr>
        <w:t>债权人及其委托代理人提供的手机号码用于接收参加债权人会议的相关信息，债权人应保证提供的手机号码真实有效并保持畅通，否则一切不利后果由债权人自行承担；</w:t>
      </w:r>
    </w:p>
    <w:p>
      <w:pPr>
        <w:pStyle w:val="13"/>
        <w:keepNext w:val="0"/>
        <w:keepLines w:val="0"/>
        <w:pageBreakBefore w:val="0"/>
        <w:widowControl/>
        <w:numPr>
          <w:ilvl w:val="0"/>
          <w:numId w:val="8"/>
        </w:numPr>
        <w:kinsoku/>
        <w:wordWrap/>
        <w:overflowPunct/>
        <w:topLinePunct w:val="0"/>
        <w:autoSpaceDE/>
        <w:autoSpaceDN/>
        <w:bidi w:val="0"/>
        <w:adjustRightInd/>
        <w:snapToGrid/>
        <w:spacing w:before="120" w:beforeAutospacing="0" w:after="0" w:afterLines="50" w:line="360" w:lineRule="auto"/>
        <w:ind w:left="0" w:firstLine="439" w:firstLineChars="157"/>
        <w:textAlignment w:val="auto"/>
        <w:rPr>
          <w:rFonts w:hint="eastAsia" w:ascii="仿宋" w:hAnsi="仿宋" w:eastAsia="仿宋" w:cs="仿宋"/>
          <w:sz w:val="28"/>
          <w:szCs w:val="28"/>
        </w:rPr>
      </w:pPr>
      <w:r>
        <w:rPr>
          <w:rFonts w:hint="eastAsia" w:ascii="仿宋" w:hAnsi="仿宋" w:eastAsia="仿宋" w:cs="仿宋"/>
          <w:sz w:val="28"/>
          <w:szCs w:val="28"/>
        </w:rPr>
        <w:t>债权人申报的债权已经获得以及未来获得</w:t>
      </w:r>
      <w:r>
        <w:rPr>
          <w:rFonts w:hint="eastAsia" w:ascii="仿宋" w:hAnsi="仿宋" w:eastAsia="仿宋" w:cs="仿宋"/>
          <w:sz w:val="28"/>
          <w:szCs w:val="28"/>
          <w:lang w:eastAsia="zh-CN"/>
        </w:rPr>
        <w:t>陕西宝迪名品商业管理有限公司等五家公司</w:t>
      </w:r>
      <w:r>
        <w:rPr>
          <w:rFonts w:hint="eastAsia" w:ascii="仿宋" w:hAnsi="仿宋" w:eastAsia="仿宋" w:cs="仿宋"/>
          <w:sz w:val="28"/>
          <w:szCs w:val="28"/>
        </w:rPr>
        <w:t>或者其他连带债务人的清偿的，应及时告知临时管理人，隐瞒债权受偿情况将承担相应的法律责任；债权人另外对</w:t>
      </w:r>
      <w:r>
        <w:rPr>
          <w:rFonts w:hint="eastAsia" w:ascii="仿宋" w:hAnsi="仿宋" w:eastAsia="仿宋" w:cs="仿宋"/>
          <w:sz w:val="28"/>
          <w:szCs w:val="28"/>
          <w:lang w:eastAsia="zh-CN"/>
        </w:rPr>
        <w:t>陕西宝迪名品商业管理有限公司等五家公司</w:t>
      </w:r>
      <w:r>
        <w:rPr>
          <w:rFonts w:hint="eastAsia" w:ascii="仿宋" w:hAnsi="仿宋" w:eastAsia="仿宋" w:cs="仿宋"/>
          <w:sz w:val="28"/>
          <w:szCs w:val="28"/>
        </w:rPr>
        <w:t>负有债务的，临时管理人将依法清收。</w:t>
      </w:r>
    </w:p>
    <w:p>
      <w:pPr>
        <w:pStyle w:val="13"/>
        <w:keepNext w:val="0"/>
        <w:keepLines w:val="0"/>
        <w:pageBreakBefore w:val="0"/>
        <w:widowControl/>
        <w:numPr>
          <w:ilvl w:val="0"/>
          <w:numId w:val="8"/>
        </w:numPr>
        <w:kinsoku/>
        <w:wordWrap/>
        <w:overflowPunct/>
        <w:topLinePunct w:val="0"/>
        <w:autoSpaceDE/>
        <w:autoSpaceDN/>
        <w:bidi w:val="0"/>
        <w:adjustRightInd/>
        <w:snapToGrid/>
        <w:spacing w:before="120" w:beforeAutospacing="0" w:after="0" w:afterLines="50" w:line="360" w:lineRule="auto"/>
        <w:ind w:left="0" w:firstLine="439" w:firstLineChars="157"/>
        <w:textAlignment w:val="auto"/>
        <w:rPr>
          <w:rFonts w:hint="eastAsia" w:ascii="仿宋" w:hAnsi="仿宋" w:eastAsia="仿宋" w:cs="仿宋"/>
          <w:sz w:val="28"/>
          <w:szCs w:val="28"/>
        </w:rPr>
      </w:pPr>
      <w:r>
        <w:rPr>
          <w:rFonts w:hint="eastAsia" w:ascii="仿宋" w:hAnsi="仿宋" w:eastAsia="仿宋" w:cs="仿宋"/>
          <w:sz w:val="28"/>
          <w:szCs w:val="28"/>
          <w:lang w:val="en-US" w:eastAsia="zh-Hans"/>
        </w:rPr>
        <w:t>债权人申报债权不代表对诉讼时效的延续</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亦不属于临时管理人对该笔债权未超过诉讼时效的认可</w:t>
      </w:r>
      <w:r>
        <w:rPr>
          <w:rFonts w:hint="eastAsia" w:ascii="仿宋" w:hAnsi="仿宋" w:eastAsia="仿宋" w:cs="仿宋"/>
          <w:sz w:val="28"/>
          <w:szCs w:val="28"/>
          <w:lang w:eastAsia="zh-Hans"/>
        </w:rPr>
        <w:t>。</w:t>
      </w:r>
    </w:p>
    <w:p>
      <w:pPr>
        <w:pStyle w:val="13"/>
        <w:keepNext w:val="0"/>
        <w:keepLines w:val="0"/>
        <w:pageBreakBefore w:val="0"/>
        <w:widowControl/>
        <w:numPr>
          <w:ilvl w:val="0"/>
          <w:numId w:val="8"/>
        </w:numPr>
        <w:kinsoku/>
        <w:wordWrap/>
        <w:overflowPunct/>
        <w:topLinePunct w:val="0"/>
        <w:autoSpaceDE/>
        <w:autoSpaceDN/>
        <w:bidi w:val="0"/>
        <w:adjustRightInd/>
        <w:snapToGrid/>
        <w:spacing w:before="120" w:beforeAutospacing="0" w:after="0" w:afterLines="50" w:line="360" w:lineRule="auto"/>
        <w:ind w:left="0" w:firstLine="439" w:firstLineChars="157"/>
        <w:textAlignment w:val="auto"/>
        <w:rPr>
          <w:rFonts w:hint="eastAsia" w:ascii="仿宋" w:hAnsi="仿宋" w:eastAsia="仿宋" w:cs="仿宋"/>
          <w:sz w:val="28"/>
          <w:szCs w:val="28"/>
        </w:rPr>
      </w:pPr>
      <w:r>
        <w:rPr>
          <w:rFonts w:hint="eastAsia" w:ascii="仿宋" w:hAnsi="仿宋" w:eastAsia="仿宋" w:cs="仿宋"/>
          <w:sz w:val="28"/>
          <w:szCs w:val="28"/>
        </w:rPr>
        <w:t>债权人可通过扫描下方二维码获取电子版申报材料。</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zh-TW" w:eastAsia="zh-CN"/>
        </w:rPr>
        <w:t>陕西宝迪名品商业管理有限公司</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zh-TW" w:eastAsia="zh-CN"/>
        </w:rPr>
        <w:t>西安宝迪工贸有限责任公司</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zh-TW" w:eastAsia="zh-CN"/>
        </w:rPr>
        <w:t>陕西宝迪国际贸易发展有限公司</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zh-TW" w:eastAsia="zh-CN"/>
        </w:rPr>
        <w:t>西安缇雅服饰有限公司</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200"/>
        <w:jc w:val="right"/>
        <w:textAlignment w:val="auto"/>
        <w:rPr>
          <w:rFonts w:hint="eastAsia" w:ascii="仿宋" w:hAnsi="仿宋" w:eastAsia="仿宋" w:cs="仿宋"/>
          <w:sz w:val="28"/>
          <w:szCs w:val="28"/>
        </w:rPr>
      </w:pPr>
      <w:r>
        <w:rPr>
          <w:rFonts w:hint="eastAsia" w:ascii="仿宋" w:hAnsi="仿宋" w:eastAsia="仿宋" w:cs="仿宋"/>
          <w:sz w:val="28"/>
          <w:szCs w:val="28"/>
          <w:lang w:val="zh-TW" w:eastAsia="zh-CN"/>
        </w:rPr>
        <w:t>陕西泰乐健康文化科技有限公司</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200"/>
        <w:jc w:val="right"/>
        <w:textAlignment w:val="auto"/>
        <w:rPr>
          <w:rFonts w:hint="eastAsia" w:ascii="仿宋" w:hAnsi="仿宋" w:eastAsia="仿宋" w:cs="仿宋"/>
          <w:sz w:val="28"/>
          <w:szCs w:val="28"/>
        </w:rPr>
      </w:pPr>
      <w:r>
        <w:rPr>
          <w:rFonts w:hint="eastAsia" w:ascii="仿宋" w:hAnsi="仿宋" w:eastAsia="仿宋" w:cs="仿宋"/>
          <w:sz w:val="28"/>
          <w:szCs w:val="28"/>
        </w:rPr>
        <w:t>预重整临时管理人</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二〇二二年</w:t>
      </w:r>
      <w:r>
        <w:rPr>
          <w:rFonts w:hint="eastAsia" w:ascii="仿宋" w:hAnsi="仿宋" w:eastAsia="仿宋" w:cs="仿宋"/>
          <w:sz w:val="28"/>
          <w:szCs w:val="28"/>
          <w:lang w:val="en-US" w:eastAsia="zh-CN"/>
        </w:rPr>
        <w:t>十二</w:t>
      </w:r>
      <w:r>
        <w:rPr>
          <w:rFonts w:hint="eastAsia" w:ascii="仿宋" w:hAnsi="仿宋" w:eastAsia="仿宋" w:cs="仿宋"/>
          <w:sz w:val="28"/>
          <w:szCs w:val="28"/>
        </w:rPr>
        <w:t>月十</w:t>
      </w:r>
      <w:r>
        <w:rPr>
          <w:rFonts w:hint="eastAsia" w:ascii="仿宋" w:hAnsi="仿宋" w:eastAsia="仿宋" w:cs="仿宋"/>
          <w:sz w:val="28"/>
          <w:szCs w:val="28"/>
          <w:lang w:val="en-US" w:eastAsia="zh-CN"/>
        </w:rPr>
        <w:t>四</w:t>
      </w:r>
      <w:r>
        <w:rPr>
          <w:rFonts w:hint="eastAsia" w:ascii="仿宋" w:hAnsi="仿宋" w:eastAsia="仿宋" w:cs="仿宋"/>
          <w:sz w:val="28"/>
          <w:szCs w:val="28"/>
        </w:rPr>
        <w:t>日</w:t>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200"/>
        <w:jc w:val="center"/>
        <w:textAlignment w:val="auto"/>
        <w:rPr>
          <w:rFonts w:hint="eastAsia" w:ascii="仿宋" w:hAnsi="仿宋" w:eastAsia="仿宋" w:cs="仿宋"/>
          <w:sz w:val="28"/>
          <w:szCs w:val="28"/>
        </w:rPr>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margin">
              <wp:posOffset>1290320</wp:posOffset>
            </wp:positionH>
            <wp:positionV relativeFrom="paragraph">
              <wp:posOffset>112395</wp:posOffset>
            </wp:positionV>
            <wp:extent cx="2401570" cy="2400935"/>
            <wp:effectExtent l="9525" t="9525" r="17780" b="18415"/>
            <wp:wrapNone/>
            <wp:docPr id="3" name="图片 3" descr="C:\Users\18473\Desktop\宝迪\宝迪5家公司\管理人发文\债权申报材料电子版.png债权申报材料电子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18473\Desktop\宝迪\宝迪5家公司\管理人发文\债权申报材料电子版.png债权申报材料电子版"/>
                    <pic:cNvPicPr>
                      <a:picLocks noChangeAspect="1"/>
                    </pic:cNvPicPr>
                  </pic:nvPicPr>
                  <pic:blipFill>
                    <a:blip r:embed="rId6"/>
                    <a:srcRect/>
                    <a:stretch>
                      <a:fillRect/>
                    </a:stretch>
                  </pic:blipFill>
                  <pic:spPr>
                    <a:xfrm>
                      <a:off x="0" y="0"/>
                      <a:ext cx="2401570" cy="2400935"/>
                    </a:xfrm>
                    <a:prstGeom prst="rect">
                      <a:avLst/>
                    </a:prstGeom>
                    <a:ln>
                      <a:solidFill>
                        <a:schemeClr val="bg1">
                          <a:lumMod val="75000"/>
                        </a:schemeClr>
                      </a:solidFill>
                    </a:ln>
                  </pic:spPr>
                </pic:pic>
              </a:graphicData>
            </a:graphic>
          </wp:anchor>
        </w:drawing>
      </w:r>
    </w:p>
    <w:p>
      <w:pPr>
        <w:pStyle w:val="13"/>
        <w:keepNext w:val="0"/>
        <w:keepLines w:val="0"/>
        <w:pageBreakBefore w:val="0"/>
        <w:widowControl/>
        <w:kinsoku/>
        <w:wordWrap/>
        <w:overflowPunct/>
        <w:topLinePunct w:val="0"/>
        <w:autoSpaceDE/>
        <w:autoSpaceDN/>
        <w:bidi w:val="0"/>
        <w:adjustRightInd/>
        <w:snapToGrid/>
        <w:spacing w:before="120" w:beforeLines="50" w:beforeAutospacing="0" w:after="0" w:afterLines="50" w:line="360" w:lineRule="auto"/>
        <w:ind w:firstLine="200"/>
        <w:jc w:val="center"/>
        <w:textAlignment w:val="auto"/>
        <w:rPr>
          <w:rFonts w:hint="eastAsia" w:ascii="仿宋" w:hAnsi="仿宋" w:eastAsia="仿宋" w:cs="仿宋"/>
          <w:sz w:val="28"/>
          <w:szCs w:val="28"/>
        </w:rPr>
      </w:pPr>
    </w:p>
    <w:sectPr>
      <w:footerReference r:id="rId4" w:type="default"/>
      <w:pgSz w:w="11910" w:h="16840"/>
      <w:pgMar w:top="1843" w:right="1803" w:bottom="1440" w:left="1803" w:header="0" w:footer="1088" w:gutter="0"/>
      <w:pgBorders>
        <w:top w:val="none" w:sz="0" w:space="0"/>
        <w:left w:val="none" w:sz="0" w:space="0"/>
        <w:bottom w:val="none" w:sz="0" w:space="0"/>
        <w:right w:val="none" w:sz="0" w:space="0"/>
      </w:pgBorders>
      <w:pgNumType w:fmt="numberInDash"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E00006FF" w:usb1="420024FF" w:usb2="02000000" w:usb3="00000000" w:csb0="2000019F" w:csb1="00000000"/>
  </w:font>
  <w:font w:name="Calibri Light">
    <w:panose1 w:val="020F0302020204030204"/>
    <w:charset w:val="00"/>
    <w:family w:val="auto"/>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PMingLiU">
    <w:altName w:val="PMingLiU-ExtB"/>
    <w:panose1 w:val="02020500000000000000"/>
    <w:charset w:val="88"/>
    <w:family w:val="auto"/>
    <w:pitch w:val="default"/>
    <w:sig w:usb0="00000000" w:usb1="0000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firstLine="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firstLine="0"/>
      <w:rPr>
        <w:sz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9862820</wp:posOffset>
              </wp:positionV>
              <wp:extent cx="414020" cy="419100"/>
              <wp:effectExtent l="0" t="0" r="0" b="0"/>
              <wp:wrapNone/>
              <wp:docPr id="4" name="文本框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EditPoints="1" noChangeArrowheads="1" noChangeShapeType="1" noTextEdit="1"/>
                    </wps:cNvSpPr>
                    <wps:spPr bwMode="auto">
                      <a:xfrm>
                        <a:off x="0" y="0"/>
                        <a:ext cx="414020" cy="419100"/>
                      </a:xfrm>
                      <a:prstGeom prst="rect">
                        <a:avLst/>
                      </a:prstGeom>
                      <a:noFill/>
                      <a:ln>
                        <a:noFill/>
                      </a:ln>
                    </wps:spPr>
                    <wps:txbx>
                      <w:txbxContent>
                        <w:p>
                          <w:pPr>
                            <w:spacing w:line="203" w:lineRule="exact"/>
                            <w:ind w:left="40"/>
                            <w:rPr>
                              <w:rFonts w:ascii="Calibri"/>
                              <w:sz w:val="18"/>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776.6pt;height:33pt;width:32.6pt;mso-position-horizontal:center;mso-position-horizontal-relative:margin;mso-position-vertical-relative:page;z-index:251660288;mso-width-relative:page;mso-height-relative:page;" filled="f" stroked="f" coordsize="21600,21600" o:gfxdata="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z4vcjNgAAAAJAQAADwAAAAAAAAABACAAAAAiAAAAZHJzL2Rvd25yZXYueG1sUEsBAhQA&#10;FAAAAAgAh07iQBuszoArAgAATQQAAA4AAAAAAAAAAQAgAAAAJwEAAGRycy9lMm9Eb2MueG1sUEsF&#10;BgAAAAAGAAYAWQEAAMQFAAAAAA==&#10;">
              <v:fill on="f" focussize="0,0"/>
              <v:stroke on="f"/>
              <v:imagedata o:title=""/>
              <o:lock v:ext="edit" text="t" aspectratio="t"/>
              <v:textbox inset="0mm,0mm,0mm,0mm">
                <w:txbxContent>
                  <w:p>
                    <w:pPr>
                      <w:spacing w:line="203" w:lineRule="exact"/>
                      <w:ind w:left="40"/>
                      <w:rPr>
                        <w:rFonts w:ascii="Calibri"/>
                        <w:sz w:val="18"/>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1B4B45"/>
    <w:multiLevelType w:val="multilevel"/>
    <w:tmpl w:val="851B4B45"/>
    <w:lvl w:ilvl="0" w:tentative="0">
      <w:start w:val="1"/>
      <w:numFmt w:val="japaneseCounting"/>
      <w:suff w:val="nothing"/>
      <w:lvlText w:val="（%1）"/>
      <w:lvlJc w:val="left"/>
      <w:pPr>
        <w:ind w:left="720" w:hanging="295"/>
      </w:pPr>
      <w:rPr>
        <w:rFonts w:hint="eastAsia" w:ascii="Times New Roman" w:hAnsi="Times New Roman" w:cs="Times New Roman"/>
      </w:rPr>
    </w:lvl>
    <w:lvl w:ilvl="1" w:tentative="0">
      <w:start w:val="1"/>
      <w:numFmt w:val="lowerLetter"/>
      <w:lvlText w:val="%2)"/>
      <w:lvlJc w:val="left"/>
      <w:pPr>
        <w:ind w:left="840" w:hanging="420"/>
      </w:pPr>
      <w:rPr>
        <w:rFonts w:hint="eastAsia" w:ascii="Times New Roman" w:hAnsi="Times New Roman" w:cs="Times New Roman"/>
      </w:rPr>
    </w:lvl>
    <w:lvl w:ilvl="2" w:tentative="0">
      <w:start w:val="1"/>
      <w:numFmt w:val="lowerRoman"/>
      <w:lvlText w:val="%3."/>
      <w:lvlJc w:val="right"/>
      <w:pPr>
        <w:ind w:left="1260" w:hanging="420"/>
      </w:pPr>
      <w:rPr>
        <w:rFonts w:hint="eastAsia" w:ascii="Times New Roman" w:hAnsi="Times New Roman" w:cs="Times New Roman"/>
      </w:rPr>
    </w:lvl>
    <w:lvl w:ilvl="3" w:tentative="0">
      <w:start w:val="1"/>
      <w:numFmt w:val="decimal"/>
      <w:lvlText w:val="%4."/>
      <w:lvlJc w:val="left"/>
      <w:pPr>
        <w:ind w:left="1680" w:hanging="420"/>
      </w:pPr>
      <w:rPr>
        <w:rFonts w:hint="eastAsia" w:ascii="Times New Roman" w:hAnsi="Times New Roman" w:cs="Times New Roman"/>
      </w:rPr>
    </w:lvl>
    <w:lvl w:ilvl="4" w:tentative="0">
      <w:start w:val="1"/>
      <w:numFmt w:val="lowerLetter"/>
      <w:lvlText w:val="%5)"/>
      <w:lvlJc w:val="left"/>
      <w:pPr>
        <w:ind w:left="2100" w:hanging="420"/>
      </w:pPr>
      <w:rPr>
        <w:rFonts w:hint="eastAsia" w:ascii="Times New Roman" w:hAnsi="Times New Roman" w:cs="Times New Roman"/>
      </w:rPr>
    </w:lvl>
    <w:lvl w:ilvl="5" w:tentative="0">
      <w:start w:val="1"/>
      <w:numFmt w:val="lowerRoman"/>
      <w:lvlText w:val="%6."/>
      <w:lvlJc w:val="right"/>
      <w:pPr>
        <w:ind w:left="2520" w:hanging="420"/>
      </w:pPr>
      <w:rPr>
        <w:rFonts w:hint="eastAsia" w:ascii="Times New Roman" w:hAnsi="Times New Roman" w:cs="Times New Roman"/>
      </w:rPr>
    </w:lvl>
    <w:lvl w:ilvl="6" w:tentative="0">
      <w:start w:val="1"/>
      <w:numFmt w:val="decimal"/>
      <w:lvlText w:val="%7."/>
      <w:lvlJc w:val="left"/>
      <w:pPr>
        <w:ind w:left="2940" w:hanging="420"/>
      </w:pPr>
      <w:rPr>
        <w:rFonts w:hint="eastAsia" w:ascii="Times New Roman" w:hAnsi="Times New Roman" w:cs="Times New Roman"/>
      </w:rPr>
    </w:lvl>
    <w:lvl w:ilvl="7" w:tentative="0">
      <w:start w:val="1"/>
      <w:numFmt w:val="lowerLetter"/>
      <w:lvlText w:val="%8)"/>
      <w:lvlJc w:val="left"/>
      <w:pPr>
        <w:ind w:left="3360" w:hanging="420"/>
      </w:pPr>
      <w:rPr>
        <w:rFonts w:hint="eastAsia" w:ascii="Times New Roman" w:hAnsi="Times New Roman" w:cs="Times New Roman"/>
      </w:rPr>
    </w:lvl>
    <w:lvl w:ilvl="8" w:tentative="0">
      <w:start w:val="1"/>
      <w:numFmt w:val="lowerRoman"/>
      <w:lvlText w:val="%9."/>
      <w:lvlJc w:val="right"/>
      <w:pPr>
        <w:ind w:left="3780" w:hanging="420"/>
      </w:pPr>
      <w:rPr>
        <w:rFonts w:hint="eastAsia" w:ascii="Times New Roman" w:hAnsi="Times New Roman" w:cs="Times New Roman"/>
      </w:rPr>
    </w:lvl>
  </w:abstractNum>
  <w:abstractNum w:abstractNumId="1">
    <w:nsid w:val="99972A79"/>
    <w:multiLevelType w:val="multilevel"/>
    <w:tmpl w:val="99972A79"/>
    <w:lvl w:ilvl="0" w:tentative="0">
      <w:start w:val="1"/>
      <w:numFmt w:val="chineseCountingThousand"/>
      <w:suff w:val="nothing"/>
      <w:lvlText w:val="%1、"/>
      <w:lvlJc w:val="left"/>
      <w:pPr>
        <w:ind w:left="846" w:hanging="420"/>
      </w:pPr>
      <w:rPr>
        <w:rFonts w:hint="eastAsia" w:ascii="Times New Roman" w:hAnsi="Times New Roman" w:cs="Times New Roman"/>
      </w:rPr>
    </w:lvl>
    <w:lvl w:ilvl="1" w:tentative="0">
      <w:start w:val="1"/>
      <w:numFmt w:val="lowerLetter"/>
      <w:lvlText w:val="%2)"/>
      <w:lvlJc w:val="left"/>
      <w:pPr>
        <w:ind w:left="1322" w:hanging="420"/>
      </w:pPr>
      <w:rPr>
        <w:rFonts w:hint="eastAsia" w:ascii="Times New Roman" w:hAnsi="Times New Roman" w:cs="Times New Roman"/>
      </w:rPr>
    </w:lvl>
    <w:lvl w:ilvl="2" w:tentative="0">
      <w:start w:val="1"/>
      <w:numFmt w:val="lowerRoman"/>
      <w:lvlText w:val="%3."/>
      <w:lvlJc w:val="right"/>
      <w:pPr>
        <w:ind w:left="1742" w:hanging="420"/>
      </w:pPr>
      <w:rPr>
        <w:rFonts w:hint="eastAsia" w:ascii="Times New Roman" w:hAnsi="Times New Roman" w:cs="Times New Roman"/>
      </w:rPr>
    </w:lvl>
    <w:lvl w:ilvl="3" w:tentative="0">
      <w:start w:val="1"/>
      <w:numFmt w:val="decimal"/>
      <w:lvlText w:val="%4."/>
      <w:lvlJc w:val="left"/>
      <w:pPr>
        <w:ind w:left="2162" w:hanging="420"/>
      </w:pPr>
      <w:rPr>
        <w:rFonts w:hint="eastAsia" w:ascii="Times New Roman" w:hAnsi="Times New Roman" w:cs="Times New Roman"/>
      </w:rPr>
    </w:lvl>
    <w:lvl w:ilvl="4" w:tentative="0">
      <w:start w:val="1"/>
      <w:numFmt w:val="lowerLetter"/>
      <w:lvlText w:val="%5)"/>
      <w:lvlJc w:val="left"/>
      <w:pPr>
        <w:ind w:left="2582" w:hanging="420"/>
      </w:pPr>
      <w:rPr>
        <w:rFonts w:hint="eastAsia" w:ascii="Times New Roman" w:hAnsi="Times New Roman" w:cs="Times New Roman"/>
      </w:rPr>
    </w:lvl>
    <w:lvl w:ilvl="5" w:tentative="0">
      <w:start w:val="1"/>
      <w:numFmt w:val="lowerRoman"/>
      <w:lvlText w:val="%6."/>
      <w:lvlJc w:val="right"/>
      <w:pPr>
        <w:ind w:left="3002" w:hanging="420"/>
      </w:pPr>
      <w:rPr>
        <w:rFonts w:hint="eastAsia" w:ascii="Times New Roman" w:hAnsi="Times New Roman" w:cs="Times New Roman"/>
      </w:rPr>
    </w:lvl>
    <w:lvl w:ilvl="6" w:tentative="0">
      <w:start w:val="1"/>
      <w:numFmt w:val="decimal"/>
      <w:lvlText w:val="%7."/>
      <w:lvlJc w:val="left"/>
      <w:pPr>
        <w:ind w:left="3422" w:hanging="420"/>
      </w:pPr>
      <w:rPr>
        <w:rFonts w:hint="eastAsia" w:ascii="Times New Roman" w:hAnsi="Times New Roman" w:cs="Times New Roman"/>
      </w:rPr>
    </w:lvl>
    <w:lvl w:ilvl="7" w:tentative="0">
      <w:start w:val="1"/>
      <w:numFmt w:val="lowerLetter"/>
      <w:lvlText w:val="%8)"/>
      <w:lvlJc w:val="left"/>
      <w:pPr>
        <w:ind w:left="3842" w:hanging="420"/>
      </w:pPr>
      <w:rPr>
        <w:rFonts w:hint="eastAsia" w:ascii="Times New Roman" w:hAnsi="Times New Roman" w:cs="Times New Roman"/>
      </w:rPr>
    </w:lvl>
    <w:lvl w:ilvl="8" w:tentative="0">
      <w:start w:val="1"/>
      <w:numFmt w:val="lowerRoman"/>
      <w:lvlText w:val="%9."/>
      <w:lvlJc w:val="right"/>
      <w:pPr>
        <w:ind w:left="4262" w:hanging="420"/>
      </w:pPr>
      <w:rPr>
        <w:rFonts w:hint="eastAsia" w:ascii="Times New Roman" w:hAnsi="Times New Roman" w:cs="Times New Roman"/>
      </w:rPr>
    </w:lvl>
  </w:abstractNum>
  <w:abstractNum w:abstractNumId="2">
    <w:nsid w:val="A34FBCFA"/>
    <w:multiLevelType w:val="multilevel"/>
    <w:tmpl w:val="A34FBCFA"/>
    <w:lvl w:ilvl="0" w:tentative="0">
      <w:start w:val="1"/>
      <w:numFmt w:val="decimal"/>
      <w:suff w:val="nothing"/>
      <w:lvlText w:val="（%1）"/>
      <w:lvlJc w:val="left"/>
      <w:pPr>
        <w:ind w:left="720" w:hanging="7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
    <w:nsid w:val="08B4E70A"/>
    <w:multiLevelType w:val="multilevel"/>
    <w:tmpl w:val="08B4E70A"/>
    <w:lvl w:ilvl="0" w:tentative="0">
      <w:start w:val="1"/>
      <w:numFmt w:val="decimalEnclosedCircle"/>
      <w:suff w:val="space"/>
      <w:lvlText w:val="%1"/>
      <w:lvlJc w:val="left"/>
      <w:pPr>
        <w:ind w:left="283" w:firstLine="142"/>
      </w:pPr>
      <w:rPr>
        <w:rFonts w:hint="eastAsia" w:ascii="Times New Roman" w:hAnsi="Times New Roman" w:cs="Times New Roman"/>
      </w:rPr>
    </w:lvl>
    <w:lvl w:ilvl="1" w:tentative="0">
      <w:start w:val="1"/>
      <w:numFmt w:val="lowerLetter"/>
      <w:lvlText w:val="%2)"/>
      <w:lvlJc w:val="left"/>
      <w:pPr>
        <w:ind w:left="1320" w:hanging="420"/>
      </w:pPr>
      <w:rPr>
        <w:rFonts w:hint="eastAsia" w:ascii="Times New Roman" w:hAnsi="Times New Roman" w:cs="Times New Roman"/>
      </w:rPr>
    </w:lvl>
    <w:lvl w:ilvl="2" w:tentative="0">
      <w:start w:val="1"/>
      <w:numFmt w:val="lowerRoman"/>
      <w:lvlText w:val="%3."/>
      <w:lvlJc w:val="right"/>
      <w:pPr>
        <w:ind w:left="1740" w:hanging="420"/>
      </w:pPr>
      <w:rPr>
        <w:rFonts w:hint="eastAsia" w:ascii="Times New Roman" w:hAnsi="Times New Roman" w:cs="Times New Roman"/>
      </w:rPr>
    </w:lvl>
    <w:lvl w:ilvl="3" w:tentative="0">
      <w:start w:val="1"/>
      <w:numFmt w:val="decimal"/>
      <w:lvlText w:val="%4."/>
      <w:lvlJc w:val="left"/>
      <w:pPr>
        <w:ind w:left="2160" w:hanging="420"/>
      </w:pPr>
      <w:rPr>
        <w:rFonts w:hint="eastAsia" w:ascii="Times New Roman" w:hAnsi="Times New Roman" w:cs="Times New Roman"/>
      </w:rPr>
    </w:lvl>
    <w:lvl w:ilvl="4" w:tentative="0">
      <w:start w:val="1"/>
      <w:numFmt w:val="lowerLetter"/>
      <w:lvlText w:val="%5)"/>
      <w:lvlJc w:val="left"/>
      <w:pPr>
        <w:ind w:left="2580" w:hanging="420"/>
      </w:pPr>
      <w:rPr>
        <w:rFonts w:hint="eastAsia" w:ascii="Times New Roman" w:hAnsi="Times New Roman" w:cs="Times New Roman"/>
      </w:rPr>
    </w:lvl>
    <w:lvl w:ilvl="5" w:tentative="0">
      <w:start w:val="1"/>
      <w:numFmt w:val="lowerRoman"/>
      <w:lvlText w:val="%6."/>
      <w:lvlJc w:val="right"/>
      <w:pPr>
        <w:ind w:left="3000" w:hanging="420"/>
      </w:pPr>
      <w:rPr>
        <w:rFonts w:hint="eastAsia" w:ascii="Times New Roman" w:hAnsi="Times New Roman" w:cs="Times New Roman"/>
      </w:rPr>
    </w:lvl>
    <w:lvl w:ilvl="6" w:tentative="0">
      <w:start w:val="1"/>
      <w:numFmt w:val="decimal"/>
      <w:lvlText w:val="%7."/>
      <w:lvlJc w:val="left"/>
      <w:pPr>
        <w:ind w:left="3420" w:hanging="420"/>
      </w:pPr>
      <w:rPr>
        <w:rFonts w:hint="eastAsia" w:ascii="Times New Roman" w:hAnsi="Times New Roman" w:cs="Times New Roman"/>
      </w:rPr>
    </w:lvl>
    <w:lvl w:ilvl="7" w:tentative="0">
      <w:start w:val="1"/>
      <w:numFmt w:val="lowerLetter"/>
      <w:lvlText w:val="%8)"/>
      <w:lvlJc w:val="left"/>
      <w:pPr>
        <w:ind w:left="3840" w:hanging="420"/>
      </w:pPr>
      <w:rPr>
        <w:rFonts w:hint="eastAsia" w:ascii="Times New Roman" w:hAnsi="Times New Roman" w:cs="Times New Roman"/>
      </w:rPr>
    </w:lvl>
    <w:lvl w:ilvl="8" w:tentative="0">
      <w:start w:val="1"/>
      <w:numFmt w:val="lowerRoman"/>
      <w:lvlText w:val="%9."/>
      <w:lvlJc w:val="right"/>
      <w:pPr>
        <w:ind w:left="4260" w:hanging="420"/>
      </w:pPr>
      <w:rPr>
        <w:rFonts w:hint="eastAsia" w:ascii="Times New Roman" w:hAnsi="Times New Roman" w:cs="Times New Roman"/>
      </w:rPr>
    </w:lvl>
  </w:abstractNum>
  <w:abstractNum w:abstractNumId="4">
    <w:nsid w:val="0F5D3B8D"/>
    <w:multiLevelType w:val="multilevel"/>
    <w:tmpl w:val="0F5D3B8D"/>
    <w:lvl w:ilvl="0" w:tentative="0">
      <w:start w:val="1"/>
      <w:numFmt w:val="japaneseCounting"/>
      <w:suff w:val="nothing"/>
      <w:lvlText w:val="（%1）"/>
      <w:lvlJc w:val="left"/>
      <w:pPr>
        <w:ind w:left="1146" w:hanging="720"/>
      </w:pPr>
      <w:rPr>
        <w:rFonts w:hint="eastAsia" w:ascii="Times New Roman" w:hAnsi="Times New Roman" w:cs="Times New Roman"/>
      </w:rPr>
    </w:lvl>
    <w:lvl w:ilvl="1" w:tentative="0">
      <w:start w:val="1"/>
      <w:numFmt w:val="lowerLetter"/>
      <w:lvlText w:val="%2)"/>
      <w:lvlJc w:val="left"/>
      <w:pPr>
        <w:ind w:left="840" w:hanging="420"/>
      </w:pPr>
      <w:rPr>
        <w:rFonts w:hint="eastAsia" w:ascii="Times New Roman" w:hAnsi="Times New Roman" w:cs="Times New Roman"/>
      </w:rPr>
    </w:lvl>
    <w:lvl w:ilvl="2" w:tentative="0">
      <w:start w:val="1"/>
      <w:numFmt w:val="lowerRoman"/>
      <w:lvlText w:val="%3."/>
      <w:lvlJc w:val="right"/>
      <w:pPr>
        <w:ind w:left="1260" w:hanging="420"/>
      </w:pPr>
      <w:rPr>
        <w:rFonts w:hint="eastAsia" w:ascii="Times New Roman" w:hAnsi="Times New Roman" w:cs="Times New Roman"/>
      </w:rPr>
    </w:lvl>
    <w:lvl w:ilvl="3" w:tentative="0">
      <w:start w:val="1"/>
      <w:numFmt w:val="decimal"/>
      <w:lvlText w:val="%4."/>
      <w:lvlJc w:val="left"/>
      <w:pPr>
        <w:ind w:left="1680" w:hanging="420"/>
      </w:pPr>
      <w:rPr>
        <w:rFonts w:hint="eastAsia" w:ascii="Times New Roman" w:hAnsi="Times New Roman" w:cs="Times New Roman"/>
      </w:rPr>
    </w:lvl>
    <w:lvl w:ilvl="4" w:tentative="0">
      <w:start w:val="1"/>
      <w:numFmt w:val="lowerLetter"/>
      <w:lvlText w:val="%5)"/>
      <w:lvlJc w:val="left"/>
      <w:pPr>
        <w:ind w:left="2100" w:hanging="420"/>
      </w:pPr>
      <w:rPr>
        <w:rFonts w:hint="eastAsia" w:ascii="Times New Roman" w:hAnsi="Times New Roman" w:cs="Times New Roman"/>
      </w:rPr>
    </w:lvl>
    <w:lvl w:ilvl="5" w:tentative="0">
      <w:start w:val="1"/>
      <w:numFmt w:val="lowerRoman"/>
      <w:lvlText w:val="%6."/>
      <w:lvlJc w:val="right"/>
      <w:pPr>
        <w:ind w:left="2520" w:hanging="420"/>
      </w:pPr>
      <w:rPr>
        <w:rFonts w:hint="eastAsia" w:ascii="Times New Roman" w:hAnsi="Times New Roman" w:cs="Times New Roman"/>
      </w:rPr>
    </w:lvl>
    <w:lvl w:ilvl="6" w:tentative="0">
      <w:start w:val="1"/>
      <w:numFmt w:val="decimal"/>
      <w:lvlText w:val="%7."/>
      <w:lvlJc w:val="left"/>
      <w:pPr>
        <w:ind w:left="2940" w:hanging="420"/>
      </w:pPr>
      <w:rPr>
        <w:rFonts w:hint="eastAsia" w:ascii="Times New Roman" w:hAnsi="Times New Roman" w:cs="Times New Roman"/>
      </w:rPr>
    </w:lvl>
    <w:lvl w:ilvl="7" w:tentative="0">
      <w:start w:val="1"/>
      <w:numFmt w:val="lowerLetter"/>
      <w:lvlText w:val="%8)"/>
      <w:lvlJc w:val="left"/>
      <w:pPr>
        <w:ind w:left="3360" w:hanging="420"/>
      </w:pPr>
      <w:rPr>
        <w:rFonts w:hint="eastAsia" w:ascii="Times New Roman" w:hAnsi="Times New Roman" w:cs="Times New Roman"/>
      </w:rPr>
    </w:lvl>
    <w:lvl w:ilvl="8" w:tentative="0">
      <w:start w:val="1"/>
      <w:numFmt w:val="lowerRoman"/>
      <w:lvlText w:val="%9."/>
      <w:lvlJc w:val="right"/>
      <w:pPr>
        <w:ind w:left="3780" w:hanging="420"/>
      </w:pPr>
      <w:rPr>
        <w:rFonts w:hint="eastAsia" w:ascii="Times New Roman" w:hAnsi="Times New Roman" w:cs="Times New Roman"/>
      </w:rPr>
    </w:lvl>
  </w:abstractNum>
  <w:abstractNum w:abstractNumId="5">
    <w:nsid w:val="1CAB0587"/>
    <w:multiLevelType w:val="multilevel"/>
    <w:tmpl w:val="1CAB0587"/>
    <w:lvl w:ilvl="0" w:tentative="0">
      <w:start w:val="1"/>
      <w:numFmt w:val="decimal"/>
      <w:lvlText w:val="%1."/>
      <w:lvlJc w:val="left"/>
      <w:pPr>
        <w:ind w:left="786" w:hanging="360"/>
      </w:pPr>
      <w:rPr>
        <w:rFonts w:hint="default" w:ascii="Times New Roman" w:hAnsi="Times New Roman" w:cs="Times New Roman"/>
      </w:rPr>
    </w:lvl>
    <w:lvl w:ilvl="1" w:tentative="0">
      <w:start w:val="1"/>
      <w:numFmt w:val="lowerLetter"/>
      <w:lvlText w:val="%2)"/>
      <w:lvlJc w:val="left"/>
      <w:pPr>
        <w:ind w:left="1266" w:hanging="420"/>
      </w:pPr>
      <w:rPr>
        <w:rFonts w:hint="default" w:ascii="Times New Roman" w:hAnsi="Times New Roman" w:cs="Times New Roman"/>
      </w:rPr>
    </w:lvl>
    <w:lvl w:ilvl="2" w:tentative="0">
      <w:start w:val="1"/>
      <w:numFmt w:val="lowerRoman"/>
      <w:lvlText w:val="%3."/>
      <w:lvlJc w:val="right"/>
      <w:pPr>
        <w:ind w:left="1686" w:hanging="420"/>
      </w:pPr>
      <w:rPr>
        <w:rFonts w:hint="default" w:ascii="Times New Roman" w:hAnsi="Times New Roman" w:cs="Times New Roman"/>
      </w:rPr>
    </w:lvl>
    <w:lvl w:ilvl="3" w:tentative="0">
      <w:start w:val="1"/>
      <w:numFmt w:val="decimal"/>
      <w:lvlText w:val="%4."/>
      <w:lvlJc w:val="left"/>
      <w:pPr>
        <w:ind w:left="2106" w:hanging="420"/>
      </w:pPr>
      <w:rPr>
        <w:rFonts w:hint="default" w:ascii="Times New Roman" w:hAnsi="Times New Roman" w:cs="Times New Roman"/>
      </w:rPr>
    </w:lvl>
    <w:lvl w:ilvl="4" w:tentative="0">
      <w:start w:val="1"/>
      <w:numFmt w:val="lowerLetter"/>
      <w:lvlText w:val="%5)"/>
      <w:lvlJc w:val="left"/>
      <w:pPr>
        <w:ind w:left="2526" w:hanging="420"/>
      </w:pPr>
      <w:rPr>
        <w:rFonts w:hint="default" w:ascii="Times New Roman" w:hAnsi="Times New Roman" w:cs="Times New Roman"/>
      </w:rPr>
    </w:lvl>
    <w:lvl w:ilvl="5" w:tentative="0">
      <w:start w:val="1"/>
      <w:numFmt w:val="lowerRoman"/>
      <w:lvlText w:val="%6."/>
      <w:lvlJc w:val="right"/>
      <w:pPr>
        <w:ind w:left="2946" w:hanging="420"/>
      </w:pPr>
      <w:rPr>
        <w:rFonts w:hint="default" w:ascii="Times New Roman" w:hAnsi="Times New Roman" w:cs="Times New Roman"/>
      </w:rPr>
    </w:lvl>
    <w:lvl w:ilvl="6" w:tentative="0">
      <w:start w:val="1"/>
      <w:numFmt w:val="decimal"/>
      <w:lvlText w:val="%7."/>
      <w:lvlJc w:val="left"/>
      <w:pPr>
        <w:ind w:left="3366" w:hanging="420"/>
      </w:pPr>
      <w:rPr>
        <w:rFonts w:hint="default" w:ascii="Times New Roman" w:hAnsi="Times New Roman" w:cs="Times New Roman"/>
      </w:rPr>
    </w:lvl>
    <w:lvl w:ilvl="7" w:tentative="0">
      <w:start w:val="1"/>
      <w:numFmt w:val="lowerLetter"/>
      <w:lvlText w:val="%8)"/>
      <w:lvlJc w:val="left"/>
      <w:pPr>
        <w:ind w:left="3786" w:hanging="420"/>
      </w:pPr>
      <w:rPr>
        <w:rFonts w:hint="default" w:ascii="Times New Roman" w:hAnsi="Times New Roman" w:cs="Times New Roman"/>
      </w:rPr>
    </w:lvl>
    <w:lvl w:ilvl="8" w:tentative="0">
      <w:start w:val="1"/>
      <w:numFmt w:val="lowerRoman"/>
      <w:lvlText w:val="%9."/>
      <w:lvlJc w:val="right"/>
      <w:pPr>
        <w:ind w:left="4206" w:hanging="420"/>
      </w:pPr>
      <w:rPr>
        <w:rFonts w:hint="default" w:ascii="Times New Roman" w:hAnsi="Times New Roman" w:cs="Times New Roman"/>
      </w:rPr>
    </w:lvl>
  </w:abstractNum>
  <w:abstractNum w:abstractNumId="6">
    <w:nsid w:val="20F04B60"/>
    <w:multiLevelType w:val="multilevel"/>
    <w:tmpl w:val="20F04B60"/>
    <w:lvl w:ilvl="0" w:tentative="0">
      <w:start w:val="1"/>
      <w:numFmt w:val="decimal"/>
      <w:lvlText w:val="%1."/>
      <w:lvlJc w:val="left"/>
      <w:pPr>
        <w:ind w:left="900" w:hanging="420"/>
      </w:pPr>
      <w:rPr>
        <w:rFonts w:hint="default" w:ascii="Times New Roman" w:hAnsi="Times New Roman" w:cs="Times New Roman"/>
      </w:rPr>
    </w:lvl>
    <w:lvl w:ilvl="1" w:tentative="0">
      <w:start w:val="1"/>
      <w:numFmt w:val="lowerLetter"/>
      <w:lvlText w:val="%2)"/>
      <w:lvlJc w:val="left"/>
      <w:pPr>
        <w:ind w:left="1320" w:hanging="420"/>
      </w:pPr>
      <w:rPr>
        <w:rFonts w:hint="default" w:ascii="Times New Roman" w:hAnsi="Times New Roman" w:cs="Times New Roman"/>
      </w:rPr>
    </w:lvl>
    <w:lvl w:ilvl="2" w:tentative="0">
      <w:start w:val="1"/>
      <w:numFmt w:val="lowerRoman"/>
      <w:lvlText w:val="%3."/>
      <w:lvlJc w:val="right"/>
      <w:pPr>
        <w:ind w:left="1740" w:hanging="420"/>
      </w:pPr>
      <w:rPr>
        <w:rFonts w:hint="default" w:ascii="Times New Roman" w:hAnsi="Times New Roman" w:cs="Times New Roman"/>
      </w:rPr>
    </w:lvl>
    <w:lvl w:ilvl="3" w:tentative="0">
      <w:start w:val="1"/>
      <w:numFmt w:val="decimal"/>
      <w:lvlText w:val="%4."/>
      <w:lvlJc w:val="left"/>
      <w:pPr>
        <w:ind w:left="2160" w:hanging="420"/>
      </w:pPr>
      <w:rPr>
        <w:rFonts w:hint="default" w:ascii="Times New Roman" w:hAnsi="Times New Roman" w:cs="Times New Roman"/>
      </w:rPr>
    </w:lvl>
    <w:lvl w:ilvl="4" w:tentative="0">
      <w:start w:val="1"/>
      <w:numFmt w:val="lowerLetter"/>
      <w:lvlText w:val="%5)"/>
      <w:lvlJc w:val="left"/>
      <w:pPr>
        <w:ind w:left="2580" w:hanging="420"/>
      </w:pPr>
      <w:rPr>
        <w:rFonts w:hint="default" w:ascii="Times New Roman" w:hAnsi="Times New Roman" w:cs="Times New Roman"/>
      </w:rPr>
    </w:lvl>
    <w:lvl w:ilvl="5" w:tentative="0">
      <w:start w:val="1"/>
      <w:numFmt w:val="lowerRoman"/>
      <w:lvlText w:val="%6."/>
      <w:lvlJc w:val="right"/>
      <w:pPr>
        <w:ind w:left="3000" w:hanging="420"/>
      </w:pPr>
      <w:rPr>
        <w:rFonts w:hint="default" w:ascii="Times New Roman" w:hAnsi="Times New Roman" w:cs="Times New Roman"/>
      </w:rPr>
    </w:lvl>
    <w:lvl w:ilvl="6" w:tentative="0">
      <w:start w:val="1"/>
      <w:numFmt w:val="decimal"/>
      <w:lvlText w:val="%7."/>
      <w:lvlJc w:val="left"/>
      <w:pPr>
        <w:ind w:left="3420" w:hanging="420"/>
      </w:pPr>
      <w:rPr>
        <w:rFonts w:hint="default" w:ascii="Times New Roman" w:hAnsi="Times New Roman" w:cs="Times New Roman"/>
      </w:rPr>
    </w:lvl>
    <w:lvl w:ilvl="7" w:tentative="0">
      <w:start w:val="1"/>
      <w:numFmt w:val="lowerLetter"/>
      <w:lvlText w:val="%8)"/>
      <w:lvlJc w:val="left"/>
      <w:pPr>
        <w:ind w:left="3840" w:hanging="420"/>
      </w:pPr>
      <w:rPr>
        <w:rFonts w:hint="default" w:ascii="Times New Roman" w:hAnsi="Times New Roman" w:cs="Times New Roman"/>
      </w:rPr>
    </w:lvl>
    <w:lvl w:ilvl="8" w:tentative="0">
      <w:start w:val="1"/>
      <w:numFmt w:val="lowerRoman"/>
      <w:lvlText w:val="%9."/>
      <w:lvlJc w:val="right"/>
      <w:pPr>
        <w:ind w:left="4260" w:hanging="420"/>
      </w:pPr>
      <w:rPr>
        <w:rFonts w:hint="default" w:ascii="Times New Roman" w:hAnsi="Times New Roman" w:cs="Times New Roman"/>
      </w:rPr>
    </w:lvl>
  </w:abstractNum>
  <w:abstractNum w:abstractNumId="7">
    <w:nsid w:val="49BB6269"/>
    <w:multiLevelType w:val="multilevel"/>
    <w:tmpl w:val="49BB6269"/>
    <w:lvl w:ilvl="0" w:tentative="0">
      <w:start w:val="1"/>
      <w:numFmt w:val="decimal"/>
      <w:suff w:val="nothing"/>
      <w:lvlText w:val="（%1）"/>
      <w:lvlJc w:val="left"/>
      <w:pPr>
        <w:ind w:left="720" w:hanging="7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1"/>
  </w:num>
  <w:num w:numId="2">
    <w:abstractNumId w:val="0"/>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3"/>
  </w:num>
  <w:num w:numId="6">
    <w:abstractNumId w:val="2"/>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ZkNzhmZTc2MWMyYjBmNGQ0NmEwYWQ1YzA5YTJlNTQifQ=="/>
  </w:docVars>
  <w:rsids>
    <w:rsidRoot w:val="00291FEE"/>
    <w:rsid w:val="00037CAC"/>
    <w:rsid w:val="00043BAD"/>
    <w:rsid w:val="000971AC"/>
    <w:rsid w:val="000C5D81"/>
    <w:rsid w:val="000C697D"/>
    <w:rsid w:val="000F0580"/>
    <w:rsid w:val="000F6331"/>
    <w:rsid w:val="001326B2"/>
    <w:rsid w:val="001656F6"/>
    <w:rsid w:val="001715BA"/>
    <w:rsid w:val="001B2D80"/>
    <w:rsid w:val="001C67F8"/>
    <w:rsid w:val="001E28B5"/>
    <w:rsid w:val="001F5D23"/>
    <w:rsid w:val="002247C0"/>
    <w:rsid w:val="002316B8"/>
    <w:rsid w:val="00240C50"/>
    <w:rsid w:val="002531EF"/>
    <w:rsid w:val="00291FEE"/>
    <w:rsid w:val="00292EF0"/>
    <w:rsid w:val="00297A89"/>
    <w:rsid w:val="002A73AB"/>
    <w:rsid w:val="002B35C6"/>
    <w:rsid w:val="0031012B"/>
    <w:rsid w:val="003224E7"/>
    <w:rsid w:val="00331914"/>
    <w:rsid w:val="003A5325"/>
    <w:rsid w:val="003C1D0A"/>
    <w:rsid w:val="003D7ABE"/>
    <w:rsid w:val="00421E6B"/>
    <w:rsid w:val="004D3E9A"/>
    <w:rsid w:val="004E2040"/>
    <w:rsid w:val="004F6505"/>
    <w:rsid w:val="0050345E"/>
    <w:rsid w:val="00553C9C"/>
    <w:rsid w:val="00557B77"/>
    <w:rsid w:val="0060655A"/>
    <w:rsid w:val="00631C1C"/>
    <w:rsid w:val="00634FA7"/>
    <w:rsid w:val="00637069"/>
    <w:rsid w:val="0066206E"/>
    <w:rsid w:val="006650CD"/>
    <w:rsid w:val="00667255"/>
    <w:rsid w:val="00676923"/>
    <w:rsid w:val="006934B3"/>
    <w:rsid w:val="006C6088"/>
    <w:rsid w:val="006E2BE5"/>
    <w:rsid w:val="006F7363"/>
    <w:rsid w:val="007372E8"/>
    <w:rsid w:val="0075221A"/>
    <w:rsid w:val="00781B74"/>
    <w:rsid w:val="007A05B4"/>
    <w:rsid w:val="007A24A6"/>
    <w:rsid w:val="007A3E30"/>
    <w:rsid w:val="007D1AED"/>
    <w:rsid w:val="007F04CE"/>
    <w:rsid w:val="00805E52"/>
    <w:rsid w:val="008364BF"/>
    <w:rsid w:val="00845E74"/>
    <w:rsid w:val="008B4816"/>
    <w:rsid w:val="008C51B7"/>
    <w:rsid w:val="009042BC"/>
    <w:rsid w:val="0091382C"/>
    <w:rsid w:val="00933B36"/>
    <w:rsid w:val="00966E94"/>
    <w:rsid w:val="009840C1"/>
    <w:rsid w:val="009B2F71"/>
    <w:rsid w:val="009E5D18"/>
    <w:rsid w:val="00A31200"/>
    <w:rsid w:val="00A40E76"/>
    <w:rsid w:val="00AA313A"/>
    <w:rsid w:val="00AA5529"/>
    <w:rsid w:val="00AC3BC3"/>
    <w:rsid w:val="00AD4BCF"/>
    <w:rsid w:val="00AD5382"/>
    <w:rsid w:val="00AE1E40"/>
    <w:rsid w:val="00AF3B20"/>
    <w:rsid w:val="00AF4249"/>
    <w:rsid w:val="00B0374E"/>
    <w:rsid w:val="00B53B1F"/>
    <w:rsid w:val="00B65F37"/>
    <w:rsid w:val="00BA2627"/>
    <w:rsid w:val="00BD10E4"/>
    <w:rsid w:val="00BD78E9"/>
    <w:rsid w:val="00BF3B68"/>
    <w:rsid w:val="00C01A24"/>
    <w:rsid w:val="00C1477E"/>
    <w:rsid w:val="00C21802"/>
    <w:rsid w:val="00C4312B"/>
    <w:rsid w:val="00C60E00"/>
    <w:rsid w:val="00C944CB"/>
    <w:rsid w:val="00CB2133"/>
    <w:rsid w:val="00CC53F9"/>
    <w:rsid w:val="00CC5BB9"/>
    <w:rsid w:val="00D023F6"/>
    <w:rsid w:val="00D823B8"/>
    <w:rsid w:val="00DB0F5D"/>
    <w:rsid w:val="00DE7150"/>
    <w:rsid w:val="00E1156D"/>
    <w:rsid w:val="00E54D79"/>
    <w:rsid w:val="00E61246"/>
    <w:rsid w:val="00E67FCE"/>
    <w:rsid w:val="00E75DB5"/>
    <w:rsid w:val="00EA205A"/>
    <w:rsid w:val="00EA2439"/>
    <w:rsid w:val="00EB01ED"/>
    <w:rsid w:val="00EB352A"/>
    <w:rsid w:val="00EC69B5"/>
    <w:rsid w:val="00EF5164"/>
    <w:rsid w:val="00F36F0C"/>
    <w:rsid w:val="00F602B4"/>
    <w:rsid w:val="00FB3273"/>
    <w:rsid w:val="00FC3686"/>
    <w:rsid w:val="00FF681B"/>
    <w:rsid w:val="07CE4A46"/>
    <w:rsid w:val="0D7F3BC3"/>
    <w:rsid w:val="0E64124A"/>
    <w:rsid w:val="0F2E3D3A"/>
    <w:rsid w:val="0F5753AB"/>
    <w:rsid w:val="0F8C2C55"/>
    <w:rsid w:val="115F7491"/>
    <w:rsid w:val="15C30FD5"/>
    <w:rsid w:val="1B4072CF"/>
    <w:rsid w:val="250B1713"/>
    <w:rsid w:val="27621ADA"/>
    <w:rsid w:val="30612A13"/>
    <w:rsid w:val="332F6F63"/>
    <w:rsid w:val="3D1C14AA"/>
    <w:rsid w:val="44CE285E"/>
    <w:rsid w:val="45801B6B"/>
    <w:rsid w:val="46D20DB0"/>
    <w:rsid w:val="482A4397"/>
    <w:rsid w:val="4BD84E59"/>
    <w:rsid w:val="4C54227B"/>
    <w:rsid w:val="4EB62E28"/>
    <w:rsid w:val="51707BA2"/>
    <w:rsid w:val="533771FE"/>
    <w:rsid w:val="56F063FA"/>
    <w:rsid w:val="598E4964"/>
    <w:rsid w:val="5C71213D"/>
    <w:rsid w:val="612B5CC2"/>
    <w:rsid w:val="6710272E"/>
    <w:rsid w:val="6AFE328E"/>
    <w:rsid w:val="6D356584"/>
    <w:rsid w:val="6D5772FC"/>
    <w:rsid w:val="73286BC0"/>
    <w:rsid w:val="7B226FCC"/>
    <w:rsid w:val="7CE23FAB"/>
    <w:rsid w:val="7F630604"/>
    <w:rsid w:val="CFF90C46"/>
    <w:rsid w:val="DCFD17B2"/>
    <w:rsid w:val="DFE798AA"/>
    <w:rsid w:val="FB7DA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仿宋" w:hAnsi="仿宋" w:eastAsia="仿宋" w:cs="仿宋"/>
      <w:sz w:val="22"/>
      <w:szCs w:val="22"/>
      <w:lang w:val="zh-CN" w:eastAsia="zh-CN" w:bidi="zh-CN"/>
    </w:rPr>
  </w:style>
  <w:style w:type="paragraph" w:styleId="3">
    <w:name w:val="heading 1"/>
    <w:basedOn w:val="1"/>
    <w:next w:val="1"/>
    <w:link w:val="8"/>
    <w:qFormat/>
    <w:uiPriority w:val="9"/>
    <w:pPr>
      <w:spacing w:before="155"/>
      <w:ind w:left="681"/>
      <w:outlineLvl w:val="0"/>
    </w:pPr>
    <w:rPr>
      <w:b/>
      <w:bCs/>
      <w:sz w:val="28"/>
      <w:szCs w:val="28"/>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9"/>
    <w:qFormat/>
    <w:uiPriority w:val="1"/>
    <w:pPr>
      <w:spacing w:before="11"/>
      <w:ind w:left="120" w:firstLine="559"/>
    </w:pPr>
    <w:rPr>
      <w:sz w:val="28"/>
      <w:szCs w:val="28"/>
    </w:rPr>
  </w:style>
  <w:style w:type="paragraph" w:styleId="4">
    <w:name w:val="footer"/>
    <w:basedOn w:val="1"/>
    <w:link w:val="12"/>
    <w:unhideWhenUsed/>
    <w:qFormat/>
    <w:uiPriority w:val="99"/>
    <w:pPr>
      <w:tabs>
        <w:tab w:val="center" w:pos="4153"/>
        <w:tab w:val="right" w:pos="8306"/>
      </w:tabs>
      <w:snapToGrid w:val="0"/>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1 字符"/>
    <w:basedOn w:val="7"/>
    <w:link w:val="3"/>
    <w:qFormat/>
    <w:uiPriority w:val="9"/>
    <w:rPr>
      <w:rFonts w:ascii="仿宋" w:hAnsi="仿宋" w:eastAsia="仿宋" w:cs="仿宋"/>
      <w:b/>
      <w:bCs/>
      <w:kern w:val="0"/>
      <w:sz w:val="28"/>
      <w:szCs w:val="28"/>
      <w:lang w:val="zh-CN" w:bidi="zh-CN"/>
    </w:rPr>
  </w:style>
  <w:style w:type="character" w:customStyle="1" w:styleId="9">
    <w:name w:val="正文文本 字符"/>
    <w:basedOn w:val="7"/>
    <w:link w:val="2"/>
    <w:qFormat/>
    <w:uiPriority w:val="1"/>
    <w:rPr>
      <w:rFonts w:ascii="仿宋" w:hAnsi="仿宋" w:eastAsia="仿宋" w:cs="仿宋"/>
      <w:kern w:val="0"/>
      <w:sz w:val="28"/>
      <w:szCs w:val="28"/>
      <w:lang w:val="zh-CN" w:bidi="zh-CN"/>
    </w:rPr>
  </w:style>
  <w:style w:type="paragraph" w:customStyle="1" w:styleId="10">
    <w:name w:val="List Paragraph"/>
    <w:basedOn w:val="1"/>
    <w:qFormat/>
    <w:uiPriority w:val="1"/>
    <w:pPr>
      <w:spacing w:before="155"/>
      <w:ind w:left="120" w:right="395" w:firstLine="559"/>
    </w:pPr>
  </w:style>
  <w:style w:type="character" w:customStyle="1" w:styleId="11">
    <w:name w:val="页眉 字符"/>
    <w:basedOn w:val="7"/>
    <w:link w:val="5"/>
    <w:qFormat/>
    <w:uiPriority w:val="99"/>
    <w:rPr>
      <w:rFonts w:ascii="仿宋" w:hAnsi="仿宋" w:eastAsia="仿宋" w:cs="仿宋"/>
      <w:kern w:val="0"/>
      <w:sz w:val="18"/>
      <w:szCs w:val="18"/>
      <w:lang w:val="zh-CN" w:bidi="zh-CN"/>
    </w:rPr>
  </w:style>
  <w:style w:type="character" w:customStyle="1" w:styleId="12">
    <w:name w:val="页脚 字符"/>
    <w:basedOn w:val="7"/>
    <w:link w:val="4"/>
    <w:qFormat/>
    <w:uiPriority w:val="99"/>
    <w:rPr>
      <w:rFonts w:ascii="仿宋" w:hAnsi="仿宋" w:eastAsia="仿宋" w:cs="仿宋"/>
      <w:kern w:val="0"/>
      <w:sz w:val="18"/>
      <w:szCs w:val="18"/>
      <w:lang w:val="zh-CN" w:bidi="zh-CN"/>
    </w:rPr>
  </w:style>
  <w:style w:type="paragraph" w:customStyle="1" w:styleId="13">
    <w:name w:val="K&amp;W Body text"/>
    <w:basedOn w:val="1"/>
    <w:qFormat/>
    <w:uiPriority w:val="0"/>
    <w:pPr>
      <w:widowControl/>
      <w:autoSpaceDE/>
      <w:autoSpaceDN/>
      <w:spacing w:before="100" w:beforeAutospacing="1" w:after="280" w:line="240" w:lineRule="atLeast"/>
      <w:jc w:val="both"/>
    </w:pPr>
    <w:rPr>
      <w:rFonts w:ascii="Arial" w:hAnsi="Arial" w:eastAsia="楷体_GB2312" w:cs="Times New Roman"/>
      <w:sz w:val="24"/>
      <w:szCs w:val="24"/>
      <w:lang w:val="en-US" w:bidi="ar-SA"/>
    </w:rPr>
  </w:style>
  <w:style w:type="paragraph" w:customStyle="1" w:styleId="14">
    <w:name w:val="正文 A"/>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2611</Words>
  <Characters>2719</Characters>
  <Lines>17</Lines>
  <Paragraphs>4</Paragraphs>
  <TotalTime>45</TotalTime>
  <ScaleCrop>false</ScaleCrop>
  <LinksUpToDate>false</LinksUpToDate>
  <CharactersWithSpaces>2811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2021-07-13T01:43:00Z</dcterms:created>
  <dc:creator>940727839@qq.com</dc:creator>
  <cp:lastModifiedBy>yaojiawei</cp:lastModifiedBy>
  <cp:lastPrinted>2022-03-16T15:07:00Z</cp:lastPrinted>
  <dcterms:modified xsi:type="dcterms:W3CDTF">2022-12-14T07:13:22Z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229515A2CAC44923BFEBD914A045B3AC</vt:lpwstr>
  </property>
</Properties>
</file>